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C9E" w:rsidRPr="00535A4B" w:rsidRDefault="00A52C9E" w:rsidP="00A52C9E">
      <w:pPr>
        <w:jc w:val="center"/>
        <w:rPr>
          <w:sz w:val="28"/>
          <w:szCs w:val="28"/>
        </w:rPr>
      </w:pPr>
      <w:r w:rsidRPr="00535A4B">
        <w:rPr>
          <w:noProof/>
        </w:rPr>
        <w:drawing>
          <wp:inline distT="0" distB="0" distL="0" distR="0" wp14:anchorId="462A2B7E" wp14:editId="5AD35AC3">
            <wp:extent cx="714375" cy="650240"/>
            <wp:effectExtent l="0" t="0" r="0" b="0"/>
            <wp:docPr id="5" name="Рисунок 5" descr="GerbTOu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TOugl"/>
                    <pic:cNvPicPr>
                      <a:picLocks noChangeAspect="1"/>
                    </pic:cNvPicPr>
                  </pic:nvPicPr>
                  <pic:blipFill>
                    <a:blip r:embed="rId8" cstate="print"/>
                    <a:stretch/>
                  </pic:blipFill>
                  <pic:spPr bwMode="auto">
                    <a:xfrm>
                      <a:off x="0" y="0"/>
                      <a:ext cx="714375" cy="650240"/>
                    </a:xfrm>
                    <a:prstGeom prst="rect">
                      <a:avLst/>
                    </a:prstGeom>
                    <a:noFill/>
                    <a:ln w="9525">
                      <a:noFill/>
                      <a:miter lim="800000"/>
                      <a:headEnd/>
                      <a:tailEnd/>
                    </a:ln>
                  </pic:spPr>
                </pic:pic>
              </a:graphicData>
            </a:graphic>
          </wp:inline>
        </w:drawing>
      </w:r>
    </w:p>
    <w:p w:rsidR="00A52C9E" w:rsidRPr="00535A4B" w:rsidRDefault="00A52C9E" w:rsidP="00A52C9E">
      <w:pPr>
        <w:jc w:val="center"/>
        <w:rPr>
          <w:b/>
          <w:sz w:val="32"/>
          <w:szCs w:val="32"/>
        </w:rPr>
      </w:pPr>
    </w:p>
    <w:p w:rsidR="00535A4B" w:rsidRPr="004E2818" w:rsidRDefault="00535A4B" w:rsidP="00535A4B">
      <w:pPr>
        <w:keepNext/>
        <w:tabs>
          <w:tab w:val="num" w:pos="0"/>
        </w:tabs>
        <w:spacing w:line="360" w:lineRule="auto"/>
        <w:jc w:val="center"/>
        <w:outlineLvl w:val="0"/>
        <w:rPr>
          <w:b/>
          <w:sz w:val="32"/>
          <w:szCs w:val="32"/>
        </w:rPr>
      </w:pPr>
      <w:r w:rsidRPr="004E2818">
        <w:rPr>
          <w:b/>
          <w:sz w:val="32"/>
          <w:szCs w:val="32"/>
        </w:rPr>
        <w:t>ЗАКОНОДАТЕЛЬНАЯ ДУМА ТОМСКОЙ ОБЛАСТИ</w:t>
      </w:r>
    </w:p>
    <w:p w:rsidR="00535A4B" w:rsidRPr="004E2818" w:rsidRDefault="00535A4B" w:rsidP="00535A4B">
      <w:pPr>
        <w:keepNext/>
        <w:spacing w:line="360" w:lineRule="auto"/>
        <w:jc w:val="center"/>
        <w:outlineLvl w:val="1"/>
        <w:rPr>
          <w:b/>
          <w:bCs/>
          <w:iCs/>
          <w:sz w:val="36"/>
          <w:szCs w:val="36"/>
        </w:rPr>
      </w:pPr>
      <w:r w:rsidRPr="004E2818">
        <w:rPr>
          <w:b/>
          <w:bCs/>
          <w:iCs/>
          <w:sz w:val="36"/>
          <w:szCs w:val="36"/>
        </w:rPr>
        <w:t>ПОСТАНОВЛЕНИЕ</w:t>
      </w:r>
    </w:p>
    <w:p w:rsidR="00535A4B" w:rsidRPr="004E2818" w:rsidRDefault="00535A4B" w:rsidP="00535A4B">
      <w:pPr>
        <w:rPr>
          <w:u w:val="single"/>
        </w:rPr>
      </w:pPr>
      <w:r>
        <w:rPr>
          <w:u w:val="single"/>
        </w:rPr>
        <w:t>27.08</w:t>
      </w:r>
      <w:r w:rsidRPr="004E2818">
        <w:rPr>
          <w:u w:val="single"/>
        </w:rPr>
        <w:t>.202</w:t>
      </w:r>
      <w:r>
        <w:rPr>
          <w:u w:val="single"/>
        </w:rPr>
        <w:t>6</w:t>
      </w:r>
      <w:r w:rsidRPr="004E2818">
        <w:rPr>
          <w:u w:val="single"/>
        </w:rPr>
        <w:t xml:space="preserve"> № 2</w:t>
      </w:r>
      <w:r>
        <w:rPr>
          <w:u w:val="single"/>
        </w:rPr>
        <w:t>375</w:t>
      </w:r>
    </w:p>
    <w:p w:rsidR="00535A4B" w:rsidRPr="004E2818" w:rsidRDefault="00535A4B" w:rsidP="00535A4B">
      <w:pPr>
        <w:spacing w:after="120"/>
        <w:ind w:right="7794"/>
        <w:jc w:val="center"/>
      </w:pPr>
      <w:r w:rsidRPr="004E2818">
        <w:t>г. Томск</w:t>
      </w:r>
    </w:p>
    <w:p w:rsidR="00535A4B" w:rsidRPr="007179BB" w:rsidRDefault="00535A4B" w:rsidP="004C2393">
      <w:pPr>
        <w:pStyle w:val="af4"/>
        <w:tabs>
          <w:tab w:val="left" w:pos="3402"/>
          <w:tab w:val="left" w:pos="4389"/>
        </w:tabs>
        <w:ind w:right="4818"/>
        <w:rPr>
          <w:szCs w:val="26"/>
          <w:lang w:val="x-none" w:eastAsia="x-none"/>
        </w:rPr>
      </w:pPr>
      <w:r w:rsidRPr="00535A4B">
        <w:rPr>
          <w:bCs/>
          <w:szCs w:val="26"/>
          <w:lang w:val="ru-RU" w:eastAsia="ar-SA"/>
        </w:rPr>
        <w:t xml:space="preserve">Об </w:t>
      </w:r>
      <w:r w:rsidRPr="00535A4B">
        <w:rPr>
          <w:szCs w:val="26"/>
          <w:lang w:val="ru-RU"/>
        </w:rPr>
        <w:t>утверждении Стратегии социально-экономического развития Томской области до 2036 года</w:t>
      </w:r>
    </w:p>
    <w:p w:rsidR="00535A4B" w:rsidRPr="007179BB" w:rsidRDefault="00535A4B" w:rsidP="00535A4B">
      <w:pPr>
        <w:spacing w:before="600" w:line="360" w:lineRule="auto"/>
        <w:ind w:firstLine="709"/>
        <w:jc w:val="both"/>
        <w:rPr>
          <w:sz w:val="26"/>
          <w:szCs w:val="26"/>
        </w:rPr>
      </w:pPr>
      <w:r w:rsidRPr="007179BB">
        <w:rPr>
          <w:sz w:val="26"/>
          <w:szCs w:val="26"/>
        </w:rPr>
        <w:t xml:space="preserve">В соответствии с пунктом 2 части 1 статьи 7 Закона Томской области </w:t>
      </w:r>
      <w:r>
        <w:rPr>
          <w:sz w:val="26"/>
          <w:szCs w:val="26"/>
        </w:rPr>
        <w:br/>
      </w:r>
      <w:r w:rsidRPr="007179BB">
        <w:rPr>
          <w:sz w:val="26"/>
          <w:szCs w:val="26"/>
        </w:rPr>
        <w:t>от 12 марта 2015 года № 24-ОЗ «О стратегическом планировании в Томской области», рассмотрев проект постановления Законодательной Думы Томской области «Об утверждении Стратегии социально-экономического развития Томской области до 2036 года», внесенный Губернатором Томской области,</w:t>
      </w:r>
    </w:p>
    <w:p w:rsidR="00535A4B" w:rsidRPr="007179BB" w:rsidRDefault="00535A4B" w:rsidP="00535A4B">
      <w:pPr>
        <w:spacing w:before="240" w:after="240" w:line="360" w:lineRule="auto"/>
        <w:jc w:val="center"/>
        <w:rPr>
          <w:sz w:val="26"/>
          <w:szCs w:val="26"/>
        </w:rPr>
      </w:pPr>
      <w:r w:rsidRPr="007179BB">
        <w:rPr>
          <w:sz w:val="26"/>
          <w:szCs w:val="26"/>
        </w:rPr>
        <w:t>Законодательная Ду</w:t>
      </w:r>
      <w:bookmarkStart w:id="0" w:name="_GoBack"/>
      <w:bookmarkEnd w:id="0"/>
      <w:r w:rsidRPr="007179BB">
        <w:rPr>
          <w:sz w:val="26"/>
          <w:szCs w:val="26"/>
        </w:rPr>
        <w:t>ма Томской области ПОСТАНОВЛЯЕТ:</w:t>
      </w:r>
    </w:p>
    <w:p w:rsidR="00535A4B" w:rsidRPr="007179BB" w:rsidRDefault="00535A4B" w:rsidP="00535A4B">
      <w:pPr>
        <w:numPr>
          <w:ilvl w:val="0"/>
          <w:numId w:val="47"/>
        </w:numPr>
        <w:pBdr>
          <w:top w:val="none" w:sz="4" w:space="0" w:color="000000"/>
          <w:left w:val="none" w:sz="4" w:space="0" w:color="000000"/>
          <w:bottom w:val="none" w:sz="4" w:space="0" w:color="000000"/>
          <w:right w:val="none" w:sz="4" w:space="0" w:color="000000"/>
        </w:pBdr>
        <w:tabs>
          <w:tab w:val="left" w:pos="1134"/>
        </w:tabs>
        <w:suppressAutoHyphens/>
        <w:spacing w:line="360" w:lineRule="auto"/>
        <w:ind w:left="0" w:firstLine="709"/>
        <w:jc w:val="both"/>
        <w:rPr>
          <w:sz w:val="26"/>
          <w:szCs w:val="26"/>
        </w:rPr>
      </w:pPr>
      <w:r w:rsidRPr="007179BB">
        <w:rPr>
          <w:sz w:val="26"/>
          <w:szCs w:val="26"/>
        </w:rPr>
        <w:t>Утвердить Стратегию социально-экономического развития Томской области до 2036 года согласно приложению.</w:t>
      </w:r>
    </w:p>
    <w:p w:rsidR="00535A4B" w:rsidRPr="007179BB" w:rsidRDefault="00535A4B" w:rsidP="00535A4B">
      <w:pPr>
        <w:numPr>
          <w:ilvl w:val="0"/>
          <w:numId w:val="47"/>
        </w:numPr>
        <w:pBdr>
          <w:top w:val="none" w:sz="4" w:space="0" w:color="000000"/>
          <w:left w:val="none" w:sz="4" w:space="0" w:color="000000"/>
          <w:bottom w:val="none" w:sz="4" w:space="0" w:color="000000"/>
          <w:right w:val="none" w:sz="4" w:space="0" w:color="000000"/>
        </w:pBdr>
        <w:tabs>
          <w:tab w:val="left" w:pos="1134"/>
        </w:tabs>
        <w:suppressAutoHyphens/>
        <w:spacing w:line="360" w:lineRule="auto"/>
        <w:ind w:left="0" w:firstLine="709"/>
        <w:jc w:val="both"/>
        <w:rPr>
          <w:sz w:val="26"/>
          <w:szCs w:val="26"/>
        </w:rPr>
      </w:pPr>
      <w:r w:rsidRPr="007179BB">
        <w:rPr>
          <w:sz w:val="26"/>
          <w:szCs w:val="26"/>
        </w:rPr>
        <w:t>Признать утратившими силу:</w:t>
      </w:r>
    </w:p>
    <w:p w:rsidR="00535A4B" w:rsidRPr="007179BB" w:rsidRDefault="00535A4B" w:rsidP="00535A4B">
      <w:pPr>
        <w:numPr>
          <w:ilvl w:val="1"/>
          <w:numId w:val="47"/>
        </w:numPr>
        <w:pBdr>
          <w:top w:val="none" w:sz="4" w:space="0" w:color="000000"/>
          <w:left w:val="none" w:sz="4" w:space="0" w:color="000000"/>
          <w:bottom w:val="none" w:sz="4" w:space="0" w:color="000000"/>
          <w:right w:val="none" w:sz="4" w:space="0" w:color="000000"/>
        </w:pBdr>
        <w:tabs>
          <w:tab w:val="left" w:pos="1134"/>
        </w:tabs>
        <w:suppressAutoHyphens/>
        <w:spacing w:line="360" w:lineRule="auto"/>
        <w:ind w:left="0" w:firstLine="709"/>
        <w:jc w:val="both"/>
        <w:rPr>
          <w:sz w:val="26"/>
          <w:szCs w:val="26"/>
        </w:rPr>
      </w:pPr>
      <w:r w:rsidRPr="007179BB">
        <w:rPr>
          <w:sz w:val="26"/>
          <w:szCs w:val="26"/>
        </w:rPr>
        <w:t xml:space="preserve">постановление Законодательной Думы Томской области от 26 марта </w:t>
      </w:r>
      <w:r>
        <w:rPr>
          <w:sz w:val="26"/>
          <w:szCs w:val="26"/>
        </w:rPr>
        <w:br/>
      </w:r>
      <w:r w:rsidRPr="007179BB">
        <w:rPr>
          <w:sz w:val="26"/>
          <w:szCs w:val="26"/>
        </w:rPr>
        <w:t>2015 года № 2580 «Об утверждении Стратегии социально-экономического развития Томской области до 2030 года»;</w:t>
      </w:r>
    </w:p>
    <w:p w:rsidR="00535A4B" w:rsidRPr="007179BB" w:rsidRDefault="00535A4B" w:rsidP="00535A4B">
      <w:pPr>
        <w:numPr>
          <w:ilvl w:val="1"/>
          <w:numId w:val="47"/>
        </w:numPr>
        <w:pBdr>
          <w:top w:val="none" w:sz="4" w:space="0" w:color="000000"/>
          <w:left w:val="none" w:sz="4" w:space="0" w:color="000000"/>
          <w:bottom w:val="none" w:sz="4" w:space="0" w:color="000000"/>
          <w:right w:val="none" w:sz="4" w:space="0" w:color="000000"/>
        </w:pBdr>
        <w:tabs>
          <w:tab w:val="left" w:pos="1134"/>
        </w:tabs>
        <w:suppressAutoHyphens/>
        <w:spacing w:line="360" w:lineRule="auto"/>
        <w:ind w:left="0" w:firstLine="709"/>
        <w:jc w:val="both"/>
        <w:rPr>
          <w:sz w:val="26"/>
          <w:szCs w:val="26"/>
        </w:rPr>
      </w:pPr>
      <w:r w:rsidRPr="007179BB">
        <w:rPr>
          <w:sz w:val="26"/>
          <w:szCs w:val="26"/>
        </w:rPr>
        <w:t xml:space="preserve">постановление Законодательной Думы Томской области от 01 июля </w:t>
      </w:r>
      <w:r>
        <w:rPr>
          <w:sz w:val="26"/>
          <w:szCs w:val="26"/>
        </w:rPr>
        <w:br/>
      </w:r>
      <w:r w:rsidRPr="007179BB">
        <w:rPr>
          <w:sz w:val="26"/>
          <w:szCs w:val="26"/>
        </w:rPr>
        <w:t>2021 года № 2988 «О внесении изменения в постановление Законодательной Думы Томской области от 26 марта 2015 года № 2580 «Об утверждении Стратегии социально-экономического развития Томской области до 2030 года».</w:t>
      </w:r>
    </w:p>
    <w:p w:rsidR="00535A4B" w:rsidRDefault="00535A4B" w:rsidP="00535A4B">
      <w:pPr>
        <w:jc w:val="both"/>
        <w:rPr>
          <w:sz w:val="26"/>
          <w:szCs w:val="26"/>
        </w:rPr>
      </w:pPr>
    </w:p>
    <w:p w:rsidR="00535A4B" w:rsidRDefault="00535A4B" w:rsidP="00535A4B">
      <w:pPr>
        <w:jc w:val="both"/>
        <w:rPr>
          <w:sz w:val="26"/>
          <w:szCs w:val="26"/>
        </w:rPr>
      </w:pPr>
    </w:p>
    <w:p w:rsidR="00535A4B" w:rsidRDefault="00535A4B" w:rsidP="00535A4B">
      <w:pPr>
        <w:jc w:val="both"/>
      </w:pPr>
      <w:r>
        <w:rPr>
          <w:sz w:val="26"/>
          <w:szCs w:val="26"/>
        </w:rPr>
        <w:t xml:space="preserve">Председатель </w:t>
      </w:r>
    </w:p>
    <w:p w:rsidR="00535A4B" w:rsidRDefault="00535A4B" w:rsidP="00535A4B">
      <w:pPr>
        <w:jc w:val="both"/>
      </w:pPr>
      <w:r>
        <w:rPr>
          <w:sz w:val="26"/>
          <w:szCs w:val="26"/>
        </w:rPr>
        <w:t xml:space="preserve">Законодательной Думы </w:t>
      </w:r>
    </w:p>
    <w:p w:rsidR="00535A4B" w:rsidRDefault="00535A4B" w:rsidP="00535A4B">
      <w:pPr>
        <w:jc w:val="both"/>
        <w:rPr>
          <w:sz w:val="26"/>
          <w:szCs w:val="26"/>
        </w:rPr>
      </w:pPr>
      <w:r>
        <w:rPr>
          <w:sz w:val="26"/>
          <w:szCs w:val="26"/>
        </w:rPr>
        <w:t>Томской области</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О.В. Козловская</w:t>
      </w:r>
    </w:p>
    <w:p w:rsidR="00535A4B" w:rsidRDefault="00535A4B">
      <w:pPr>
        <w:spacing w:after="160" w:line="259" w:lineRule="auto"/>
        <w:rPr>
          <w:bCs/>
          <w:sz w:val="26"/>
          <w:szCs w:val="26"/>
        </w:rPr>
      </w:pPr>
      <w:r>
        <w:rPr>
          <w:b/>
          <w:sz w:val="26"/>
          <w:szCs w:val="26"/>
        </w:rPr>
        <w:br w:type="page"/>
      </w:r>
    </w:p>
    <w:p w:rsidR="007D5E1F" w:rsidRPr="00535A4B" w:rsidRDefault="007D5E1F" w:rsidP="004C2393">
      <w:pPr>
        <w:pStyle w:val="ConsPlusTitle"/>
        <w:widowControl/>
        <w:jc w:val="right"/>
        <w:rPr>
          <w:rFonts w:ascii="Times New Roman" w:hAnsi="Times New Roman" w:cs="Times New Roman"/>
          <w:b w:val="0"/>
          <w:sz w:val="26"/>
          <w:szCs w:val="26"/>
        </w:rPr>
      </w:pPr>
      <w:r w:rsidRPr="00535A4B">
        <w:rPr>
          <w:rFonts w:ascii="Times New Roman" w:hAnsi="Times New Roman" w:cs="Times New Roman"/>
          <w:b w:val="0"/>
          <w:sz w:val="26"/>
          <w:szCs w:val="26"/>
        </w:rPr>
        <w:lastRenderedPageBreak/>
        <w:t>Приложение к постановлению</w:t>
      </w:r>
    </w:p>
    <w:p w:rsidR="00C446BB" w:rsidRPr="00535A4B" w:rsidRDefault="007D5E1F" w:rsidP="004C2393">
      <w:pPr>
        <w:pStyle w:val="ConsPlusTitle"/>
        <w:widowControl/>
        <w:jc w:val="right"/>
        <w:rPr>
          <w:rFonts w:ascii="Times New Roman" w:hAnsi="Times New Roman" w:cs="Times New Roman"/>
          <w:b w:val="0"/>
          <w:sz w:val="26"/>
          <w:szCs w:val="26"/>
        </w:rPr>
      </w:pPr>
      <w:r w:rsidRPr="00535A4B">
        <w:rPr>
          <w:rFonts w:ascii="Times New Roman" w:hAnsi="Times New Roman" w:cs="Times New Roman"/>
          <w:b w:val="0"/>
          <w:sz w:val="26"/>
          <w:szCs w:val="26"/>
        </w:rPr>
        <w:t>Законодательной Думы</w:t>
      </w:r>
    </w:p>
    <w:p w:rsidR="007D5E1F" w:rsidRPr="00535A4B" w:rsidRDefault="007D5E1F" w:rsidP="004C2393">
      <w:pPr>
        <w:pStyle w:val="ConsPlusTitle"/>
        <w:widowControl/>
        <w:jc w:val="right"/>
        <w:rPr>
          <w:rFonts w:ascii="Times New Roman" w:hAnsi="Times New Roman" w:cs="Times New Roman"/>
          <w:b w:val="0"/>
          <w:sz w:val="26"/>
          <w:szCs w:val="26"/>
        </w:rPr>
      </w:pPr>
      <w:r w:rsidRPr="00535A4B">
        <w:rPr>
          <w:rFonts w:ascii="Times New Roman" w:hAnsi="Times New Roman" w:cs="Times New Roman"/>
          <w:b w:val="0"/>
          <w:sz w:val="26"/>
          <w:szCs w:val="26"/>
        </w:rPr>
        <w:t>Томской области</w:t>
      </w:r>
    </w:p>
    <w:p w:rsidR="007D5E1F" w:rsidRPr="00535A4B" w:rsidRDefault="004C2393" w:rsidP="004C2393">
      <w:pPr>
        <w:jc w:val="right"/>
      </w:pPr>
      <w:r>
        <w:rPr>
          <w:sz w:val="26"/>
          <w:szCs w:val="26"/>
        </w:rPr>
        <w:t>от 27.08.2026 № 2375</w:t>
      </w:r>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bookmarkStart w:id="1" w:name="_Toc453332826"/>
      <w:bookmarkStart w:id="2" w:name="_Hlk227782051"/>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p>
    <w:p w:rsidR="00E618FE" w:rsidRPr="00535A4B" w:rsidRDefault="00E618FE">
      <w:pPr>
        <w:spacing w:after="160" w:line="259" w:lineRule="auto"/>
        <w:jc w:val="right"/>
        <w:rPr>
          <w:rFonts w:eastAsia="Arial"/>
          <w:sz w:val="28"/>
          <w:szCs w:val="28"/>
        </w:rPr>
      </w:pPr>
    </w:p>
    <w:p w:rsidR="00E618FE" w:rsidRPr="00535A4B" w:rsidRDefault="00800098">
      <w:pPr>
        <w:spacing w:after="160" w:line="259" w:lineRule="auto"/>
        <w:jc w:val="center"/>
        <w:rPr>
          <w:rFonts w:eastAsia="Arial"/>
          <w:b/>
          <w:bCs/>
          <w:sz w:val="28"/>
          <w:szCs w:val="28"/>
        </w:rPr>
      </w:pPr>
      <w:r w:rsidRPr="00535A4B">
        <w:rPr>
          <w:rFonts w:eastAsia="Arial"/>
          <w:b/>
          <w:bCs/>
          <w:sz w:val="28"/>
          <w:szCs w:val="28"/>
        </w:rPr>
        <w:t>СТРАТЕГИЯ СОЦИАЛЬНО-ЭКОНОМИЧЕСКОГО РАЗВИТИЯ ТОМСКОЙ ОБЛАСТИ НА ПЕРИОД ДО 2036 ГОДА</w:t>
      </w:r>
      <w:r w:rsidRPr="00535A4B">
        <w:rPr>
          <w:rFonts w:eastAsia="Arial"/>
          <w:b/>
          <w:bCs/>
          <w:sz w:val="28"/>
          <w:szCs w:val="28"/>
        </w:rPr>
        <w:br/>
      </w:r>
    </w:p>
    <w:p w:rsidR="00E618FE" w:rsidRPr="00535A4B" w:rsidRDefault="00E618FE">
      <w:pPr>
        <w:spacing w:after="160" w:line="259" w:lineRule="auto"/>
        <w:jc w:val="center"/>
        <w:rPr>
          <w:b/>
          <w:bCs/>
          <w:sz w:val="28"/>
          <w:szCs w:val="28"/>
        </w:rPr>
      </w:pPr>
    </w:p>
    <w:p w:rsidR="00E618FE" w:rsidRPr="00535A4B" w:rsidRDefault="00E618FE">
      <w:pPr>
        <w:spacing w:after="160" w:line="259" w:lineRule="auto"/>
        <w:jc w:val="center"/>
        <w:rPr>
          <w:b/>
          <w:bCs/>
          <w:sz w:val="28"/>
          <w:szCs w:val="28"/>
        </w:rPr>
      </w:pPr>
    </w:p>
    <w:p w:rsidR="00E618FE" w:rsidRPr="00535A4B" w:rsidRDefault="00E618FE">
      <w:pPr>
        <w:spacing w:after="160" w:line="259" w:lineRule="auto"/>
        <w:jc w:val="center"/>
        <w:rPr>
          <w:b/>
          <w:bCs/>
          <w:sz w:val="28"/>
          <w:szCs w:val="28"/>
        </w:rPr>
      </w:pPr>
    </w:p>
    <w:p w:rsidR="00E618FE" w:rsidRPr="00535A4B" w:rsidRDefault="00E618FE">
      <w:pPr>
        <w:spacing w:after="160" w:line="259" w:lineRule="auto"/>
        <w:jc w:val="center"/>
        <w:rPr>
          <w:b/>
          <w:bCs/>
          <w:sz w:val="28"/>
          <w:szCs w:val="28"/>
        </w:rPr>
      </w:pPr>
    </w:p>
    <w:p w:rsidR="00E618FE" w:rsidRPr="00535A4B" w:rsidRDefault="00E618FE">
      <w:pPr>
        <w:spacing w:after="160" w:line="259" w:lineRule="auto"/>
        <w:jc w:val="center"/>
        <w:rPr>
          <w:b/>
          <w:bCs/>
          <w:sz w:val="28"/>
          <w:szCs w:val="28"/>
        </w:rPr>
      </w:pPr>
    </w:p>
    <w:p w:rsidR="00E618FE" w:rsidRPr="00535A4B" w:rsidRDefault="00E618FE">
      <w:pPr>
        <w:spacing w:after="160" w:line="259" w:lineRule="auto"/>
        <w:jc w:val="center"/>
        <w:rPr>
          <w:b/>
          <w:bCs/>
          <w:sz w:val="28"/>
          <w:szCs w:val="28"/>
        </w:rPr>
      </w:pPr>
    </w:p>
    <w:p w:rsidR="00E618FE" w:rsidRPr="00535A4B" w:rsidRDefault="00E618FE">
      <w:pPr>
        <w:spacing w:after="160" w:line="259" w:lineRule="auto"/>
        <w:jc w:val="center"/>
        <w:rPr>
          <w:sz w:val="28"/>
          <w:szCs w:val="28"/>
        </w:rPr>
      </w:pPr>
    </w:p>
    <w:p w:rsidR="00E618FE" w:rsidRPr="00535A4B" w:rsidRDefault="00E618FE">
      <w:pPr>
        <w:spacing w:after="160" w:line="259" w:lineRule="auto"/>
        <w:jc w:val="center"/>
        <w:rPr>
          <w:sz w:val="28"/>
          <w:szCs w:val="28"/>
        </w:rPr>
      </w:pPr>
    </w:p>
    <w:p w:rsidR="00E618FE" w:rsidRPr="00535A4B" w:rsidRDefault="00E618FE">
      <w:pPr>
        <w:spacing w:after="160" w:line="259" w:lineRule="auto"/>
        <w:jc w:val="center"/>
        <w:rPr>
          <w:sz w:val="28"/>
          <w:szCs w:val="28"/>
        </w:rPr>
      </w:pPr>
    </w:p>
    <w:p w:rsidR="00E618FE" w:rsidRPr="00535A4B" w:rsidRDefault="00E618FE">
      <w:pPr>
        <w:spacing w:after="160" w:line="259" w:lineRule="auto"/>
        <w:jc w:val="center"/>
        <w:rPr>
          <w:sz w:val="28"/>
          <w:szCs w:val="28"/>
        </w:rPr>
      </w:pPr>
    </w:p>
    <w:p w:rsidR="00E618FE" w:rsidRPr="00535A4B" w:rsidRDefault="00800098">
      <w:pPr>
        <w:spacing w:after="160" w:line="259" w:lineRule="auto"/>
        <w:jc w:val="center"/>
        <w:rPr>
          <w:sz w:val="28"/>
          <w:szCs w:val="28"/>
        </w:rPr>
      </w:pPr>
      <w:r w:rsidRPr="00535A4B">
        <w:rPr>
          <w:sz w:val="28"/>
          <w:szCs w:val="28"/>
        </w:rPr>
        <w:t>2026</w:t>
      </w:r>
    </w:p>
    <w:p w:rsidR="00E618FE" w:rsidRPr="00535A4B" w:rsidRDefault="00800098">
      <w:pPr>
        <w:spacing w:after="160" w:line="259" w:lineRule="auto"/>
        <w:rPr>
          <w:b/>
          <w:sz w:val="32"/>
          <w:szCs w:val="32"/>
          <w:lang w:eastAsia="ar-SA"/>
        </w:rPr>
      </w:pPr>
      <w:r w:rsidRPr="00535A4B">
        <w:rPr>
          <w:sz w:val="28"/>
          <w:szCs w:val="28"/>
        </w:rPr>
        <w:br w:type="page" w:clear="all"/>
      </w:r>
    </w:p>
    <w:p w:rsidR="00E618FE" w:rsidRPr="00535A4B" w:rsidRDefault="00800098">
      <w:pPr>
        <w:pStyle w:val="0"/>
        <w:rPr>
          <w:rFonts w:ascii="Times New Roman" w:hAnsi="Times New Roman"/>
          <w:color w:val="auto"/>
        </w:rPr>
      </w:pPr>
      <w:r w:rsidRPr="00535A4B">
        <w:rPr>
          <w:rFonts w:ascii="Times New Roman" w:hAnsi="Times New Roman"/>
          <w:color w:val="auto"/>
        </w:rPr>
        <w:lastRenderedPageBreak/>
        <w:t>СОДЕРЖАНИЕ</w:t>
      </w:r>
      <w:bookmarkEnd w:id="1"/>
    </w:p>
    <w:p w:rsidR="00E618FE" w:rsidRPr="00535A4B" w:rsidRDefault="00E618FE">
      <w:pPr>
        <w:pStyle w:val="a4"/>
        <w:rPr>
          <w:rFonts w:ascii="Times New Roman" w:hAnsi="Times New Roman"/>
          <w:color w:val="auto"/>
          <w:sz w:val="20"/>
          <w:szCs w:val="20"/>
        </w:rPr>
      </w:pPr>
    </w:p>
    <w:p w:rsidR="00E618FE" w:rsidRPr="00535A4B" w:rsidRDefault="00E618FE">
      <w:pPr>
        <w:pStyle w:val="12"/>
        <w:spacing w:before="0" w:line="192" w:lineRule="auto"/>
        <w:rPr>
          <w:rFonts w:ascii="Times New Roman" w:hAnsi="Times New Roman" w:cs="Times New Roman"/>
          <w:szCs w:val="24"/>
        </w:rPr>
      </w:pPr>
    </w:p>
    <w:bookmarkStart w:id="3" w:name="_Toc453688851"/>
    <w:bookmarkStart w:id="4" w:name="_Toc453332827"/>
    <w:bookmarkStart w:id="5" w:name="_Toc453107827"/>
    <w:p w:rsidR="00923B73" w:rsidRPr="00535A4B" w:rsidRDefault="00800098">
      <w:pPr>
        <w:pStyle w:val="12"/>
        <w:tabs>
          <w:tab w:val="right" w:leader="dot" w:pos="9344"/>
        </w:tabs>
        <w:rPr>
          <w:rFonts w:ascii="Times New Roman" w:eastAsiaTheme="minorEastAsia" w:hAnsi="Times New Roman" w:cs="Times New Roman"/>
          <w:bCs w:val="0"/>
          <w:caps w:val="0"/>
          <w:noProof/>
          <w:sz w:val="22"/>
          <w:szCs w:val="22"/>
        </w:rPr>
      </w:pPr>
      <w:r w:rsidRPr="00535A4B">
        <w:rPr>
          <w:rFonts w:ascii="Times New Roman" w:hAnsi="Times New Roman" w:cs="Times New Roman"/>
          <w:szCs w:val="24"/>
        </w:rPr>
        <w:fldChar w:fldCharType="begin"/>
      </w:r>
      <w:r w:rsidRPr="00535A4B">
        <w:rPr>
          <w:rFonts w:ascii="Times New Roman" w:hAnsi="Times New Roman" w:cs="Times New Roman"/>
          <w:szCs w:val="24"/>
        </w:rPr>
        <w:instrText xml:space="preserve"> TOC \o "1-2" \h \z \u </w:instrText>
      </w:r>
      <w:r w:rsidRPr="00535A4B">
        <w:rPr>
          <w:rFonts w:ascii="Times New Roman" w:hAnsi="Times New Roman" w:cs="Times New Roman"/>
          <w:szCs w:val="24"/>
        </w:rPr>
        <w:fldChar w:fldCharType="separate"/>
      </w:r>
      <w:hyperlink w:anchor="_Toc238554513" w:history="1">
        <w:r w:rsidR="00923B73" w:rsidRPr="00535A4B">
          <w:rPr>
            <w:rStyle w:val="ac"/>
            <w:rFonts w:ascii="Times New Roman" w:eastAsia="PT Astra Serif" w:hAnsi="Times New Roman" w:cs="Times New Roman"/>
            <w:noProof/>
            <w:lang w:bidi="en-US"/>
          </w:rPr>
          <w:t>1.</w:t>
        </w:r>
        <w:r w:rsidR="00923B73" w:rsidRPr="00535A4B">
          <w:rPr>
            <w:rStyle w:val="ac"/>
            <w:rFonts w:ascii="Times New Roman" w:hAnsi="Times New Roman" w:cs="Times New Roman"/>
            <w:noProof/>
            <w:lang w:bidi="en-US"/>
          </w:rPr>
          <w:t> </w:t>
        </w:r>
        <w:r w:rsidR="00923B73" w:rsidRPr="00535A4B">
          <w:rPr>
            <w:rStyle w:val="ac"/>
            <w:rFonts w:ascii="Times New Roman" w:eastAsia="PT Astra Serif" w:hAnsi="Times New Roman" w:cs="Times New Roman"/>
            <w:noProof/>
            <w:lang w:bidi="en-US"/>
          </w:rPr>
          <w:t>Общие положения</w:t>
        </w:r>
        <w:r w:rsidR="00923B73" w:rsidRPr="00535A4B">
          <w:rPr>
            <w:rFonts w:ascii="Times New Roman" w:hAnsi="Times New Roman" w:cs="Times New Roman"/>
            <w:noProof/>
            <w:webHidden/>
          </w:rPr>
          <w:tab/>
        </w:r>
      </w:hyperlink>
      <w:r w:rsidR="004C2393">
        <w:rPr>
          <w:rFonts w:ascii="Times New Roman" w:hAnsi="Times New Roman" w:cs="Times New Roman"/>
          <w:noProof/>
        </w:rPr>
        <w:t>6</w:t>
      </w:r>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14" w:history="1">
        <w:r w:rsidR="00923B73" w:rsidRPr="00535A4B">
          <w:rPr>
            <w:rStyle w:val="ac"/>
            <w:rFonts w:ascii="Times New Roman" w:eastAsia="PT Astra Serif" w:hAnsi="Times New Roman" w:cs="Times New Roman"/>
            <w:noProof/>
            <w:lang w:bidi="en-US"/>
          </w:rPr>
          <w:t>2. Характеристика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_Toc238554514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10</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15" w:history="1">
        <w:r w:rsidR="00923B73" w:rsidRPr="00535A4B">
          <w:rPr>
            <w:rStyle w:val="ac"/>
            <w:rFonts w:ascii="Times New Roman" w:eastAsia="PT Astra Serif" w:hAnsi="Times New Roman" w:cs="Times New Roman"/>
            <w:noProof/>
            <w:lang w:bidi="en-US"/>
          </w:rPr>
          <w:t>3. Анализ достижения целей и задач Стратегии социально-экономического развития Томской области в 2020 – 2025 годах</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_Toc238554515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13</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16" w:history="1">
        <w:r w:rsidR="00923B73" w:rsidRPr="00535A4B">
          <w:rPr>
            <w:rStyle w:val="ac"/>
            <w:rFonts w:ascii="Times New Roman" w:eastAsia="PT Astra Serif" w:hAnsi="Times New Roman" w:cs="Times New Roman"/>
            <w:noProof/>
            <w:lang w:bidi="en-US"/>
          </w:rPr>
          <w:t>Цель 1. Реализация модели интенсивного развития, включая развитие высокотехнологичных производств на основе потенциала научно-образовательного комплекса, создание условий для инвестиций, развитие предпринимательства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_Toc238554516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13</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17" w:history="1">
        <w:r w:rsidR="00923B73" w:rsidRPr="00535A4B">
          <w:rPr>
            <w:rStyle w:val="ac"/>
            <w:rFonts w:ascii="Times New Roman" w:eastAsia="PT Astra Serif" w:hAnsi="Times New Roman" w:cs="Times New Roman"/>
            <w:noProof/>
            <w:lang w:bidi="en-US"/>
          </w:rPr>
          <w:t>Цель 2. Рациональное использование природного капитала Томской области, устойчивое развитие агропромышленного комплекса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_Toc238554517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17</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18" w:history="1">
        <w:r w:rsidR="00923B73" w:rsidRPr="00535A4B">
          <w:rPr>
            <w:rStyle w:val="ac"/>
            <w:rFonts w:ascii="Times New Roman" w:eastAsia="PT Astra Serif" w:hAnsi="Times New Roman" w:cs="Times New Roman"/>
            <w:noProof/>
            <w:lang w:bidi="en-US"/>
          </w:rPr>
          <w:t>Цель 3. Повышение уровня и качества жизни населения на всей территории Томской области, накопление человеческого капитала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_Toc238554518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22</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19" w:history="1">
        <w:r w:rsidR="00923B73" w:rsidRPr="00535A4B">
          <w:rPr>
            <w:rStyle w:val="ac"/>
            <w:rFonts w:ascii="Times New Roman" w:eastAsia="PT Astra Serif" w:hAnsi="Times New Roman" w:cs="Times New Roman"/>
            <w:noProof/>
            <w:lang w:bidi="en-US"/>
          </w:rPr>
          <w:t>Цель 4. Сбалансированное территориальное развитие, в том числе за счет развития инфраструктуры в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_Toc238554519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30</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20" w:history="1">
        <w:r w:rsidR="00923B73" w:rsidRPr="00535A4B">
          <w:rPr>
            <w:rStyle w:val="ac"/>
            <w:rFonts w:ascii="Times New Roman" w:eastAsia="PT Astra Serif" w:hAnsi="Times New Roman" w:cs="Times New Roman"/>
            <w:noProof/>
            <w:lang w:bidi="en-US"/>
          </w:rPr>
          <w:t>Цель 5. Эффективное управление регионом и цифровая трансформация</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_Toc238554520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34</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21" w:history="1">
        <w:r w:rsidR="00923B73" w:rsidRPr="00535A4B">
          <w:rPr>
            <w:rStyle w:val="ac"/>
            <w:rFonts w:ascii="Times New Roman" w:hAnsi="Times New Roman" w:cs="Times New Roman"/>
            <w:noProof/>
            <w:lang w:bidi="en-US"/>
          </w:rPr>
          <w:t>Сводный результат оценки достижения целей Стратегии социально-экономического развития Томской области до 2030 года в период 2020 – 2025 годов</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_Toc238554521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37</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22" w:history="1">
        <w:r w:rsidR="00923B73" w:rsidRPr="00535A4B">
          <w:rPr>
            <w:rStyle w:val="ac"/>
            <w:rFonts w:ascii="Times New Roman" w:eastAsia="PT Astra Serif" w:hAnsi="Times New Roman" w:cs="Times New Roman"/>
            <w:noProof/>
            <w:lang w:bidi="en-US"/>
          </w:rPr>
          <w:t>4. Томская область в общероссийских рейтингах</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_Toc238554522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40</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23" w:history="1">
        <w:r w:rsidR="00923B73" w:rsidRPr="00535A4B">
          <w:rPr>
            <w:rStyle w:val="ac"/>
            <w:rFonts w:ascii="Times New Roman" w:eastAsia="PT Astra Serif" w:hAnsi="Times New Roman" w:cs="Times New Roman"/>
            <w:noProof/>
            <w:lang w:bidi="en-US"/>
          </w:rPr>
          <w:t>5. Ключевые вызовы И РИСКИ социально-экономического развития Томской области  в долгосрочной перспективе</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_Toc238554523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45</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24" w:history="1">
        <w:r w:rsidR="00923B73" w:rsidRPr="00535A4B">
          <w:rPr>
            <w:rStyle w:val="ac"/>
            <w:rFonts w:ascii="Times New Roman" w:hAnsi="Times New Roman" w:cs="Times New Roman"/>
            <w:noProof/>
            <w:lang w:bidi="en-US"/>
          </w:rPr>
          <w:t>Внутренние вызовы</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_Toc238554524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45</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25" w:history="1">
        <w:r w:rsidR="00923B73" w:rsidRPr="00535A4B">
          <w:rPr>
            <w:rStyle w:val="ac"/>
            <w:rFonts w:ascii="Times New Roman" w:hAnsi="Times New Roman" w:cs="Times New Roman"/>
            <w:noProof/>
            <w:lang w:bidi="en-US"/>
          </w:rPr>
          <w:t>Внешние вызовы</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_Toc238554525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47</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26" w:history="1">
        <w:r w:rsidR="00923B73" w:rsidRPr="00535A4B">
          <w:rPr>
            <w:rStyle w:val="ac"/>
            <w:rFonts w:ascii="Times New Roman" w:eastAsia="PT Astra Serif" w:hAnsi="Times New Roman" w:cs="Times New Roman"/>
            <w:noProof/>
            <w:lang w:bidi="en-US"/>
          </w:rPr>
          <w:t>6. Анализ критически важных внешних и внутренних событий, задающих «сценарные рамки» на период до 2036 года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_Toc238554526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52</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27" w:history="1">
        <w:r w:rsidR="00923B73" w:rsidRPr="00535A4B">
          <w:rPr>
            <w:rStyle w:val="ac"/>
            <w:rFonts w:ascii="Times New Roman" w:eastAsia="PT Astra Serif" w:hAnsi="Times New Roman" w:cs="Times New Roman"/>
            <w:noProof/>
            <w:lang w:bidi="en-US"/>
          </w:rPr>
          <w:t>7. Сценарии социально-экономического развития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_Toc238554527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56</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28" w:history="1">
        <w:r w:rsidR="00923B73" w:rsidRPr="00535A4B">
          <w:rPr>
            <w:rStyle w:val="ac"/>
            <w:rFonts w:ascii="Times New Roman" w:eastAsia="PT Astra Serif" w:hAnsi="Times New Roman" w:cs="Times New Roman"/>
            <w:noProof/>
            <w:lang w:bidi="en-US"/>
          </w:rPr>
          <w:t>8. Миссия и долгосрочное стратегическое видение Томской области на период до 2042 года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_Toc238554528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62</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29" w:history="1">
        <w:r w:rsidR="00923B73" w:rsidRPr="00535A4B">
          <w:rPr>
            <w:rStyle w:val="ac"/>
            <w:rFonts w:ascii="Times New Roman" w:eastAsia="PT Astra Serif" w:hAnsi="Times New Roman" w:cs="Times New Roman"/>
            <w:noProof/>
            <w:lang w:bidi="en-US"/>
          </w:rPr>
          <w:t>9. Региональная цель 1 «Сохранение населения, укрепление здоровья и повышение благополучия людей, поддержка семьи»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_Toc238554529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64</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0" w:history="1">
        <w:r w:rsidR="00923B73" w:rsidRPr="00535A4B">
          <w:rPr>
            <w:rStyle w:val="ac"/>
            <w:rFonts w:ascii="Times New Roman" w:hAnsi="Times New Roman" w:cs="Times New Roman"/>
            <w:noProof/>
            <w:lang w:eastAsia="ar-SA" w:bidi="en-US"/>
          </w:rPr>
          <w:t>Стратегический приоритет 1.1. «Семья — основа будущего»</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_Toc238554530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66</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1" w:history="1">
        <w:r w:rsidR="00923B73" w:rsidRPr="00535A4B">
          <w:rPr>
            <w:rStyle w:val="ac"/>
            <w:rFonts w:ascii="Times New Roman" w:eastAsia="Calibri" w:hAnsi="Times New Roman" w:cs="Times New Roman"/>
            <w:noProof/>
            <w:lang w:bidi="en-US"/>
          </w:rPr>
          <w:t>Стратегический приоритет 1.2. «Здоровая, продолжительная  и активная жизнь — общее дело»</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_Toc238554531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71</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2" w:history="1">
        <w:r w:rsidR="00923B73" w:rsidRPr="00535A4B">
          <w:rPr>
            <w:rStyle w:val="ac"/>
            <w:rFonts w:ascii="Times New Roman" w:hAnsi="Times New Roman" w:cs="Times New Roman"/>
            <w:noProof/>
            <w:lang w:bidi="en-US"/>
          </w:rPr>
          <w:t>Стратегический приоритет 1.3. «Физкультура и спорт — равные возможности для каждого»</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_Toc238554532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81</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3" w:history="1">
        <w:r w:rsidR="00923B73" w:rsidRPr="00535A4B">
          <w:rPr>
            <w:rStyle w:val="ac"/>
            <w:rFonts w:ascii="Times New Roman" w:hAnsi="Times New Roman" w:cs="Times New Roman"/>
            <w:noProof/>
            <w:lang w:bidi="en-US"/>
          </w:rPr>
          <w:t>Стратегический приоритет 1.4. «Поддержка отдельных категорий граждан, в том числе участников СВО и членов их семей»</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_Toc238554533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84</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4" w:history="1">
        <w:r w:rsidR="00923B73" w:rsidRPr="00535A4B">
          <w:rPr>
            <w:rStyle w:val="ac"/>
            <w:rFonts w:ascii="Times New Roman" w:hAnsi="Times New Roman" w:cs="Times New Roman"/>
            <w:noProof/>
            <w:lang w:bidi="en-US"/>
          </w:rPr>
          <w:t>Стратегический приоритет 1.5. «Занятость и повышение уровня жизни населения»</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_Toc238554534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89</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35" w:history="1">
        <w:r w:rsidR="00923B73" w:rsidRPr="00535A4B">
          <w:rPr>
            <w:rStyle w:val="ac"/>
            <w:rFonts w:ascii="Times New Roman" w:eastAsia="PT Astra Serif" w:hAnsi="Times New Roman" w:cs="Times New Roman"/>
            <w:noProof/>
            <w:lang w:bidi="en-US"/>
          </w:rPr>
          <w:t>10. Региональная цель 2 «Человеческий капитал и развитие талантов»</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_Toc238554535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95</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6" w:history="1">
        <w:r w:rsidR="00923B73" w:rsidRPr="00535A4B">
          <w:rPr>
            <w:rStyle w:val="ac"/>
            <w:rFonts w:ascii="Times New Roman" w:hAnsi="Times New Roman" w:cs="Times New Roman"/>
            <w:noProof/>
            <w:lang w:bidi="en-US"/>
          </w:rPr>
          <w:t>Стратегический приоритет 2.1. «Томская область — территория качественного образования и естественного интеллекта»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_Toc238554536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96</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7" w:history="1">
        <w:r w:rsidR="00923B73" w:rsidRPr="00535A4B">
          <w:rPr>
            <w:rStyle w:val="ac"/>
            <w:rFonts w:ascii="Times New Roman" w:hAnsi="Times New Roman" w:cs="Times New Roman"/>
            <w:noProof/>
            <w:lang w:bidi="en-US"/>
          </w:rPr>
          <w:t>Стратегический приоритет 2.2. «Активная молодежь»</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_Toc238554537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106</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8" w:history="1">
        <w:r w:rsidR="00923B73" w:rsidRPr="00535A4B">
          <w:rPr>
            <w:rStyle w:val="ac"/>
            <w:rFonts w:ascii="Times New Roman" w:hAnsi="Times New Roman" w:cs="Times New Roman"/>
            <w:noProof/>
            <w:lang w:bidi="en-US"/>
          </w:rPr>
          <w:t>Стратегический приоритет 2.3. «Добровольчество»</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_Toc238554538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109</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39" w:history="1">
        <w:r w:rsidR="00923B73" w:rsidRPr="00535A4B">
          <w:rPr>
            <w:rStyle w:val="ac"/>
            <w:rFonts w:ascii="Times New Roman" w:hAnsi="Times New Roman" w:cs="Times New Roman"/>
            <w:noProof/>
            <w:lang w:bidi="en-US"/>
          </w:rPr>
          <w:t>Стратегический приоритет 2.4. «Культура объединяет поколения»</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_Toc238554539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111</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0" w:history="1">
        <w:r w:rsidR="00923B73" w:rsidRPr="00535A4B">
          <w:rPr>
            <w:rStyle w:val="ac"/>
            <w:rFonts w:ascii="Times New Roman" w:hAnsi="Times New Roman" w:cs="Times New Roman"/>
            <w:noProof/>
            <w:lang w:bidi="en-US"/>
          </w:rPr>
          <w:t>Стратегический приоритет 2.5. «Укрепление единства российской нации, сохранение и развитие этнокультурного и языкового наследия на территории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_Toc238554540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113</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41" w:history="1">
        <w:r w:rsidR="00923B73" w:rsidRPr="00535A4B">
          <w:rPr>
            <w:rStyle w:val="ac"/>
            <w:rFonts w:ascii="Times New Roman" w:eastAsia="PT Astra Serif" w:hAnsi="Times New Roman" w:cs="Times New Roman"/>
            <w:noProof/>
            <w:lang w:bidi="en-US"/>
          </w:rPr>
          <w:t>11 Региональная цель 3 «Устойчивое экономическое и технологическое развитие»</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_Toc238554541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116</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2" w:history="1">
        <w:r w:rsidR="00923B73" w:rsidRPr="00535A4B">
          <w:rPr>
            <w:rStyle w:val="ac"/>
            <w:rFonts w:ascii="Times New Roman" w:eastAsia="Calibri" w:hAnsi="Times New Roman" w:cs="Times New Roman"/>
            <w:noProof/>
            <w:lang w:bidi="en-US"/>
          </w:rPr>
          <w:t>Стратегический приоритет 3.1. «Экосистема технологического лидерства и кадры будущего»</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_Toc238554542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120</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3" w:history="1">
        <w:r w:rsidR="00923B73" w:rsidRPr="00535A4B">
          <w:rPr>
            <w:rStyle w:val="ac"/>
            <w:rFonts w:ascii="Times New Roman" w:eastAsia="Calibri" w:hAnsi="Times New Roman" w:cs="Times New Roman"/>
            <w:noProof/>
            <w:lang w:bidi="en-US"/>
          </w:rPr>
          <w:t>Стратегический приоритет 3.2. «Модернизация промышленности  и точки роста реального сектора»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_Toc238554543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128</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4" w:history="1">
        <w:r w:rsidR="00923B73" w:rsidRPr="00535A4B">
          <w:rPr>
            <w:rStyle w:val="ac"/>
            <w:rFonts w:ascii="Times New Roman" w:eastAsia="Calibri" w:hAnsi="Times New Roman" w:cs="Times New Roman"/>
            <w:noProof/>
            <w:lang w:bidi="en-US"/>
          </w:rPr>
          <w:t>Стратегический приоритет 3.3. «</w:t>
        </w:r>
        <w:r w:rsidR="00923B73" w:rsidRPr="00535A4B">
          <w:rPr>
            <w:rStyle w:val="ac"/>
            <w:rFonts w:ascii="Times New Roman" w:hAnsi="Times New Roman" w:cs="Times New Roman"/>
            <w:noProof/>
            <w:lang w:eastAsia="ar-SA" w:bidi="en-US"/>
          </w:rPr>
          <w:t>Развитие предпринимательства: от</w:t>
        </w:r>
        <w:r w:rsidR="00923B73" w:rsidRPr="00535A4B">
          <w:rPr>
            <w:rStyle w:val="ac"/>
            <w:rFonts w:ascii="Times New Roman" w:hAnsi="Times New Roman" w:cs="Times New Roman"/>
            <w:noProof/>
            <w:lang w:val="en-US" w:eastAsia="ar-SA" w:bidi="en-US"/>
          </w:rPr>
          <w:t> </w:t>
        </w:r>
        <w:r w:rsidR="00923B73" w:rsidRPr="00535A4B">
          <w:rPr>
            <w:rStyle w:val="ac"/>
            <w:rFonts w:ascii="Times New Roman" w:hAnsi="Times New Roman" w:cs="Times New Roman"/>
            <w:noProof/>
            <w:lang w:eastAsia="ar-SA" w:bidi="en-US"/>
          </w:rPr>
          <w:t>стартапа до лидера рынка</w:t>
        </w:r>
        <w:r w:rsidR="00923B73" w:rsidRPr="00535A4B">
          <w:rPr>
            <w:rStyle w:val="ac"/>
            <w:rFonts w:ascii="Times New Roman" w:eastAsia="Calibri" w:hAnsi="Times New Roman" w:cs="Times New Roman"/>
            <w:noProof/>
            <w:lang w:bidi="en-US"/>
          </w:rPr>
          <w:t>»</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_Toc238554544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132</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5" w:history="1">
        <w:r w:rsidR="00923B73" w:rsidRPr="00535A4B">
          <w:rPr>
            <w:rStyle w:val="ac"/>
            <w:rFonts w:ascii="Times New Roman" w:eastAsia="Calibri" w:hAnsi="Times New Roman" w:cs="Times New Roman"/>
            <w:noProof/>
            <w:lang w:bidi="en-US"/>
          </w:rPr>
          <w:t>Стратегический приоритет 3.4. «Креативная экономика  и индустрия гостеприимства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_Toc238554545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135</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6" w:history="1">
        <w:r w:rsidR="00923B73" w:rsidRPr="00535A4B">
          <w:rPr>
            <w:rStyle w:val="ac"/>
            <w:rFonts w:ascii="Times New Roman" w:eastAsia="Calibri" w:hAnsi="Times New Roman" w:cs="Times New Roman"/>
            <w:noProof/>
            <w:lang w:bidi="en-US"/>
          </w:rPr>
          <w:t>Стратегический приоритет 3.5 «Инвестиционная привлекательность и внешняя открытость региона»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_Toc238554546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140</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47" w:history="1">
        <w:r w:rsidR="00923B73" w:rsidRPr="00535A4B">
          <w:rPr>
            <w:rStyle w:val="ac"/>
            <w:rFonts w:ascii="Times New Roman" w:eastAsia="PT Astra Serif" w:hAnsi="Times New Roman" w:cs="Times New Roman"/>
            <w:noProof/>
            <w:lang w:bidi="en-US"/>
          </w:rPr>
          <w:t>12. Региональная цель 4 «Сбалансированное пространственное развитие, улучшение качества инфраструктуры»</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_Toc238554547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144</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8" w:history="1">
        <w:r w:rsidR="00923B73" w:rsidRPr="00535A4B">
          <w:rPr>
            <w:rStyle w:val="ac"/>
            <w:rFonts w:ascii="Times New Roman" w:eastAsiaTheme="majorEastAsia" w:hAnsi="Times New Roman" w:cs="Times New Roman"/>
            <w:bCs/>
            <w:noProof/>
            <w:lang w:eastAsia="en-US" w:bidi="en-US"/>
          </w:rPr>
          <w:t>Стратегический приоритет 4.1. «Устойчивое экономическое развитие муниципальных образований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_Toc238554548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145</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49" w:history="1">
        <w:r w:rsidR="00923B73" w:rsidRPr="00535A4B">
          <w:rPr>
            <w:rStyle w:val="ac"/>
            <w:rFonts w:ascii="Times New Roman" w:eastAsiaTheme="majorEastAsia" w:hAnsi="Times New Roman" w:cs="Times New Roman"/>
            <w:bCs/>
            <w:noProof/>
            <w:lang w:eastAsia="en-US" w:bidi="en-US"/>
          </w:rPr>
          <w:t>Стратегический приоритет 4.2. «Сбалансированное развитие системы расселения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_Toc238554549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151</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0" w:history="1">
        <w:r w:rsidR="00923B73" w:rsidRPr="00535A4B">
          <w:rPr>
            <w:rStyle w:val="ac"/>
            <w:rFonts w:ascii="Times New Roman" w:eastAsiaTheme="majorEastAsia" w:hAnsi="Times New Roman" w:cs="Times New Roman"/>
            <w:bCs/>
            <w:noProof/>
            <w:lang w:eastAsia="en-US" w:bidi="en-US"/>
          </w:rPr>
          <w:t>Стратегический приоритет 4.3. «Повышение эффективности транспортной и информационно-коммуникационной инфраструктуры»</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_Toc238554550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156</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1" w:history="1">
        <w:r w:rsidR="00923B73" w:rsidRPr="00535A4B">
          <w:rPr>
            <w:rStyle w:val="ac"/>
            <w:rFonts w:ascii="Times New Roman" w:eastAsiaTheme="majorEastAsia" w:hAnsi="Times New Roman" w:cs="Times New Roman"/>
            <w:bCs/>
            <w:noProof/>
            <w:lang w:eastAsia="en-US" w:bidi="en-US"/>
          </w:rPr>
          <w:t>Стратегический приоритет 4.4. «Модернизация и развитие жилищной и коммунальной инфраструктуры, повышение энергоэффективности»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_Toc238554551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159</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2" w:history="1">
        <w:r w:rsidR="00923B73" w:rsidRPr="00535A4B">
          <w:rPr>
            <w:rStyle w:val="ac"/>
            <w:rFonts w:ascii="Times New Roman" w:eastAsiaTheme="majorEastAsia" w:hAnsi="Times New Roman" w:cs="Times New Roman"/>
            <w:bCs/>
            <w:noProof/>
            <w:lang w:eastAsia="en-US" w:bidi="en-US"/>
          </w:rPr>
          <w:t>Стратегический приоритет 4.5. «Развитие комфортной среды жизнедеятельности в населенных пунктах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_Toc238554552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162</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3" w:history="1">
        <w:r w:rsidR="00923B73" w:rsidRPr="00535A4B">
          <w:rPr>
            <w:rStyle w:val="ac"/>
            <w:rFonts w:ascii="Times New Roman" w:eastAsiaTheme="majorEastAsia" w:hAnsi="Times New Roman" w:cs="Times New Roman"/>
            <w:bCs/>
            <w:noProof/>
            <w:lang w:eastAsia="en-US" w:bidi="en-US"/>
          </w:rPr>
          <w:t>Стратегический приоритет 4.6. «Обеспечение безопасности жизнедеятельности»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_Toc238554553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165</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54" w:history="1">
        <w:r w:rsidR="00923B73" w:rsidRPr="00535A4B">
          <w:rPr>
            <w:rStyle w:val="ac"/>
            <w:rFonts w:ascii="Times New Roman" w:hAnsi="Times New Roman" w:cs="Times New Roman"/>
            <w:noProof/>
            <w:lang w:bidi="en-US"/>
          </w:rPr>
          <w:t>13 Региональная цель 5 «Рациональное использование природного капитала, экологическое благополучие и адаптация к изменениям климата»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_Toc238554554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171</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5" w:history="1">
        <w:r w:rsidR="00923B73" w:rsidRPr="00535A4B">
          <w:rPr>
            <w:rStyle w:val="ac"/>
            <w:rFonts w:ascii="Times New Roman" w:hAnsi="Times New Roman" w:cs="Times New Roman"/>
            <w:noProof/>
            <w:lang w:bidi="en-US"/>
          </w:rPr>
          <w:t>Стратегический приоритет 5.1. «Экономика замкнутого цикла»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_Toc238554555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171</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6" w:history="1">
        <w:r w:rsidR="00923B73" w:rsidRPr="00535A4B">
          <w:rPr>
            <w:rStyle w:val="ac"/>
            <w:rFonts w:ascii="Times New Roman" w:hAnsi="Times New Roman" w:cs="Times New Roman"/>
            <w:noProof/>
            <w:lang w:eastAsia="ar-SA" w:bidi="en-US"/>
          </w:rPr>
          <w:t>Стратегический приоритет 5.2. «</w:t>
        </w:r>
        <w:r w:rsidR="00923B73" w:rsidRPr="00535A4B">
          <w:rPr>
            <w:rStyle w:val="ac"/>
            <w:rFonts w:ascii="Times New Roman" w:eastAsia="Calibri" w:hAnsi="Times New Roman" w:cs="Times New Roman"/>
            <w:noProof/>
            <w:lang w:bidi="en-US"/>
          </w:rPr>
          <w:t>Устойчивое развитие агропромышленного комплекса»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_Toc238554556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174</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7" w:history="1">
        <w:r w:rsidR="00923B73" w:rsidRPr="00535A4B">
          <w:rPr>
            <w:rStyle w:val="ac"/>
            <w:rFonts w:ascii="Times New Roman" w:hAnsi="Times New Roman" w:cs="Times New Roman"/>
            <w:noProof/>
            <w:lang w:bidi="en-US"/>
          </w:rPr>
          <w:t>Стратегический приоритет 5.3. «Экологическое благополучие  и адаптация к изменениям климата»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_Toc238554557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176</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58" w:history="1">
        <w:r w:rsidR="00923B73" w:rsidRPr="00535A4B">
          <w:rPr>
            <w:rStyle w:val="ac"/>
            <w:rFonts w:ascii="Times New Roman" w:hAnsi="Times New Roman" w:cs="Times New Roman"/>
            <w:noProof/>
            <w:lang w:eastAsia="ar-SA" w:bidi="en-US"/>
          </w:rPr>
          <w:t>Стратегический приоритет 5.4. «</w:t>
        </w:r>
        <w:r w:rsidR="00923B73" w:rsidRPr="00535A4B">
          <w:rPr>
            <w:rStyle w:val="ac"/>
            <w:rFonts w:ascii="Times New Roman" w:eastAsia="PT Astra Serif" w:hAnsi="Times New Roman" w:cs="Times New Roman"/>
            <w:noProof/>
            <w:lang w:bidi="en-US"/>
          </w:rPr>
          <w:t>Растущий и эффективно используемый природно-ресурсный потенциал»</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_Toc238554558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179</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59" w:history="1">
        <w:r w:rsidR="00923B73" w:rsidRPr="00535A4B">
          <w:rPr>
            <w:rStyle w:val="ac"/>
            <w:rFonts w:ascii="Times New Roman" w:eastAsia="PT Astra Serif" w:hAnsi="Times New Roman" w:cs="Times New Roman"/>
            <w:noProof/>
            <w:lang w:bidi="en-US"/>
          </w:rPr>
          <w:t>14. Региональная цель 6 «Совершенствование государственного и муниципального управления. Цифровая трансформация»</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_Toc238554559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182</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60" w:history="1">
        <w:r w:rsidR="00923B73" w:rsidRPr="00535A4B">
          <w:rPr>
            <w:rStyle w:val="ac"/>
            <w:rFonts w:ascii="Times New Roman" w:eastAsia="PT Astra Serif" w:hAnsi="Times New Roman" w:cs="Times New Roman"/>
            <w:bCs/>
            <w:noProof/>
            <w:lang w:bidi="en-US"/>
          </w:rPr>
          <w:t>Стратегический приоритет 6.1. «Эффективное государственное  и муниципальное управление»</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_Toc238554560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183</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61" w:history="1">
        <w:r w:rsidR="00923B73" w:rsidRPr="00535A4B">
          <w:rPr>
            <w:rStyle w:val="ac"/>
            <w:rFonts w:ascii="Times New Roman" w:eastAsia="PT Astra Serif" w:hAnsi="Times New Roman" w:cs="Times New Roman"/>
            <w:noProof/>
            <w:lang w:bidi="en-US"/>
          </w:rPr>
          <w:t>Стратегический приоритет 6.2. «Э</w:t>
        </w:r>
        <w:r w:rsidR="00923B73" w:rsidRPr="00535A4B">
          <w:rPr>
            <w:rStyle w:val="ac"/>
            <w:rFonts w:ascii="Times New Roman" w:hAnsi="Times New Roman" w:cs="Times New Roman"/>
            <w:noProof/>
            <w:lang w:bidi="en-US"/>
          </w:rPr>
          <w:t>ффективное управление региональными финансами и совершенствование межбюджетных отношений</w:t>
        </w:r>
        <w:r w:rsidR="00923B73" w:rsidRPr="00535A4B">
          <w:rPr>
            <w:rStyle w:val="ac"/>
            <w:rFonts w:ascii="Times New Roman" w:hAnsi="Times New Roman" w:cs="Times New Roman"/>
            <w:noProof/>
            <w:shd w:val="clear" w:color="auto" w:fill="FFFFFF"/>
            <w:lang w:bidi="en-US"/>
          </w:rPr>
          <w:t>»</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_Toc238554561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185</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62" w:history="1">
        <w:r w:rsidR="00923B73" w:rsidRPr="00535A4B">
          <w:rPr>
            <w:rStyle w:val="ac"/>
            <w:rFonts w:ascii="Times New Roman" w:hAnsi="Times New Roman" w:cs="Times New Roman"/>
            <w:noProof/>
            <w:lang w:bidi="en-US"/>
          </w:rPr>
          <w:t xml:space="preserve">Стратегический приоритет 6.3. </w:t>
        </w:r>
        <w:r w:rsidR="00923B73" w:rsidRPr="00535A4B">
          <w:rPr>
            <w:rStyle w:val="ac"/>
            <w:rFonts w:ascii="Times New Roman" w:eastAsia="Calibri" w:hAnsi="Times New Roman" w:cs="Times New Roman"/>
            <w:noProof/>
            <w:lang w:bidi="en-US"/>
          </w:rPr>
          <w:t>«</w:t>
        </w:r>
        <w:r w:rsidR="00923B73" w:rsidRPr="00535A4B">
          <w:rPr>
            <w:rStyle w:val="ac"/>
            <w:rFonts w:ascii="Times New Roman" w:eastAsia="PT Astra Serif" w:hAnsi="Times New Roman" w:cs="Times New Roman"/>
            <w:noProof/>
            <w:lang w:bidi="en-US"/>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_Toc238554562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187</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63" w:history="1">
        <w:r w:rsidR="00923B73" w:rsidRPr="00535A4B">
          <w:rPr>
            <w:rStyle w:val="ac"/>
            <w:rFonts w:ascii="Times New Roman" w:eastAsia="PT Astra Serif" w:hAnsi="Times New Roman" w:cs="Times New Roman"/>
            <w:noProof/>
            <w:lang w:bidi="en-US"/>
          </w:rPr>
          <w:t>15. Ожидаемые результаты реализации Стратегии. Показатели достижения целей социально-экономического развития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_Toc238554563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190</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64" w:history="1">
        <w:r w:rsidR="00923B73" w:rsidRPr="00535A4B">
          <w:rPr>
            <w:rStyle w:val="ac"/>
            <w:rFonts w:ascii="Times New Roman" w:eastAsia="PT Astra Serif" w:hAnsi="Times New Roman" w:cs="Times New Roman"/>
            <w:noProof/>
            <w:lang w:bidi="en-US"/>
          </w:rPr>
          <w:t>16.</w:t>
        </w:r>
        <w:r w:rsidR="00923B73" w:rsidRPr="00535A4B">
          <w:rPr>
            <w:rStyle w:val="ac"/>
            <w:rFonts w:ascii="Times New Roman" w:eastAsiaTheme="minorHAnsi" w:hAnsi="Times New Roman" w:cs="Times New Roman"/>
            <w:noProof/>
            <w:lang w:bidi="en-US"/>
          </w:rPr>
          <w:t xml:space="preserve"> </w:t>
        </w:r>
        <w:r w:rsidR="00923B73" w:rsidRPr="00535A4B">
          <w:rPr>
            <w:rStyle w:val="ac"/>
            <w:rFonts w:ascii="Times New Roman" w:eastAsia="PT Astra Serif" w:hAnsi="Times New Roman" w:cs="Times New Roman"/>
            <w:noProof/>
            <w:lang w:bidi="en-US"/>
          </w:rPr>
          <w:t>Проекты, оказывающие влияние на социально-экономическое развитие Томской области  в долгосрочной перспективе</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_Toc238554564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199</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65" w:history="1">
        <w:r w:rsidR="00923B73" w:rsidRPr="00535A4B">
          <w:rPr>
            <w:rStyle w:val="ac"/>
            <w:rFonts w:ascii="Times New Roman" w:eastAsia="PT Astra Serif" w:hAnsi="Times New Roman" w:cs="Times New Roman"/>
            <w:noProof/>
            <w:lang w:bidi="en-US"/>
          </w:rPr>
          <w:t>17. Ресурсное обеспечение реализации Стратегии, в том числе оценка финансовых ресурсов, необходимых для реализации Стратегии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_Toc238554565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209</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66" w:history="1">
        <w:r w:rsidR="00923B73" w:rsidRPr="00535A4B">
          <w:rPr>
            <w:rStyle w:val="ac"/>
            <w:rFonts w:ascii="Times New Roman" w:eastAsia="PT Astra Serif" w:hAnsi="Times New Roman" w:cs="Times New Roman"/>
            <w:noProof/>
            <w:lang w:bidi="en-US"/>
          </w:rPr>
          <w:t>18. Механизмы реализации и организация управления Стратегией</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_Toc238554566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211</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67" w:history="1">
        <w:r w:rsidR="00923B73" w:rsidRPr="00535A4B">
          <w:rPr>
            <w:rStyle w:val="ac"/>
            <w:rFonts w:ascii="Times New Roman" w:eastAsia="PT Astra Serif" w:hAnsi="Times New Roman" w:cs="Times New Roman"/>
            <w:noProof/>
            <w:lang w:bidi="en-US"/>
          </w:rPr>
          <w:t>19 Этапы и сроки реализации Стратегии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_Toc238554567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213</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68" w:history="1">
        <w:r w:rsidR="00923B73" w:rsidRPr="00535A4B">
          <w:rPr>
            <w:rStyle w:val="ac"/>
            <w:rFonts w:ascii="Times New Roman" w:eastAsia="PT Astra Serif" w:hAnsi="Times New Roman" w:cs="Times New Roman"/>
            <w:noProof/>
            <w:lang w:bidi="en-US"/>
          </w:rPr>
          <w:t>Приложение 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_Toc238554568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215</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69" w:history="1">
        <w:r w:rsidR="00923B73" w:rsidRPr="00535A4B">
          <w:rPr>
            <w:rStyle w:val="ac"/>
            <w:rFonts w:ascii="Times New Roman" w:eastAsia="PT Astra Serif" w:hAnsi="Times New Roman" w:cs="Times New Roman"/>
            <w:noProof/>
            <w:lang w:bidi="en-US"/>
          </w:rPr>
          <w:t>Перспективы развития муниципальных образований и опорных населенных пунктов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_Toc238554569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215</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70" w:history="1">
        <w:r w:rsidR="00923B73" w:rsidRPr="00535A4B">
          <w:rPr>
            <w:rStyle w:val="ac"/>
            <w:rFonts w:ascii="Times New Roman" w:eastAsia="PT Astra Serif" w:hAnsi="Times New Roman" w:cs="Times New Roman"/>
            <w:noProof/>
            <w:lang w:bidi="en-US"/>
          </w:rPr>
          <w:t>Приложение Б</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_Toc238554570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238</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71" w:history="1">
        <w:r w:rsidR="00923B73" w:rsidRPr="00535A4B">
          <w:rPr>
            <w:rStyle w:val="ac"/>
            <w:rFonts w:ascii="Times New Roman" w:eastAsia="PT Astra Serif" w:hAnsi="Times New Roman" w:cs="Times New Roman"/>
            <w:noProof/>
            <w:lang w:bidi="en-US"/>
          </w:rPr>
          <w:t xml:space="preserve">Сведения о кадровой потребности по видам экономической деятельности </w:t>
        </w:r>
        <w:r w:rsidR="00923B73" w:rsidRPr="00535A4B">
          <w:rPr>
            <w:rStyle w:val="ac"/>
            <w:rFonts w:ascii="Times New Roman" w:hAnsi="Times New Roman" w:cs="Times New Roman"/>
            <w:noProof/>
            <w:lang w:eastAsia="ar-SA" w:bidi="en-US"/>
          </w:rPr>
          <w:t>Томской области до 2036 года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_Toc238554571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238</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72" w:history="1">
        <w:r w:rsidR="00923B73" w:rsidRPr="00535A4B">
          <w:rPr>
            <w:rStyle w:val="ac"/>
            <w:rFonts w:ascii="Times New Roman" w:eastAsia="PT Astra Serif" w:hAnsi="Times New Roman" w:cs="Times New Roman"/>
            <w:noProof/>
            <w:lang w:bidi="en-US"/>
          </w:rPr>
          <w:t>Приложение В</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_Toc238554572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243</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73" w:history="1">
        <w:r w:rsidR="00923B73" w:rsidRPr="00535A4B">
          <w:rPr>
            <w:rStyle w:val="ac"/>
            <w:rFonts w:ascii="Times New Roman" w:eastAsia="PT Astra Serif" w:hAnsi="Times New Roman" w:cs="Times New Roman"/>
            <w:noProof/>
            <w:lang w:bidi="en-US"/>
          </w:rPr>
          <w:t>Сведения о кадровой потребности в профессионально-квалификационном разрезе до 2036 года</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_Toc238554573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243</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74" w:history="1">
        <w:r w:rsidR="00923B73" w:rsidRPr="00535A4B">
          <w:rPr>
            <w:rStyle w:val="ac"/>
            <w:rFonts w:ascii="Times New Roman" w:eastAsia="PT Astra Serif" w:hAnsi="Times New Roman" w:cs="Times New Roman"/>
            <w:noProof/>
            <w:lang w:bidi="en-US"/>
          </w:rPr>
          <w:t>Приложение Г</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_Toc238554574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247</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75" w:history="1">
        <w:r w:rsidR="00923B73" w:rsidRPr="00535A4B">
          <w:rPr>
            <w:rStyle w:val="ac"/>
            <w:rFonts w:ascii="Times New Roman" w:eastAsia="PT Astra Serif" w:hAnsi="Times New Roman" w:cs="Times New Roman"/>
            <w:noProof/>
            <w:lang w:bidi="en-US"/>
          </w:rPr>
          <w:t>PEST- и SWOT-анализ</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_Toc238554575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247</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76" w:history="1">
        <w:r w:rsidR="00923B73" w:rsidRPr="00535A4B">
          <w:rPr>
            <w:rStyle w:val="ac"/>
            <w:rFonts w:ascii="Times New Roman" w:hAnsi="Times New Roman" w:cs="Times New Roman"/>
            <w:noProof/>
            <w:lang w:bidi="en-US"/>
          </w:rPr>
          <w:t>Приложение Д</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_Toc238554576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256</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77" w:history="1">
        <w:r w:rsidR="00923B73" w:rsidRPr="00535A4B">
          <w:rPr>
            <w:rStyle w:val="ac"/>
            <w:rFonts w:ascii="Times New Roman" w:hAnsi="Times New Roman" w:cs="Times New Roman"/>
            <w:noProof/>
            <w:lang w:bidi="en-US"/>
          </w:rPr>
          <w:t>Флагманские инициативы и проекты</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_Toc238554577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256</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78" w:history="1">
        <w:r w:rsidR="00923B73" w:rsidRPr="00535A4B">
          <w:rPr>
            <w:rStyle w:val="ac"/>
            <w:rFonts w:ascii="Times New Roman" w:hAnsi="Times New Roman" w:cs="Times New Roman"/>
            <w:noProof/>
            <w:lang w:bidi="en-US"/>
          </w:rPr>
          <w:t>Приложение Е</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_Toc238554578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288</w:t>
        </w:r>
        <w:r w:rsidR="00923B73" w:rsidRPr="00535A4B">
          <w:rPr>
            <w:rFonts w:ascii="Times New Roman" w:hAnsi="Times New Roman" w:cs="Times New Roman"/>
            <w:noProof/>
            <w:webHidden/>
          </w:rPr>
          <w:fldChar w:fldCharType="end"/>
        </w:r>
      </w:hyperlink>
    </w:p>
    <w:p w:rsidR="00923B73" w:rsidRPr="00535A4B" w:rsidRDefault="00B7084D">
      <w:pPr>
        <w:pStyle w:val="23"/>
        <w:tabs>
          <w:tab w:val="right" w:leader="dot" w:pos="9344"/>
        </w:tabs>
        <w:rPr>
          <w:rFonts w:ascii="Times New Roman" w:eastAsiaTheme="minorEastAsia" w:hAnsi="Times New Roman" w:cs="Times New Roman"/>
          <w:smallCaps w:val="0"/>
          <w:noProof/>
          <w:sz w:val="22"/>
          <w:szCs w:val="22"/>
        </w:rPr>
      </w:pPr>
      <w:hyperlink w:anchor="_Toc238554579" w:history="1">
        <w:r w:rsidR="00923B73" w:rsidRPr="00535A4B">
          <w:rPr>
            <w:rStyle w:val="ac"/>
            <w:rFonts w:ascii="Times New Roman" w:hAnsi="Times New Roman" w:cs="Times New Roman"/>
            <w:noProof/>
            <w:lang w:bidi="en-US"/>
          </w:rPr>
          <w:t>Примерный перечень государственных программ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_Toc238554579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288</w:t>
        </w:r>
        <w:r w:rsidR="00923B73" w:rsidRPr="00535A4B">
          <w:rPr>
            <w:rFonts w:ascii="Times New Roman" w:hAnsi="Times New Roman" w:cs="Times New Roman"/>
            <w:noProof/>
            <w:webHidden/>
          </w:rPr>
          <w:fldChar w:fldCharType="end"/>
        </w:r>
      </w:hyperlink>
    </w:p>
    <w:p w:rsidR="00923B73" w:rsidRPr="00535A4B" w:rsidRDefault="00B7084D">
      <w:pPr>
        <w:pStyle w:val="12"/>
        <w:tabs>
          <w:tab w:val="right" w:leader="dot" w:pos="9344"/>
        </w:tabs>
        <w:rPr>
          <w:rFonts w:ascii="Times New Roman" w:eastAsiaTheme="minorEastAsia" w:hAnsi="Times New Roman" w:cs="Times New Roman"/>
          <w:bCs w:val="0"/>
          <w:caps w:val="0"/>
          <w:noProof/>
          <w:sz w:val="22"/>
          <w:szCs w:val="22"/>
        </w:rPr>
      </w:pPr>
      <w:hyperlink w:anchor="_Toc238554580" w:history="1">
        <w:r w:rsidR="00923B73" w:rsidRPr="00535A4B">
          <w:rPr>
            <w:rStyle w:val="ac"/>
            <w:rFonts w:ascii="Times New Roman" w:hAnsi="Times New Roman" w:cs="Times New Roman"/>
            <w:noProof/>
            <w:lang w:bidi="en-US"/>
          </w:rPr>
          <w:t>ПРИЛОЖЕНИЕ Ж</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_Toc238554580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289</w:t>
        </w:r>
        <w:r w:rsidR="00923B73" w:rsidRPr="00535A4B">
          <w:rPr>
            <w:rFonts w:ascii="Times New Roman" w:hAnsi="Times New Roman" w:cs="Times New Roman"/>
            <w:noProof/>
            <w:webHidden/>
          </w:rPr>
          <w:fldChar w:fldCharType="end"/>
        </w:r>
      </w:hyperlink>
    </w:p>
    <w:p w:rsidR="00923B73" w:rsidRPr="00535A4B" w:rsidRDefault="00B7084D" w:rsidP="00923B73">
      <w:pPr>
        <w:pStyle w:val="12"/>
        <w:tabs>
          <w:tab w:val="right" w:leader="dot" w:pos="9344"/>
        </w:tabs>
        <w:ind w:left="284"/>
        <w:rPr>
          <w:rFonts w:ascii="Times New Roman" w:eastAsiaTheme="minorEastAsia" w:hAnsi="Times New Roman" w:cs="Times New Roman"/>
          <w:bCs w:val="0"/>
          <w:caps w:val="0"/>
          <w:noProof/>
          <w:sz w:val="22"/>
          <w:szCs w:val="22"/>
        </w:rPr>
      </w:pPr>
      <w:hyperlink w:anchor="_Toc238554581" w:history="1">
        <w:r w:rsidR="00923B73" w:rsidRPr="00535A4B">
          <w:rPr>
            <w:rStyle w:val="ac"/>
            <w:rFonts w:ascii="Times New Roman" w:hAnsi="Times New Roman" w:cs="Times New Roman"/>
            <w:bCs w:val="0"/>
            <w:caps w:val="0"/>
            <w:smallCaps/>
            <w:noProof/>
            <w:lang w:bidi="en-US"/>
          </w:rPr>
          <w:t>Информация о реализации Программы развития инфраструктуры в опорных населенных пунктах Томской области</w:t>
        </w:r>
        <w:r w:rsidR="00923B73" w:rsidRPr="00535A4B">
          <w:rPr>
            <w:rFonts w:ascii="Times New Roman" w:hAnsi="Times New Roman" w:cs="Times New Roman"/>
            <w:noProof/>
            <w:webHidden/>
          </w:rPr>
          <w:tab/>
        </w:r>
        <w:r w:rsidR="00923B73" w:rsidRPr="00535A4B">
          <w:rPr>
            <w:rFonts w:ascii="Times New Roman" w:hAnsi="Times New Roman" w:cs="Times New Roman"/>
            <w:noProof/>
            <w:webHidden/>
          </w:rPr>
          <w:fldChar w:fldCharType="begin"/>
        </w:r>
        <w:r w:rsidR="00923B73" w:rsidRPr="00535A4B">
          <w:rPr>
            <w:rFonts w:ascii="Times New Roman" w:hAnsi="Times New Roman" w:cs="Times New Roman"/>
            <w:noProof/>
            <w:webHidden/>
          </w:rPr>
          <w:instrText xml:space="preserve"> PAGEREF _Toc238554581 \h </w:instrText>
        </w:r>
        <w:r w:rsidR="00923B73" w:rsidRPr="00535A4B">
          <w:rPr>
            <w:rFonts w:ascii="Times New Roman" w:hAnsi="Times New Roman" w:cs="Times New Roman"/>
            <w:noProof/>
            <w:webHidden/>
          </w:rPr>
        </w:r>
        <w:r w:rsidR="00923B73" w:rsidRPr="00535A4B">
          <w:rPr>
            <w:rFonts w:ascii="Times New Roman" w:hAnsi="Times New Roman" w:cs="Times New Roman"/>
            <w:noProof/>
            <w:webHidden/>
          </w:rPr>
          <w:fldChar w:fldCharType="separate"/>
        </w:r>
        <w:r>
          <w:rPr>
            <w:rFonts w:ascii="Times New Roman" w:hAnsi="Times New Roman" w:cs="Times New Roman"/>
            <w:noProof/>
            <w:webHidden/>
          </w:rPr>
          <w:t>289</w:t>
        </w:r>
        <w:r w:rsidR="00923B73" w:rsidRPr="00535A4B">
          <w:rPr>
            <w:rFonts w:ascii="Times New Roman" w:hAnsi="Times New Roman" w:cs="Times New Roman"/>
            <w:noProof/>
            <w:webHidden/>
          </w:rPr>
          <w:fldChar w:fldCharType="end"/>
        </w:r>
      </w:hyperlink>
    </w:p>
    <w:p w:rsidR="00E618FE" w:rsidRPr="00535A4B" w:rsidRDefault="00800098">
      <w:pPr>
        <w:pStyle w:val="a4"/>
        <w:spacing w:after="120"/>
        <w:rPr>
          <w:rFonts w:ascii="Times New Roman" w:hAnsi="Times New Roman"/>
          <w:color w:val="auto"/>
          <w:sz w:val="24"/>
          <w:szCs w:val="24"/>
        </w:rPr>
        <w:sectPr w:rsidR="00E618FE" w:rsidRPr="00535A4B">
          <w:headerReference w:type="default" r:id="rId9"/>
          <w:footerReference w:type="default" r:id="rId10"/>
          <w:footerReference w:type="first" r:id="rId11"/>
          <w:pgSz w:w="11906" w:h="16838"/>
          <w:pgMar w:top="1134" w:right="851" w:bottom="1134" w:left="1701" w:header="709" w:footer="709" w:gutter="0"/>
          <w:cols w:space="708"/>
          <w:titlePg/>
          <w:docGrid w:linePitch="360"/>
        </w:sectPr>
      </w:pPr>
      <w:r w:rsidRPr="00535A4B">
        <w:rPr>
          <w:rFonts w:ascii="Times New Roman" w:hAnsi="Times New Roman"/>
          <w:color w:val="auto"/>
          <w:sz w:val="24"/>
          <w:szCs w:val="24"/>
        </w:rPr>
        <w:fldChar w:fldCharType="end"/>
      </w:r>
    </w:p>
    <w:p w:rsidR="00E618FE" w:rsidRPr="00535A4B" w:rsidRDefault="00800098">
      <w:pPr>
        <w:pStyle w:val="10"/>
        <w:rPr>
          <w:rFonts w:ascii="Times New Roman" w:eastAsia="PT Astra Serif" w:hAnsi="Times New Roman" w:cs="Times New Roman"/>
          <w:lang w:val="ru-RU"/>
        </w:rPr>
      </w:pPr>
      <w:bookmarkStart w:id="6" w:name="_Toc235810125"/>
      <w:bookmarkStart w:id="7" w:name="_Toc238554513"/>
      <w:bookmarkEnd w:id="3"/>
      <w:bookmarkEnd w:id="4"/>
      <w:bookmarkEnd w:id="5"/>
      <w:r w:rsidRPr="00535A4B">
        <w:rPr>
          <w:rFonts w:ascii="Times New Roman" w:eastAsia="PT Astra Serif" w:hAnsi="Times New Roman" w:cs="Times New Roman"/>
          <w:lang w:val="ru-RU"/>
        </w:rPr>
        <w:lastRenderedPageBreak/>
        <w:t>1.</w:t>
      </w:r>
      <w:r w:rsidRPr="00535A4B">
        <w:rPr>
          <w:rFonts w:ascii="Times New Roman" w:hAnsi="Times New Roman" w:cs="Times New Roman"/>
          <w:lang w:val="ru-RU"/>
        </w:rPr>
        <w:t> </w:t>
      </w:r>
      <w:r w:rsidRPr="00535A4B">
        <w:rPr>
          <w:rFonts w:ascii="Times New Roman" w:eastAsia="PT Astra Serif" w:hAnsi="Times New Roman" w:cs="Times New Roman"/>
          <w:lang w:val="ru-RU"/>
        </w:rPr>
        <w:t>Общие положения</w:t>
      </w:r>
      <w:bookmarkEnd w:id="6"/>
      <w:bookmarkEnd w:id="7"/>
      <w:r w:rsidRPr="00535A4B">
        <w:rPr>
          <w:rFonts w:ascii="Times New Roman" w:eastAsia="PT Astra Serif" w:hAnsi="Times New Roman" w:cs="Times New Roman"/>
          <w:lang w:val="ru-RU"/>
        </w:rPr>
        <w:t xml:space="preserve"> </w:t>
      </w:r>
    </w:p>
    <w:p w:rsidR="00E618FE" w:rsidRPr="00535A4B" w:rsidRDefault="00E618FE">
      <w:pPr>
        <w:pStyle w:val="a4"/>
        <w:rPr>
          <w:rFonts w:ascii="Times New Roman" w:hAnsi="Times New Roman"/>
          <w:color w:val="auto"/>
        </w:rPr>
      </w:pPr>
    </w:p>
    <w:p w:rsidR="00E618FE" w:rsidRPr="004C2393" w:rsidRDefault="00800098">
      <w:pPr>
        <w:pStyle w:val="a4"/>
        <w:rPr>
          <w:rFonts w:ascii="Times New Roman" w:hAnsi="Times New Roman"/>
          <w:color w:val="auto"/>
          <w:sz w:val="26"/>
          <w:szCs w:val="26"/>
        </w:rPr>
      </w:pPr>
      <w:r w:rsidRPr="004C2393">
        <w:rPr>
          <w:rFonts w:ascii="Times New Roman" w:hAnsi="Times New Roman"/>
          <w:b/>
          <w:bCs/>
          <w:color w:val="auto"/>
          <w:sz w:val="26"/>
          <w:szCs w:val="26"/>
        </w:rPr>
        <w:t>Стратегия социально-экономического развития Томской области до 2036 года</w:t>
      </w:r>
      <w:r w:rsidRPr="004C2393">
        <w:rPr>
          <w:rFonts w:ascii="Times New Roman" w:hAnsi="Times New Roman"/>
          <w:color w:val="auto"/>
          <w:sz w:val="26"/>
          <w:szCs w:val="26"/>
        </w:rPr>
        <w:t xml:space="preserve"> (далее </w:t>
      </w:r>
      <w:r w:rsidR="004C2393" w:rsidRPr="004C2393">
        <w:rPr>
          <w:rFonts w:ascii="Times New Roman" w:hAnsi="Times New Roman"/>
          <w:color w:val="auto"/>
          <w:sz w:val="26"/>
          <w:szCs w:val="26"/>
        </w:rPr>
        <w:t>–</w:t>
      </w:r>
      <w:r w:rsidRPr="004C2393">
        <w:rPr>
          <w:rFonts w:ascii="Times New Roman" w:hAnsi="Times New Roman"/>
          <w:color w:val="auto"/>
          <w:sz w:val="26"/>
          <w:szCs w:val="26"/>
        </w:rPr>
        <w:t xml:space="preserve"> Стратегия) определяет ключевые приоритеты, цели и задачи социально-экономического развития Томской области, основные направления и механизмы их достижения на долгосрочную перспективу. Настоящим документом корректируются положения и показатели Стратегии социально-экономического развития Томской области до 2030 года (далее </w:t>
      </w:r>
      <w:r w:rsidR="004C2393" w:rsidRPr="004C2393">
        <w:rPr>
          <w:rFonts w:ascii="Times New Roman" w:hAnsi="Times New Roman"/>
          <w:color w:val="auto"/>
          <w:sz w:val="26"/>
          <w:szCs w:val="26"/>
        </w:rPr>
        <w:t>–</w:t>
      </w:r>
      <w:r w:rsidRPr="004C2393">
        <w:rPr>
          <w:rFonts w:ascii="Times New Roman" w:hAnsi="Times New Roman"/>
          <w:color w:val="auto"/>
          <w:sz w:val="26"/>
          <w:szCs w:val="26"/>
        </w:rPr>
        <w:t xml:space="preserve"> Стратегия 2030), утвержденной постановлением Законодательной Думы Томской области от 26 марта 2015 года </w:t>
      </w:r>
      <w:r w:rsidR="004C2393">
        <w:rPr>
          <w:rFonts w:ascii="Times New Roman" w:hAnsi="Times New Roman"/>
          <w:color w:val="auto"/>
          <w:sz w:val="26"/>
          <w:szCs w:val="26"/>
        </w:rPr>
        <w:br/>
      </w:r>
      <w:r w:rsidRPr="004C2393">
        <w:rPr>
          <w:rFonts w:ascii="Times New Roman" w:hAnsi="Times New Roman"/>
          <w:color w:val="auto"/>
          <w:sz w:val="26"/>
          <w:szCs w:val="26"/>
        </w:rPr>
        <w:t>№ 2580. Срок реализации Стратегии продлевается до 2036 года.</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Целью подготовки Стратегии является обновление, дополнение</w:t>
      </w:r>
      <w:r w:rsidRPr="004C2393">
        <w:rPr>
          <w:rFonts w:ascii="Times New Roman" w:hAnsi="Times New Roman"/>
          <w:color w:val="auto"/>
          <w:sz w:val="26"/>
          <w:szCs w:val="26"/>
        </w:rPr>
        <w:br/>
        <w:t>и корректировка целей, приоритетов и задач развития региона для достижения целей социально-экономического развития Томской области</w:t>
      </w:r>
      <w:r w:rsidR="004C2393">
        <w:rPr>
          <w:rFonts w:ascii="Times New Roman" w:hAnsi="Times New Roman"/>
          <w:color w:val="auto"/>
          <w:sz w:val="26"/>
          <w:szCs w:val="26"/>
        </w:rPr>
        <w:t xml:space="preserve"> </w:t>
      </w:r>
      <w:r w:rsidRPr="004C2393">
        <w:rPr>
          <w:rFonts w:ascii="Times New Roman" w:hAnsi="Times New Roman"/>
          <w:color w:val="auto"/>
          <w:sz w:val="26"/>
          <w:szCs w:val="26"/>
        </w:rPr>
        <w:t xml:space="preserve">и повышения ее вклада </w:t>
      </w:r>
      <w:r w:rsidR="004C2393">
        <w:rPr>
          <w:rFonts w:ascii="Times New Roman" w:hAnsi="Times New Roman"/>
          <w:color w:val="auto"/>
          <w:sz w:val="26"/>
          <w:szCs w:val="26"/>
        </w:rPr>
        <w:br/>
      </w:r>
      <w:r w:rsidRPr="004C2393">
        <w:rPr>
          <w:rFonts w:ascii="Times New Roman" w:hAnsi="Times New Roman"/>
          <w:color w:val="auto"/>
          <w:sz w:val="26"/>
          <w:szCs w:val="26"/>
        </w:rPr>
        <w:t xml:space="preserve">в достижение национальных целей развития Российской Федерации до 2036 года. </w:t>
      </w:r>
      <w:r w:rsidR="004C2393">
        <w:rPr>
          <w:rFonts w:ascii="Times New Roman" w:hAnsi="Times New Roman"/>
          <w:color w:val="auto"/>
          <w:sz w:val="26"/>
          <w:szCs w:val="26"/>
        </w:rPr>
        <w:br/>
      </w:r>
      <w:r w:rsidRPr="004C2393">
        <w:rPr>
          <w:rFonts w:ascii="Times New Roman" w:hAnsi="Times New Roman"/>
          <w:color w:val="auto"/>
          <w:sz w:val="26"/>
          <w:szCs w:val="26"/>
        </w:rPr>
        <w:t xml:space="preserve">В ходе работы над Стратегией учтены изменения в правовой базе, во внешних и внутренних условиях развития Томской области, которые произошли в период </w:t>
      </w:r>
      <w:r w:rsidR="004C2393">
        <w:rPr>
          <w:rFonts w:ascii="Times New Roman" w:hAnsi="Times New Roman"/>
          <w:color w:val="auto"/>
          <w:sz w:val="26"/>
          <w:szCs w:val="26"/>
        </w:rPr>
        <w:br/>
      </w:r>
      <w:r w:rsidRPr="004C2393">
        <w:rPr>
          <w:rFonts w:ascii="Times New Roman" w:hAnsi="Times New Roman"/>
          <w:color w:val="auto"/>
          <w:sz w:val="26"/>
          <w:szCs w:val="26"/>
        </w:rPr>
        <w:t>2021</w:t>
      </w:r>
      <w:r w:rsidR="004C2393">
        <w:rPr>
          <w:rFonts w:ascii="Times New Roman" w:hAnsi="Times New Roman"/>
          <w:color w:val="auto"/>
          <w:sz w:val="26"/>
          <w:szCs w:val="26"/>
        </w:rPr>
        <w:t xml:space="preserve"> </w:t>
      </w:r>
      <w:r w:rsidRPr="004C2393">
        <w:rPr>
          <w:rFonts w:ascii="Times New Roman" w:hAnsi="Times New Roman"/>
          <w:color w:val="auto"/>
          <w:sz w:val="26"/>
          <w:szCs w:val="26"/>
        </w:rPr>
        <w:t>–</w:t>
      </w:r>
      <w:r w:rsidR="004C2393">
        <w:rPr>
          <w:rFonts w:ascii="Times New Roman" w:hAnsi="Times New Roman"/>
          <w:color w:val="auto"/>
          <w:sz w:val="26"/>
          <w:szCs w:val="26"/>
        </w:rPr>
        <w:t xml:space="preserve"> </w:t>
      </w:r>
      <w:r w:rsidRPr="004C2393">
        <w:rPr>
          <w:rFonts w:ascii="Times New Roman" w:hAnsi="Times New Roman"/>
          <w:color w:val="auto"/>
          <w:sz w:val="26"/>
          <w:szCs w:val="26"/>
        </w:rPr>
        <w:t>2025 годов.</w:t>
      </w:r>
    </w:p>
    <w:p w:rsidR="00E618FE" w:rsidRPr="004C2393" w:rsidRDefault="00800098">
      <w:pPr>
        <w:pStyle w:val="a4"/>
        <w:rPr>
          <w:rFonts w:ascii="Times New Roman" w:hAnsi="Times New Roman"/>
          <w:color w:val="auto"/>
          <w:sz w:val="26"/>
          <w:szCs w:val="26"/>
        </w:rPr>
      </w:pPr>
      <w:r w:rsidRPr="004C2393">
        <w:rPr>
          <w:rFonts w:ascii="Times New Roman" w:hAnsi="Times New Roman"/>
          <w:b/>
          <w:bCs/>
          <w:color w:val="auto"/>
          <w:sz w:val="26"/>
          <w:szCs w:val="26"/>
        </w:rPr>
        <w:t>Стратегия разработана с учетом национальных и стратегических целей, приоритетов и задач</w:t>
      </w:r>
      <w:r w:rsidRPr="004C2393">
        <w:rPr>
          <w:rFonts w:ascii="Times New Roman" w:hAnsi="Times New Roman"/>
          <w:color w:val="auto"/>
          <w:sz w:val="26"/>
          <w:szCs w:val="26"/>
        </w:rPr>
        <w:t>, зафиксированных в следующих нормативных правовых актах:</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Указ Президента Российской Федерации от 7 мая 2024 года № 309 «О национальных целях развития Российской Федерации на период</w:t>
      </w:r>
      <w:r w:rsidR="00800098" w:rsidRPr="004C2393">
        <w:rPr>
          <w:rFonts w:ascii="Times New Roman" w:hAnsi="Times New Roman"/>
          <w:color w:val="auto"/>
          <w:sz w:val="26"/>
          <w:szCs w:val="26"/>
        </w:rPr>
        <w:br/>
        <w:t>до 2030 года и на перспективу до 2036 года»;</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Указ Президента Российской Федерации от 2 июля 2021 года № 400 </w:t>
      </w:r>
      <w:r>
        <w:rPr>
          <w:rFonts w:ascii="Times New Roman" w:hAnsi="Times New Roman"/>
          <w:color w:val="auto"/>
          <w:sz w:val="26"/>
          <w:szCs w:val="26"/>
        </w:rPr>
        <w:br/>
      </w:r>
      <w:r w:rsidR="00800098" w:rsidRPr="004C2393">
        <w:rPr>
          <w:rFonts w:ascii="Times New Roman" w:hAnsi="Times New Roman"/>
          <w:color w:val="auto"/>
          <w:sz w:val="26"/>
          <w:szCs w:val="26"/>
        </w:rPr>
        <w:t>«О Стратегии национальной безопасности Российской Федерации»;</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Указ Президента Российской Федерации от 13 мая 2017 года № 208 </w:t>
      </w:r>
      <w:r>
        <w:rPr>
          <w:rFonts w:ascii="Times New Roman" w:hAnsi="Times New Roman"/>
          <w:color w:val="auto"/>
          <w:sz w:val="26"/>
          <w:szCs w:val="26"/>
        </w:rPr>
        <w:br/>
      </w:r>
      <w:r w:rsidR="00800098" w:rsidRPr="004C2393">
        <w:rPr>
          <w:rFonts w:ascii="Times New Roman" w:hAnsi="Times New Roman"/>
          <w:color w:val="auto"/>
          <w:sz w:val="26"/>
          <w:szCs w:val="26"/>
        </w:rPr>
        <w:t xml:space="preserve">«О Стратегии экономической безопасности Российской Федерации на период </w:t>
      </w:r>
      <w:r>
        <w:rPr>
          <w:rFonts w:ascii="Times New Roman" w:hAnsi="Times New Roman"/>
          <w:color w:val="auto"/>
          <w:sz w:val="26"/>
          <w:szCs w:val="26"/>
        </w:rPr>
        <w:br/>
      </w:r>
      <w:r w:rsidR="00800098" w:rsidRPr="004C2393">
        <w:rPr>
          <w:rFonts w:ascii="Times New Roman" w:hAnsi="Times New Roman"/>
          <w:color w:val="auto"/>
          <w:sz w:val="26"/>
          <w:szCs w:val="26"/>
        </w:rPr>
        <w:t>до 2030 года»;</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Указ Президента Российской Федерации от 28 февраля 2024 года</w:t>
      </w:r>
      <w:r w:rsidR="00800098" w:rsidRPr="004C2393">
        <w:rPr>
          <w:rFonts w:ascii="Times New Roman" w:hAnsi="Times New Roman"/>
          <w:color w:val="auto"/>
          <w:sz w:val="26"/>
          <w:szCs w:val="26"/>
        </w:rPr>
        <w:br/>
        <w:t>№ 145 «О Стратегии научно-технологического развития Российской Федерации»;</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Указ Президента Российской Федерации от 26 октября 2020 года </w:t>
      </w:r>
      <w:r w:rsidR="00800098" w:rsidRPr="004C2393">
        <w:rPr>
          <w:rFonts w:ascii="Times New Roman" w:hAnsi="Times New Roman"/>
          <w:color w:val="auto"/>
          <w:sz w:val="26"/>
          <w:szCs w:val="26"/>
        </w:rPr>
        <w:br/>
        <w:t xml:space="preserve">№ 645 «О Стратегии развития Арктической зоны Российской Федерации </w:t>
      </w:r>
      <w:r w:rsidR="00800098" w:rsidRPr="004C2393">
        <w:rPr>
          <w:rFonts w:ascii="Times New Roman" w:hAnsi="Times New Roman"/>
          <w:color w:val="auto"/>
          <w:sz w:val="26"/>
          <w:szCs w:val="26"/>
        </w:rPr>
        <w:br/>
        <w:t>и обеспечения национальной безопасности на период до 2035 года»;</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Указ Президента Российской Федерации от 18 июня 2024 года </w:t>
      </w:r>
      <w:r w:rsidR="00800098" w:rsidRPr="004C2393">
        <w:rPr>
          <w:rFonts w:ascii="Times New Roman" w:hAnsi="Times New Roman"/>
          <w:color w:val="auto"/>
          <w:sz w:val="26"/>
          <w:szCs w:val="26"/>
        </w:rPr>
        <w:br/>
        <w:t>№ 529 «Об утверждении приоритетных направлений научно-технологического развития и перечня важнейших наукоемких технологий»;</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 р</w:t>
      </w:r>
      <w:r w:rsidR="00800098" w:rsidRPr="004C2393">
        <w:rPr>
          <w:rFonts w:ascii="Times New Roman" w:hAnsi="Times New Roman"/>
          <w:color w:val="auto"/>
          <w:sz w:val="26"/>
          <w:szCs w:val="26"/>
        </w:rPr>
        <w:t>аспоряжение Правительства Российской Федерации от 28 декабря 2024 года № 4146-р «Об утверждении Стратегии пространственного развития Российской Федерации до 2030 года с прогнозом до 2036 года».</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Стратегия учитывает положения документов стратегического планирования, разрабатываемых на федеральном уровне, а также ключевые положения иных документов по различным направлениям развития государства, утвержденных указами Президента Российской Федерации, постановлениями и распоряжениями Правительства Российской Федерации и иными актами Президента Российской Федерации и Правительства Российской Федерации:</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Стратегии государственной национальной политики Российской Федерации на период до 2036 года (утверждена Указом Президента Российской Федерации </w:t>
      </w:r>
      <w:r>
        <w:rPr>
          <w:rFonts w:ascii="Times New Roman" w:hAnsi="Times New Roman"/>
          <w:color w:val="auto"/>
          <w:sz w:val="26"/>
          <w:szCs w:val="26"/>
        </w:rPr>
        <w:br/>
      </w:r>
      <w:r w:rsidR="00800098" w:rsidRPr="004C2393">
        <w:rPr>
          <w:rFonts w:ascii="Times New Roman" w:hAnsi="Times New Roman"/>
          <w:color w:val="auto"/>
          <w:sz w:val="26"/>
          <w:szCs w:val="26"/>
        </w:rPr>
        <w:t>от 25 ноября 2025 года № 858);</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lastRenderedPageBreak/>
        <w:t>–</w:t>
      </w:r>
      <w:r w:rsidR="00800098" w:rsidRPr="004C2393">
        <w:rPr>
          <w:rFonts w:ascii="Times New Roman" w:hAnsi="Times New Roman"/>
          <w:color w:val="auto"/>
          <w:sz w:val="26"/>
          <w:szCs w:val="26"/>
        </w:rPr>
        <w:t xml:space="preserve"> Стратегии развития информационного общества в Российской Федерации на 2017 – 2030 годы (утверждена Указом Президента Российской Федерации </w:t>
      </w:r>
      <w:r>
        <w:rPr>
          <w:rFonts w:ascii="Times New Roman" w:hAnsi="Times New Roman"/>
          <w:color w:val="auto"/>
          <w:sz w:val="26"/>
          <w:szCs w:val="26"/>
        </w:rPr>
        <w:br/>
      </w:r>
      <w:r w:rsidR="00800098" w:rsidRPr="004C2393">
        <w:rPr>
          <w:rFonts w:ascii="Times New Roman" w:hAnsi="Times New Roman"/>
          <w:color w:val="auto"/>
          <w:sz w:val="26"/>
          <w:szCs w:val="26"/>
        </w:rPr>
        <w:t>от 9 мая 2017 года № 203);</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Стратегии развития здравоохранения в Российской Федерации </w:t>
      </w:r>
      <w:r w:rsidR="00800098" w:rsidRPr="004C2393">
        <w:rPr>
          <w:rFonts w:ascii="Times New Roman" w:hAnsi="Times New Roman"/>
          <w:color w:val="auto"/>
          <w:sz w:val="26"/>
          <w:szCs w:val="26"/>
        </w:rPr>
        <w:br/>
        <w:t xml:space="preserve">на период до 2030 года (утверждена Указом Президента Российской Федерации </w:t>
      </w:r>
      <w:r>
        <w:rPr>
          <w:rFonts w:ascii="Times New Roman" w:hAnsi="Times New Roman"/>
          <w:color w:val="auto"/>
          <w:sz w:val="26"/>
          <w:szCs w:val="26"/>
        </w:rPr>
        <w:br/>
      </w:r>
      <w:r w:rsidR="00800098" w:rsidRPr="004C2393">
        <w:rPr>
          <w:rFonts w:ascii="Times New Roman" w:hAnsi="Times New Roman"/>
          <w:color w:val="auto"/>
          <w:sz w:val="26"/>
          <w:szCs w:val="26"/>
        </w:rPr>
        <w:t>от 8 декабря 2025 года № 896);</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Доктрины продовольственной безопасности Российской Федерации (утверждена Указом Президента Российской Федерации от 21 января 2020 года </w:t>
      </w:r>
      <w:r>
        <w:rPr>
          <w:rFonts w:ascii="Times New Roman" w:hAnsi="Times New Roman"/>
          <w:color w:val="auto"/>
          <w:sz w:val="26"/>
          <w:szCs w:val="26"/>
        </w:rPr>
        <w:br/>
      </w:r>
      <w:r w:rsidR="00800098" w:rsidRPr="004C2393">
        <w:rPr>
          <w:rFonts w:ascii="Times New Roman" w:hAnsi="Times New Roman"/>
          <w:color w:val="auto"/>
          <w:sz w:val="26"/>
          <w:szCs w:val="26"/>
        </w:rPr>
        <w:t>№ 20);</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Стратегии противодействия экстремизму в Российской Федерации (утверждена Указом Президента Российской Федерации от 28 декабря 2024 года </w:t>
      </w:r>
      <w:r>
        <w:rPr>
          <w:rFonts w:ascii="Times New Roman" w:hAnsi="Times New Roman"/>
          <w:color w:val="auto"/>
          <w:sz w:val="26"/>
          <w:szCs w:val="26"/>
        </w:rPr>
        <w:br/>
      </w:r>
      <w:r w:rsidR="00800098" w:rsidRPr="004C2393">
        <w:rPr>
          <w:rFonts w:ascii="Times New Roman" w:hAnsi="Times New Roman"/>
          <w:color w:val="auto"/>
          <w:sz w:val="26"/>
          <w:szCs w:val="26"/>
        </w:rPr>
        <w:t>№ 1124);</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Стратегии государственной антинаркотической политики Российской Федерации на период до 2030 года (утверждена Указом Президента Российской Федерации от 23 ноября 2020 года № 733);</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Стратегии повышения безопасности дорожного движения </w:t>
      </w:r>
      <w:r w:rsidR="00800098" w:rsidRPr="004C2393">
        <w:rPr>
          <w:rFonts w:ascii="Times New Roman" w:hAnsi="Times New Roman"/>
          <w:color w:val="auto"/>
          <w:sz w:val="26"/>
          <w:szCs w:val="26"/>
        </w:rPr>
        <w:br/>
        <w:t xml:space="preserve">в Российской Федерации на период до 2030 года и на перспективу до 2036 года (утверждена Указом Президента Российской Федерации от 14 ноября 2025 года </w:t>
      </w:r>
      <w:r>
        <w:rPr>
          <w:rFonts w:ascii="Times New Roman" w:hAnsi="Times New Roman"/>
          <w:color w:val="auto"/>
          <w:sz w:val="26"/>
          <w:szCs w:val="26"/>
        </w:rPr>
        <w:br/>
      </w:r>
      <w:r w:rsidR="00800098" w:rsidRPr="004C2393">
        <w:rPr>
          <w:rFonts w:ascii="Times New Roman" w:hAnsi="Times New Roman"/>
          <w:color w:val="auto"/>
          <w:sz w:val="26"/>
          <w:szCs w:val="26"/>
        </w:rPr>
        <w:t>№ 841);</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Концепции государственной миграционной политики Российской Федерации на 2026 - 2030 годы (утверждена Указом Президента Российской Федерации от 15 октября 2025 года № 738);</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Концепции государственной системы противодействия противоправным деяниям, совершаемым с использованием информационно-коммуникационных технологий (утверждена распоряжением Правительства Российской Федерации </w:t>
      </w:r>
      <w:r>
        <w:rPr>
          <w:rFonts w:ascii="Times New Roman" w:hAnsi="Times New Roman"/>
          <w:color w:val="auto"/>
          <w:sz w:val="26"/>
          <w:szCs w:val="26"/>
        </w:rPr>
        <w:br/>
      </w:r>
      <w:r w:rsidR="00800098" w:rsidRPr="004C2393">
        <w:rPr>
          <w:rFonts w:ascii="Times New Roman" w:hAnsi="Times New Roman"/>
          <w:color w:val="auto"/>
          <w:sz w:val="26"/>
          <w:szCs w:val="26"/>
        </w:rPr>
        <w:t>от 30 декабря 2024 года № 4154-р);</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Энергетической стратегии Российской Федерации на период </w:t>
      </w:r>
      <w:r w:rsidR="00800098" w:rsidRPr="004C2393">
        <w:rPr>
          <w:rFonts w:ascii="Times New Roman" w:hAnsi="Times New Roman"/>
          <w:color w:val="auto"/>
          <w:sz w:val="26"/>
          <w:szCs w:val="26"/>
        </w:rPr>
        <w:br/>
        <w:t xml:space="preserve">до 2050 года (утверждена распоряжением Правительства Российской Федерации </w:t>
      </w:r>
      <w:r>
        <w:rPr>
          <w:rFonts w:ascii="Times New Roman" w:hAnsi="Times New Roman"/>
          <w:color w:val="auto"/>
          <w:sz w:val="26"/>
          <w:szCs w:val="26"/>
        </w:rPr>
        <w:br/>
      </w:r>
      <w:r w:rsidR="00800098" w:rsidRPr="004C2393">
        <w:rPr>
          <w:rFonts w:ascii="Times New Roman" w:hAnsi="Times New Roman"/>
          <w:color w:val="auto"/>
          <w:sz w:val="26"/>
          <w:szCs w:val="26"/>
        </w:rPr>
        <w:t>от 12 апреля 2025 года № 908-р);</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Стратегического направления в области цифровой трансформации государственного управления (утверждено распоряжением Правительства Российской Федерации от 16 марта 2024 года № 637-р);</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государственных программ и государственных комплексных программ, утвержденных постановлениями Правительства Российской Федерации;</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национальных проектов Российской Федерации и стратегических инициатив социально-экономического развития Российской Федерации, содержащихся </w:t>
      </w:r>
      <w:r>
        <w:rPr>
          <w:rFonts w:ascii="Times New Roman" w:hAnsi="Times New Roman"/>
          <w:color w:val="auto"/>
          <w:sz w:val="26"/>
          <w:szCs w:val="26"/>
        </w:rPr>
        <w:br/>
      </w:r>
      <w:r w:rsidR="00800098" w:rsidRPr="004C2393">
        <w:rPr>
          <w:rFonts w:ascii="Times New Roman" w:hAnsi="Times New Roman"/>
          <w:color w:val="auto"/>
          <w:sz w:val="26"/>
          <w:szCs w:val="26"/>
        </w:rPr>
        <w:t>в соответствующих федеральных проектах;</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xml:space="preserve"> прогнозов социально-экономического развития Российской Федерации </w:t>
      </w:r>
      <w:r>
        <w:rPr>
          <w:rFonts w:ascii="Times New Roman" w:hAnsi="Times New Roman"/>
          <w:color w:val="auto"/>
          <w:sz w:val="26"/>
          <w:szCs w:val="26"/>
        </w:rPr>
        <w:br/>
      </w:r>
      <w:r w:rsidR="00800098" w:rsidRPr="004C2393">
        <w:rPr>
          <w:rFonts w:ascii="Times New Roman" w:hAnsi="Times New Roman"/>
          <w:color w:val="auto"/>
          <w:sz w:val="26"/>
          <w:szCs w:val="26"/>
        </w:rPr>
        <w:t>на среднесрочный и долгосрочный периоды;</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00800098" w:rsidRPr="004C2393">
        <w:rPr>
          <w:rFonts w:ascii="Times New Roman" w:hAnsi="Times New Roman"/>
          <w:color w:val="auto"/>
          <w:sz w:val="26"/>
          <w:szCs w:val="26"/>
        </w:rPr>
        <w:t> Единого плана по достижению национальных целей развития Российской Федерации до 2030 года и на перспективу до 2036 года (утвержден Правительством Российской Федерации, резолюция от 30 декабря 2024 года № ММ-П13-47086);</w:t>
      </w:r>
    </w:p>
    <w:p w:rsidR="00E618FE" w:rsidRPr="004C2393" w:rsidRDefault="004C2393">
      <w:pPr>
        <w:pStyle w:val="a4"/>
        <w:rPr>
          <w:rFonts w:ascii="Times New Roman" w:hAnsi="Times New Roman"/>
          <w:color w:val="auto"/>
          <w:sz w:val="26"/>
          <w:szCs w:val="26"/>
        </w:rPr>
      </w:pPr>
      <w:r>
        <w:rPr>
          <w:rFonts w:ascii="Times New Roman" w:hAnsi="Times New Roman"/>
          <w:color w:val="auto"/>
          <w:sz w:val="26"/>
          <w:szCs w:val="26"/>
        </w:rPr>
        <w:t>–</w:t>
      </w:r>
      <w:r w:rsidRPr="004C2393">
        <w:rPr>
          <w:rFonts w:ascii="Times New Roman" w:hAnsi="Times New Roman"/>
          <w:color w:val="auto"/>
          <w:sz w:val="26"/>
          <w:szCs w:val="26"/>
        </w:rPr>
        <w:t> </w:t>
      </w:r>
      <w:r w:rsidR="00800098" w:rsidRPr="004C2393">
        <w:rPr>
          <w:rFonts w:ascii="Times New Roman" w:hAnsi="Times New Roman"/>
          <w:color w:val="auto"/>
          <w:sz w:val="26"/>
          <w:szCs w:val="26"/>
        </w:rPr>
        <w:t xml:space="preserve">Комплексного плана развития транспортной, энергетической, телекоммуникационной, социальной и иной инфраструктуры на период </w:t>
      </w:r>
      <w:r w:rsidR="00800098" w:rsidRPr="004C2393">
        <w:rPr>
          <w:rFonts w:ascii="Times New Roman" w:hAnsi="Times New Roman"/>
          <w:color w:val="auto"/>
          <w:sz w:val="26"/>
          <w:szCs w:val="26"/>
        </w:rPr>
        <w:br/>
        <w:t xml:space="preserve">до 2036 года, необходимой для реализации национальных целей развития Российской Федерации на период до 2030 года и на перспективу до 2036 года </w:t>
      </w:r>
      <w:r w:rsidR="00800098" w:rsidRPr="004C2393">
        <w:rPr>
          <w:rFonts w:ascii="Times New Roman" w:hAnsi="Times New Roman"/>
          <w:color w:val="auto"/>
          <w:sz w:val="26"/>
          <w:szCs w:val="26"/>
        </w:rPr>
        <w:lastRenderedPageBreak/>
        <w:t xml:space="preserve">(утвержден распоряжением Правительства Российской Федерации </w:t>
      </w:r>
      <w:r w:rsidR="00800098" w:rsidRPr="004C2393">
        <w:rPr>
          <w:rFonts w:ascii="Times New Roman" w:hAnsi="Times New Roman"/>
          <w:color w:val="auto"/>
          <w:sz w:val="26"/>
          <w:szCs w:val="26"/>
        </w:rPr>
        <w:br/>
        <w:t>от 29 августа 2025 года № 2365-р) и других документов.</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 xml:space="preserve">Стратегия учитывает положения </w:t>
      </w:r>
      <w:r w:rsidRPr="004C2393">
        <w:rPr>
          <w:rFonts w:ascii="Times New Roman" w:eastAsia="Arial" w:hAnsi="Times New Roman"/>
          <w:color w:val="auto"/>
          <w:sz w:val="26"/>
          <w:szCs w:val="26"/>
        </w:rPr>
        <w:t xml:space="preserve">Стратегии социально-экономического развития Сибирского федерального округа до 2035 года (утверждена распоряжением Правительства Российской Федерации от 26 января 2023 года № 129-р), Плана реализации Стратегии социально-экономического развития Сибирского федерального округа до 2035 года (утвержден распоряжением Правительства Российской Федерации от 16 октября 2023 года № 2846-р) и </w:t>
      </w:r>
      <w:r w:rsidRPr="004C2393">
        <w:rPr>
          <w:rFonts w:ascii="Times New Roman" w:hAnsi="Times New Roman"/>
          <w:color w:val="auto"/>
          <w:sz w:val="26"/>
          <w:szCs w:val="26"/>
        </w:rPr>
        <w:t>Стратегий социально-экономического развития субъектов Российской Федерации, граничащих с Томской областью: Новосибирской, Кемеровской, Омской областей, Красноярского края и Ханты-</w:t>
      </w:r>
      <w:r w:rsidR="004C2393">
        <w:rPr>
          <w:rFonts w:ascii="Times New Roman" w:hAnsi="Times New Roman"/>
          <w:color w:val="auto"/>
          <w:sz w:val="26"/>
          <w:szCs w:val="26"/>
        </w:rPr>
        <w:t>Мансийского автономного округа –</w:t>
      </w:r>
      <w:r w:rsidRPr="004C2393">
        <w:rPr>
          <w:rFonts w:ascii="Times New Roman" w:hAnsi="Times New Roman"/>
          <w:color w:val="auto"/>
          <w:sz w:val="26"/>
          <w:szCs w:val="26"/>
        </w:rPr>
        <w:t xml:space="preserve"> Югры.</w:t>
      </w:r>
    </w:p>
    <w:p w:rsidR="00E618FE" w:rsidRPr="004C2393" w:rsidRDefault="00800098">
      <w:pPr>
        <w:pStyle w:val="a4"/>
        <w:rPr>
          <w:rFonts w:ascii="Times New Roman" w:eastAsia="Arial" w:hAnsi="Times New Roman"/>
          <w:color w:val="auto"/>
          <w:sz w:val="26"/>
          <w:szCs w:val="26"/>
        </w:rPr>
      </w:pPr>
      <w:r w:rsidRPr="004C2393">
        <w:rPr>
          <w:rFonts w:ascii="Times New Roman" w:hAnsi="Times New Roman"/>
          <w:color w:val="auto"/>
          <w:sz w:val="26"/>
          <w:szCs w:val="26"/>
        </w:rPr>
        <w:t xml:space="preserve">Кроме этого, Стратегия учитывает положения Федерального закона от 21 декабря 2021 года № 414-ФЗ «Об общих принципах организации публичной власти в субъектах Российской Федерации», Федерального закона от 20 марта 2025 года № 33-ФЗ «Об общих принципах организации местного самоуправления </w:t>
      </w:r>
      <w:r w:rsidR="0020665F">
        <w:rPr>
          <w:rFonts w:ascii="Times New Roman" w:hAnsi="Times New Roman"/>
          <w:color w:val="auto"/>
          <w:sz w:val="26"/>
          <w:szCs w:val="26"/>
        </w:rPr>
        <w:br/>
      </w:r>
      <w:r w:rsidRPr="004C2393">
        <w:rPr>
          <w:rFonts w:ascii="Times New Roman" w:hAnsi="Times New Roman"/>
          <w:color w:val="auto"/>
          <w:sz w:val="26"/>
          <w:szCs w:val="26"/>
        </w:rPr>
        <w:t xml:space="preserve">в единой системе публичной власти», Федерального закона от </w:t>
      </w:r>
      <w:r w:rsidRPr="004C2393">
        <w:rPr>
          <w:rFonts w:ascii="Times New Roman" w:eastAsia="Arial" w:hAnsi="Times New Roman"/>
          <w:color w:val="auto"/>
          <w:sz w:val="26"/>
          <w:szCs w:val="26"/>
        </w:rPr>
        <w:t xml:space="preserve">6 октября 2003 года № 131-ФЗ «Об общих принципах организации местного самоуправления </w:t>
      </w:r>
      <w:r w:rsidR="0020665F">
        <w:rPr>
          <w:rFonts w:ascii="Times New Roman" w:eastAsia="Arial" w:hAnsi="Times New Roman"/>
          <w:color w:val="auto"/>
          <w:sz w:val="26"/>
          <w:szCs w:val="26"/>
        </w:rPr>
        <w:br/>
      </w:r>
      <w:r w:rsidRPr="004C2393">
        <w:rPr>
          <w:rFonts w:ascii="Times New Roman" w:eastAsia="Arial" w:hAnsi="Times New Roman"/>
          <w:color w:val="auto"/>
          <w:sz w:val="26"/>
          <w:szCs w:val="26"/>
        </w:rPr>
        <w:t xml:space="preserve">в Российской Федерации», Федерального закона от 23 июня 2016 года № 182-ФЗ </w:t>
      </w:r>
      <w:r w:rsidR="0020665F">
        <w:rPr>
          <w:rFonts w:ascii="Times New Roman" w:eastAsia="Arial" w:hAnsi="Times New Roman"/>
          <w:color w:val="auto"/>
          <w:sz w:val="26"/>
          <w:szCs w:val="26"/>
        </w:rPr>
        <w:br/>
      </w:r>
      <w:r w:rsidRPr="004C2393">
        <w:rPr>
          <w:rFonts w:ascii="Times New Roman" w:eastAsia="Arial" w:hAnsi="Times New Roman"/>
          <w:color w:val="auto"/>
          <w:sz w:val="26"/>
          <w:szCs w:val="26"/>
        </w:rPr>
        <w:t>«Об основах системы профилактики правонарушений в Российской Федерации», Федерального закона</w:t>
      </w:r>
      <w:r w:rsidR="0020665F">
        <w:rPr>
          <w:rFonts w:ascii="Times New Roman" w:eastAsia="Arial" w:hAnsi="Times New Roman"/>
          <w:color w:val="auto"/>
          <w:sz w:val="26"/>
          <w:szCs w:val="26"/>
        </w:rPr>
        <w:t xml:space="preserve"> </w:t>
      </w:r>
      <w:r w:rsidRPr="004C2393">
        <w:rPr>
          <w:rFonts w:ascii="Times New Roman" w:eastAsia="Arial" w:hAnsi="Times New Roman"/>
          <w:color w:val="auto"/>
          <w:sz w:val="26"/>
          <w:szCs w:val="26"/>
        </w:rPr>
        <w:t xml:space="preserve">от 29 декабря 2020 года № 464-ФЗ «О внесении изменений </w:t>
      </w:r>
      <w:r w:rsidR="0020665F">
        <w:rPr>
          <w:rFonts w:ascii="Times New Roman" w:eastAsia="Arial" w:hAnsi="Times New Roman"/>
          <w:color w:val="auto"/>
          <w:sz w:val="26"/>
          <w:szCs w:val="26"/>
        </w:rPr>
        <w:br/>
      </w:r>
      <w:r w:rsidRPr="004C2393">
        <w:rPr>
          <w:rFonts w:ascii="Times New Roman" w:eastAsia="Arial" w:hAnsi="Times New Roman"/>
          <w:color w:val="auto"/>
          <w:sz w:val="26"/>
          <w:szCs w:val="26"/>
        </w:rPr>
        <w:t xml:space="preserve">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Указа Президента Российской Федерации </w:t>
      </w:r>
      <w:r w:rsidRPr="004C2393">
        <w:rPr>
          <w:rFonts w:ascii="Times New Roman" w:eastAsia="Arial" w:hAnsi="Times New Roman"/>
          <w:color w:val="auto"/>
          <w:sz w:val="26"/>
          <w:szCs w:val="26"/>
        </w:rPr>
        <w:br/>
        <w:t xml:space="preserve">от 28 ноября 2024 года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 xml:space="preserve">Стратегия соответствует требованиям Федерального закона от 28 июня </w:t>
      </w:r>
      <w:r w:rsidR="0020665F">
        <w:rPr>
          <w:rFonts w:ascii="Times New Roman" w:hAnsi="Times New Roman"/>
          <w:color w:val="auto"/>
          <w:sz w:val="26"/>
          <w:szCs w:val="26"/>
        </w:rPr>
        <w:br/>
      </w:r>
      <w:r w:rsidRPr="004C2393">
        <w:rPr>
          <w:rFonts w:ascii="Times New Roman" w:hAnsi="Times New Roman"/>
          <w:color w:val="auto"/>
          <w:sz w:val="26"/>
          <w:szCs w:val="26"/>
        </w:rPr>
        <w:t xml:space="preserve">2014 года № 172-ФЗ «О стратегическом планировании в Российской Федерации», Указа Президента Российской Федерации от 8 ноября 2021 года № 633 </w:t>
      </w:r>
      <w:r w:rsidR="0020665F">
        <w:rPr>
          <w:rFonts w:ascii="Times New Roman" w:hAnsi="Times New Roman"/>
          <w:color w:val="auto"/>
          <w:sz w:val="26"/>
          <w:szCs w:val="26"/>
        </w:rPr>
        <w:br/>
      </w:r>
      <w:r w:rsidRPr="004C2393">
        <w:rPr>
          <w:rFonts w:ascii="Times New Roman" w:hAnsi="Times New Roman"/>
          <w:color w:val="auto"/>
          <w:sz w:val="26"/>
          <w:szCs w:val="26"/>
        </w:rPr>
        <w:t xml:space="preserve">«Об утверждении Основ государственной политики в сфере стратегического планирования в Российской Федерации» и Закона Томской области от 12 марта </w:t>
      </w:r>
      <w:r w:rsidR="0020665F">
        <w:rPr>
          <w:rFonts w:ascii="Times New Roman" w:hAnsi="Times New Roman"/>
          <w:color w:val="auto"/>
          <w:sz w:val="26"/>
          <w:szCs w:val="26"/>
        </w:rPr>
        <w:br/>
      </w:r>
      <w:r w:rsidRPr="004C2393">
        <w:rPr>
          <w:rFonts w:ascii="Times New Roman" w:hAnsi="Times New Roman"/>
          <w:color w:val="auto"/>
          <w:sz w:val="26"/>
          <w:szCs w:val="26"/>
        </w:rPr>
        <w:t>2015 года № 24-ОЗ «О стратегическом планировании в Томской области». Стратегия разработана с учетом Методических рекомендаций по разработке и корректировке стратегии социально-экономического развития субъекта Российской Федерации и плана мероприятий по ее реализации, утвержденных приказом Минэкономразвития России от 23 марта 2017 года № 132, и согласована Минэкономразвития России. Стратегия содержит оценку результатов реализации Стратегии</w:t>
      </w:r>
      <w:r w:rsidRPr="004C2393">
        <w:rPr>
          <w:rFonts w:ascii="Times New Roman" w:hAnsi="Times New Roman"/>
          <w:color w:val="auto"/>
          <w:sz w:val="26"/>
          <w:szCs w:val="26"/>
        </w:rPr>
        <w:br/>
        <w:t>до 2030 года, актуализированной в 2021 году и утвержденной постановлением Законодательной Думы Томской области от 01.07.2021 № 2988.</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 xml:space="preserve">Основные понятия, используемые в Стратегии, в том числе «целевой сценарий», «приоритеты развития», «риски», «ресурсы», «результат социально-экономического развития», «внешние факторы развития», «внутренние факторы развития» и другие, применяются в значениях, установленных Федеральным законом от 28 июня 2014 года № 172-ФЗ «О стратегическом планировании </w:t>
      </w:r>
      <w:r w:rsidR="0020665F">
        <w:rPr>
          <w:rFonts w:ascii="Times New Roman" w:hAnsi="Times New Roman"/>
          <w:color w:val="auto"/>
          <w:sz w:val="26"/>
          <w:szCs w:val="26"/>
        </w:rPr>
        <w:br/>
      </w:r>
      <w:r w:rsidRPr="004C2393">
        <w:rPr>
          <w:rFonts w:ascii="Times New Roman" w:hAnsi="Times New Roman"/>
          <w:color w:val="auto"/>
          <w:sz w:val="26"/>
          <w:szCs w:val="26"/>
        </w:rPr>
        <w:t xml:space="preserve">в Российской Федерации» и Методическими рекомендациями по разработке и корректировке стратегии социально-экономического развития субъекта Российской Федерации и плана мероприятий по ее реализации (утверждены приказом Минэкономразвития России от 23 марта 2017 года № 132). Понятия «макрорегион», </w:t>
      </w:r>
      <w:r w:rsidRPr="004C2393">
        <w:rPr>
          <w:rFonts w:ascii="Times New Roman" w:hAnsi="Times New Roman"/>
          <w:color w:val="auto"/>
          <w:sz w:val="26"/>
          <w:szCs w:val="26"/>
        </w:rPr>
        <w:lastRenderedPageBreak/>
        <w:t>«опорный населенный пункт», «городская агломерация», «прилегающая территория», «малый город» применяются в значениях, определенных Стратегией пространственного развития Российской Федерации (утверждена распоряжением Правительства Российской Федерации от 28 декабря 2024 года № 4146-р). Понятия в сфере адаптации к изменениям климата применяются в значениях, установленных приказами Минэкономразвития России от 13 мая 2021 года № 267 и от 28 декабря 2023 года № 927.</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При подготовке Стратегии применялись методы системного анализа, SWOT-анализа и PEST-анализа, экспертных оценок, оценки ключевых проблем и рисков социально-экономического развития Томской области с учетом ресурсного обеспечения и совокупного потенциала региона в долгосрочном периоде (социально-демографического, производственно-экономического, научно-инновационного, финансово-инвестиционного, институционально-управленческого, транспортно-инфраструктурного, пространственно-расселенческого и природно-ресурсного). Стратегия не дублирует дословно цели, задачи и мероприятия документов стратегического планирования Российской Федерации, а развивает и конкретизирует их применительно к специфике и особенностям социально-экономического развития Томской области.</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 xml:space="preserve">Помимо исполнительных органов государственной власти Томской области </w:t>
      </w:r>
      <w:r w:rsidR="0020665F">
        <w:rPr>
          <w:rFonts w:ascii="Times New Roman" w:hAnsi="Times New Roman"/>
          <w:color w:val="auto"/>
          <w:sz w:val="26"/>
          <w:szCs w:val="26"/>
        </w:rPr>
        <w:br/>
      </w:r>
      <w:r w:rsidRPr="004C2393">
        <w:rPr>
          <w:rFonts w:ascii="Times New Roman" w:hAnsi="Times New Roman"/>
          <w:color w:val="auto"/>
          <w:sz w:val="26"/>
          <w:szCs w:val="26"/>
        </w:rPr>
        <w:t>в разработке Стратегии приняли участие представители органов местного самоуправления муниципальных образований Томской области, научных и образовательных организаций, предприятий, общественных организаций, отраслевых объединений и союзов, гражданские активисты. Проект Стратегии прошел процедуры общественного обсуждения, предусмотренные требованиями законодательства Российской Федерации и Томской области, в обсуждениях приняли участие депутаты Законодательной Думы Томской области, представители Контрольно-счетной палаты Томской области и другие.</w:t>
      </w:r>
    </w:p>
    <w:p w:rsidR="00E618FE" w:rsidRPr="004C2393" w:rsidRDefault="00800098">
      <w:pPr>
        <w:pStyle w:val="a4"/>
        <w:rPr>
          <w:rFonts w:ascii="Times New Roman" w:hAnsi="Times New Roman"/>
          <w:color w:val="auto"/>
          <w:sz w:val="26"/>
          <w:szCs w:val="26"/>
        </w:rPr>
      </w:pPr>
      <w:r w:rsidRPr="004C2393">
        <w:rPr>
          <w:rFonts w:ascii="Times New Roman" w:hAnsi="Times New Roman"/>
          <w:color w:val="auto"/>
          <w:sz w:val="26"/>
          <w:szCs w:val="26"/>
        </w:rPr>
        <w:t xml:space="preserve">Стратегия является основой для разработки (корректировки) других документов стратегического планирования: Плана мероприятий </w:t>
      </w:r>
      <w:r w:rsidRPr="004C2393">
        <w:rPr>
          <w:rFonts w:ascii="Times New Roman" w:hAnsi="Times New Roman"/>
          <w:color w:val="auto"/>
          <w:sz w:val="26"/>
          <w:szCs w:val="26"/>
        </w:rPr>
        <w:br/>
        <w:t>по реализации Стратегии, государственных программ Томской области, схемы территориального планирования Томской области. Положения Стратегии учитываются при разработке (корректировке) других концептуальных, стратегических, программно-плановых и иных документов Томской области: отраслевых концепций и стратегий, а также региональных проектов.</w:t>
      </w:r>
    </w:p>
    <w:p w:rsidR="00E618FE" w:rsidRPr="00535A4B" w:rsidRDefault="00E618FE">
      <w:pPr>
        <w:pStyle w:val="a4"/>
        <w:rPr>
          <w:rFonts w:ascii="Times New Roman" w:eastAsia="PT Astra Serif" w:hAnsi="Times New Roman"/>
          <w:color w:val="auto"/>
          <w:lang w:eastAsia="en-US" w:bidi="en-US"/>
        </w:rPr>
      </w:pPr>
    </w:p>
    <w:p w:rsidR="00E618FE" w:rsidRPr="00535A4B" w:rsidRDefault="00E618FE">
      <w:pPr>
        <w:pStyle w:val="a4"/>
        <w:rPr>
          <w:rFonts w:ascii="Times New Roman" w:eastAsia="PT Astra Serif" w:hAnsi="Times New Roman"/>
          <w:color w:val="auto"/>
          <w:lang w:eastAsia="en-US" w:bidi="en-US"/>
        </w:rPr>
      </w:pPr>
    </w:p>
    <w:p w:rsidR="00E618FE" w:rsidRPr="00535A4B" w:rsidRDefault="00800098">
      <w:pPr>
        <w:pStyle w:val="10"/>
        <w:rPr>
          <w:rFonts w:ascii="Times New Roman" w:eastAsia="PT Astra Serif" w:hAnsi="Times New Roman" w:cs="Times New Roman"/>
          <w:lang w:val="ru-RU"/>
        </w:rPr>
      </w:pPr>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8" w:name="_Toc235810126"/>
      <w:bookmarkStart w:id="9" w:name="_Toc238554514"/>
      <w:bookmarkStart w:id="10" w:name="_Hlk231182411"/>
      <w:r w:rsidRPr="00535A4B">
        <w:rPr>
          <w:rFonts w:ascii="Times New Roman" w:eastAsia="PT Astra Serif" w:hAnsi="Times New Roman" w:cs="Times New Roman"/>
          <w:lang w:val="ru-RU"/>
        </w:rPr>
        <w:lastRenderedPageBreak/>
        <w:t>2. Характеристика Томской области</w:t>
      </w:r>
      <w:bookmarkEnd w:id="8"/>
      <w:bookmarkEnd w:id="9"/>
    </w:p>
    <w:p w:rsidR="00E618FE" w:rsidRPr="00535A4B" w:rsidRDefault="00E618FE">
      <w:pPr>
        <w:pStyle w:val="a4"/>
        <w:rPr>
          <w:rFonts w:ascii="Times New Roman" w:hAnsi="Times New Roman"/>
          <w:color w:val="auto"/>
          <w:lang w:bidi="en-US"/>
        </w:rPr>
      </w:pPr>
    </w:p>
    <w:p w:rsidR="0020665F" w:rsidRPr="00FE40FE" w:rsidRDefault="00800098">
      <w:pPr>
        <w:pStyle w:val="a4"/>
        <w:rPr>
          <w:rFonts w:ascii="Times New Roman" w:eastAsiaTheme="minorHAnsi" w:hAnsi="Times New Roman"/>
          <w:b/>
          <w:bCs/>
          <w:iCs/>
          <w:color w:val="auto"/>
        </w:rPr>
      </w:pPr>
      <w:r w:rsidRPr="00FE40FE">
        <w:rPr>
          <w:rFonts w:ascii="Times New Roman" w:eastAsiaTheme="minorHAnsi" w:hAnsi="Times New Roman"/>
          <w:b/>
          <w:bCs/>
          <w:iCs/>
          <w:color w:val="auto"/>
        </w:rPr>
        <w:t xml:space="preserve">Географическое положение и природные условия. </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Томская</w:t>
      </w:r>
      <w:r w:rsidRPr="0020665F">
        <w:rPr>
          <w:rFonts w:ascii="Times New Roman" w:hAnsi="Times New Roman"/>
          <w:b/>
          <w:bCs/>
          <w:color w:val="auto"/>
          <w:sz w:val="26"/>
          <w:szCs w:val="26"/>
        </w:rPr>
        <w:t xml:space="preserve"> </w:t>
      </w:r>
      <w:r w:rsidR="0020665F">
        <w:rPr>
          <w:rFonts w:ascii="Times New Roman" w:eastAsiaTheme="minorHAnsi" w:hAnsi="Times New Roman"/>
          <w:color w:val="auto"/>
          <w:sz w:val="26"/>
          <w:szCs w:val="26"/>
        </w:rPr>
        <w:t>область –</w:t>
      </w:r>
      <w:r w:rsidRPr="0020665F">
        <w:rPr>
          <w:rFonts w:ascii="Times New Roman" w:eastAsiaTheme="minorHAnsi" w:hAnsi="Times New Roman"/>
          <w:color w:val="auto"/>
          <w:sz w:val="26"/>
          <w:szCs w:val="26"/>
        </w:rPr>
        <w:t xml:space="preserve"> субъект Российской Федерации, входит в состав Сибирского федерального округа. Административный центр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город Томск. Образована 13 августа 1944 года Указом Президиума Верховного Совета СССР. Расположена на юго-востоке Западно-Сибирской равнины. Протяженность области с севера на юг  ок</w:t>
      </w:r>
      <w:r w:rsidR="0020665F">
        <w:rPr>
          <w:rFonts w:ascii="Times New Roman" w:eastAsiaTheme="minorHAnsi" w:hAnsi="Times New Roman"/>
          <w:color w:val="auto"/>
          <w:sz w:val="26"/>
          <w:szCs w:val="26"/>
        </w:rPr>
        <w:t>оло 600 км, с запада на восток –</w:t>
      </w:r>
      <w:r w:rsidRPr="0020665F">
        <w:rPr>
          <w:rFonts w:ascii="Times New Roman" w:eastAsiaTheme="minorHAnsi" w:hAnsi="Times New Roman"/>
          <w:color w:val="auto"/>
          <w:sz w:val="26"/>
          <w:szCs w:val="26"/>
        </w:rPr>
        <w:t xml:space="preserve"> 780 км. Площадь территории составляет 314 391 кв. км. Граничит на западе с Омской и Тюменской областями, на западе и севере с Ханты-Мансийским автономным округом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Югрой, на востоке с Красноярским краем, на юге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с Кемеровской и Новосибирской областями.</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На территории Томской облас</w:t>
      </w:r>
      <w:r w:rsidR="0020665F">
        <w:rPr>
          <w:rFonts w:ascii="Times New Roman" w:eastAsiaTheme="minorHAnsi" w:hAnsi="Times New Roman"/>
          <w:color w:val="auto"/>
          <w:sz w:val="26"/>
          <w:szCs w:val="26"/>
        </w:rPr>
        <w:t>ти функционируют два аэропорта –</w:t>
      </w:r>
      <w:r w:rsidRPr="0020665F">
        <w:rPr>
          <w:rFonts w:ascii="Times New Roman" w:eastAsiaTheme="minorHAnsi" w:hAnsi="Times New Roman"/>
          <w:color w:val="auto"/>
          <w:sz w:val="26"/>
          <w:szCs w:val="26"/>
        </w:rPr>
        <w:t xml:space="preserve"> в г. Томске (Международный аэропорт Томск имени Николая Камова) и в г. Стрежевом. Общая протяженность автомобильных дорог Томской области составляет 14 565 км. Протяженность автомобильных дорог общего пользования (на конец 2025 года)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11 368 км, из них с твердым покрытием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8 200 км. Протяженность водных путей </w:t>
      </w:r>
      <w:r w:rsidR="0020665F">
        <w:rPr>
          <w:rFonts w:ascii="Times New Roman" w:eastAsiaTheme="minorHAnsi" w:hAnsi="Times New Roman"/>
          <w:color w:val="auto"/>
          <w:sz w:val="26"/>
          <w:szCs w:val="26"/>
        </w:rPr>
        <w:t xml:space="preserve">– 5 195 км. Судоходными </w:t>
      </w:r>
      <w:r w:rsidRPr="0020665F">
        <w:rPr>
          <w:rFonts w:ascii="Times New Roman" w:eastAsiaTheme="minorHAnsi" w:hAnsi="Times New Roman"/>
          <w:color w:val="auto"/>
          <w:sz w:val="26"/>
          <w:szCs w:val="26"/>
        </w:rPr>
        <w:t xml:space="preserve">реками являются Васюган, Кеть, Обь, Парабель, Томь, Чая и Чулым. Эксплуатационная длина железных дорог составляет 346 км, основная магистраль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Белый Яр</w:t>
      </w:r>
      <w:r w:rsidR="0020665F">
        <w:rPr>
          <w:rFonts w:ascii="Times New Roman" w:eastAsiaTheme="minorHAnsi" w:hAnsi="Times New Roman"/>
          <w:color w:val="auto"/>
          <w:sz w:val="26"/>
          <w:szCs w:val="26"/>
        </w:rPr>
        <w:t xml:space="preserve"> – Томск – </w:t>
      </w:r>
      <w:r w:rsidRPr="0020665F">
        <w:rPr>
          <w:rFonts w:ascii="Times New Roman" w:eastAsiaTheme="minorHAnsi" w:hAnsi="Times New Roman"/>
          <w:color w:val="auto"/>
          <w:sz w:val="26"/>
          <w:szCs w:val="26"/>
        </w:rPr>
        <w:t>Тайга.</w:t>
      </w:r>
    </w:p>
    <w:p w:rsidR="00E618FE" w:rsidRPr="0020665F" w:rsidRDefault="00800098">
      <w:pPr>
        <w:pStyle w:val="a4"/>
        <w:rPr>
          <w:rFonts w:ascii="Times New Roman" w:eastAsiaTheme="minorHAnsi" w:hAnsi="Times New Roman"/>
          <w:i/>
          <w:color w:val="auto"/>
          <w:sz w:val="26"/>
          <w:szCs w:val="26"/>
        </w:rPr>
      </w:pPr>
      <w:r w:rsidRPr="0020665F">
        <w:rPr>
          <w:rFonts w:ascii="Times New Roman" w:eastAsiaTheme="minorHAnsi" w:hAnsi="Times New Roman"/>
          <w:color w:val="auto"/>
          <w:sz w:val="26"/>
          <w:szCs w:val="26"/>
        </w:rPr>
        <w:t xml:space="preserve">В регионе преобладают плоские сильно заболоченные территории </w:t>
      </w:r>
      <w:r w:rsidRPr="0020665F">
        <w:rPr>
          <w:rFonts w:ascii="Times New Roman" w:eastAsiaTheme="minorHAnsi" w:hAnsi="Times New Roman"/>
          <w:color w:val="auto"/>
          <w:sz w:val="26"/>
          <w:szCs w:val="26"/>
        </w:rPr>
        <w:br/>
        <w:t>с высотой не более 200 м (на юго-востоке заходят северные отроги Кузнецкого Алатау высотой до 211 м). Центральная часть занята широкой долиной реки Обь, которая делит территорию области на две почти равные части: левобережье, включающее обширную болотистую низменность, с высотой до 166 м в верховьях реки Бакчар, и более возвышенное правобережье с высотой до 193 м, заболоченное меньше и более лесистое. Основная река — Обь. Область расположена в зонах средней и южной тайги и частично смешанных лесов. Большая часть территории области труднодоступна, так как представляет собой тайгу (леса занимают 63% площади) и болота (28,9%)</w:t>
      </w:r>
      <w:r w:rsidRPr="0020665F">
        <w:rPr>
          <w:rFonts w:ascii="Times New Roman" w:eastAsiaTheme="minorHAnsi" w:hAnsi="Times New Roman"/>
          <w:i/>
          <w:color w:val="auto"/>
          <w:sz w:val="26"/>
          <w:szCs w:val="26"/>
        </w:rPr>
        <w:t>.</w:t>
      </w:r>
    </w:p>
    <w:p w:rsidR="00E618FE" w:rsidRPr="0020665F" w:rsidRDefault="00800098">
      <w:pPr>
        <w:pStyle w:val="a4"/>
        <w:rPr>
          <w:rFonts w:ascii="Times New Roman" w:hAnsi="Times New Roman"/>
          <w:color w:val="auto"/>
          <w:sz w:val="26"/>
          <w:szCs w:val="26"/>
        </w:rPr>
      </w:pPr>
      <w:r w:rsidRPr="0020665F">
        <w:rPr>
          <w:rFonts w:ascii="Times New Roman" w:eastAsiaTheme="minorHAnsi" w:hAnsi="Times New Roman"/>
          <w:color w:val="auto"/>
          <w:sz w:val="26"/>
          <w:szCs w:val="26"/>
        </w:rPr>
        <w:t xml:space="preserve">Лесной фонд составляет 28,73 млн га (287,3 тыс. кв. км), территория леса 19,2 млн га (192 тыс. кв. км). </w:t>
      </w:r>
      <w:r w:rsidRPr="0020665F">
        <w:rPr>
          <w:rFonts w:ascii="Times New Roman" w:hAnsi="Times New Roman"/>
          <w:color w:val="auto"/>
          <w:sz w:val="26"/>
          <w:szCs w:val="26"/>
        </w:rPr>
        <w:t xml:space="preserve">Запас древесины оценивается </w:t>
      </w:r>
      <w:r w:rsidRPr="0020665F">
        <w:rPr>
          <w:rFonts w:ascii="Times New Roman" w:hAnsi="Times New Roman"/>
          <w:color w:val="auto"/>
          <w:sz w:val="26"/>
          <w:szCs w:val="26"/>
        </w:rPr>
        <w:br/>
        <w:t xml:space="preserve">в 2,8 млрд куб. м, в том числе по хвойной </w:t>
      </w:r>
      <w:r w:rsidR="0020665F">
        <w:rPr>
          <w:rFonts w:ascii="Times New Roman" w:hAnsi="Times New Roman"/>
          <w:color w:val="auto"/>
          <w:sz w:val="26"/>
          <w:szCs w:val="26"/>
        </w:rPr>
        <w:t>–</w:t>
      </w:r>
      <w:r w:rsidRPr="0020665F">
        <w:rPr>
          <w:rFonts w:ascii="Times New Roman" w:hAnsi="Times New Roman"/>
          <w:color w:val="auto"/>
          <w:sz w:val="26"/>
          <w:szCs w:val="26"/>
        </w:rPr>
        <w:t xml:space="preserve"> 1,6 млрд куб. м. Распределение площади лесов по преобладающим породам: береза </w:t>
      </w:r>
      <w:r w:rsidR="0020665F">
        <w:rPr>
          <w:rFonts w:ascii="Times New Roman" w:hAnsi="Times New Roman"/>
          <w:color w:val="auto"/>
          <w:sz w:val="26"/>
          <w:szCs w:val="26"/>
        </w:rPr>
        <w:t>–</w:t>
      </w:r>
      <w:r w:rsidRPr="0020665F">
        <w:rPr>
          <w:rFonts w:ascii="Times New Roman" w:hAnsi="Times New Roman"/>
          <w:color w:val="auto"/>
          <w:sz w:val="26"/>
          <w:szCs w:val="26"/>
        </w:rPr>
        <w:t xml:space="preserve"> 35,6%, сосна </w:t>
      </w:r>
      <w:r w:rsidR="0020665F">
        <w:rPr>
          <w:rFonts w:ascii="Times New Roman" w:hAnsi="Times New Roman"/>
          <w:color w:val="auto"/>
          <w:sz w:val="26"/>
          <w:szCs w:val="26"/>
        </w:rPr>
        <w:t>–</w:t>
      </w:r>
      <w:r w:rsidRPr="0020665F">
        <w:rPr>
          <w:rFonts w:ascii="Times New Roman" w:hAnsi="Times New Roman"/>
          <w:color w:val="auto"/>
          <w:sz w:val="26"/>
          <w:szCs w:val="26"/>
        </w:rPr>
        <w:t xml:space="preserve"> 28,8%, кедр </w:t>
      </w:r>
      <w:r w:rsidR="0020665F">
        <w:rPr>
          <w:rFonts w:ascii="Times New Roman" w:hAnsi="Times New Roman"/>
          <w:color w:val="auto"/>
          <w:sz w:val="26"/>
          <w:szCs w:val="26"/>
        </w:rPr>
        <w:t>–</w:t>
      </w:r>
      <w:r w:rsidRPr="0020665F">
        <w:rPr>
          <w:rFonts w:ascii="Times New Roman" w:hAnsi="Times New Roman"/>
          <w:color w:val="auto"/>
          <w:sz w:val="26"/>
          <w:szCs w:val="26"/>
        </w:rPr>
        <w:t xml:space="preserve"> 19,4%, осина </w:t>
      </w:r>
      <w:r w:rsidR="0020665F">
        <w:rPr>
          <w:rFonts w:ascii="Times New Roman" w:hAnsi="Times New Roman"/>
          <w:color w:val="auto"/>
          <w:sz w:val="26"/>
          <w:szCs w:val="26"/>
        </w:rPr>
        <w:t>–</w:t>
      </w:r>
      <w:r w:rsidRPr="0020665F">
        <w:rPr>
          <w:rFonts w:ascii="Times New Roman" w:hAnsi="Times New Roman"/>
          <w:color w:val="auto"/>
          <w:sz w:val="26"/>
          <w:szCs w:val="26"/>
        </w:rPr>
        <w:t xml:space="preserve"> 9,8%, ель, пихта, лиственница </w:t>
      </w:r>
      <w:r w:rsidR="0020665F">
        <w:rPr>
          <w:rFonts w:ascii="Times New Roman" w:hAnsi="Times New Roman"/>
          <w:color w:val="auto"/>
          <w:sz w:val="26"/>
          <w:szCs w:val="26"/>
        </w:rPr>
        <w:t>–</w:t>
      </w:r>
      <w:r w:rsidRPr="0020665F">
        <w:rPr>
          <w:rFonts w:ascii="Times New Roman" w:hAnsi="Times New Roman"/>
          <w:color w:val="auto"/>
          <w:sz w:val="26"/>
          <w:szCs w:val="26"/>
        </w:rPr>
        <w:t xml:space="preserve"> 5,7%, другие мягколиственные </w:t>
      </w:r>
      <w:r w:rsidR="0020665F">
        <w:rPr>
          <w:rFonts w:ascii="Times New Roman" w:hAnsi="Times New Roman"/>
          <w:color w:val="auto"/>
          <w:sz w:val="26"/>
          <w:szCs w:val="26"/>
        </w:rPr>
        <w:t>–</w:t>
      </w:r>
      <w:r w:rsidRPr="0020665F">
        <w:rPr>
          <w:rFonts w:ascii="Times New Roman" w:hAnsi="Times New Roman"/>
          <w:color w:val="auto"/>
          <w:sz w:val="26"/>
          <w:szCs w:val="26"/>
        </w:rPr>
        <w:t xml:space="preserve"> 0,5%.</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 xml:space="preserve">Главная река Обь с притоками Томь, Чулым, Кеть, Тым, Чая, Парабель, Васюган имеет широкую заболоченную пойму, многочисленные протоки </w:t>
      </w:r>
      <w:r w:rsidRPr="0020665F">
        <w:rPr>
          <w:rFonts w:ascii="Times New Roman" w:eastAsiaTheme="minorHAnsi" w:hAnsi="Times New Roman"/>
          <w:color w:val="auto"/>
          <w:sz w:val="26"/>
          <w:szCs w:val="26"/>
        </w:rPr>
        <w:br/>
        <w:t>и старицы. Общая площадь открытых водоемов (рек и озер) составляет 2</w:t>
      </w:r>
      <w:r w:rsidR="0020665F">
        <w:rPr>
          <w:rFonts w:ascii="Times New Roman" w:eastAsiaTheme="minorHAnsi" w:hAnsi="Times New Roman"/>
          <w:color w:val="auto"/>
          <w:sz w:val="26"/>
          <w:szCs w:val="26"/>
        </w:rPr>
        <w:t>,5% территории области, болота –</w:t>
      </w:r>
      <w:r w:rsidRPr="0020665F">
        <w:rPr>
          <w:rFonts w:ascii="Times New Roman" w:eastAsiaTheme="minorHAnsi" w:hAnsi="Times New Roman"/>
          <w:color w:val="auto"/>
          <w:sz w:val="26"/>
          <w:szCs w:val="26"/>
        </w:rPr>
        <w:t xml:space="preserve"> около 30%. Вся речная система принадлежит бассейну Оби, которая пересекает область с юго-востока на северо-запад </w:t>
      </w:r>
      <w:r w:rsidRPr="0020665F">
        <w:rPr>
          <w:rFonts w:ascii="Times New Roman" w:eastAsiaTheme="minorHAnsi" w:hAnsi="Times New Roman"/>
          <w:color w:val="auto"/>
          <w:sz w:val="26"/>
          <w:szCs w:val="26"/>
        </w:rPr>
        <w:br/>
        <w:t xml:space="preserve">на расстоянии около 1 000 км. Количество озер достигает 95 тысяч, особенно их много в поймах рек. Площадь водного зеркала крупнейшего в области озера Мирного, расположенного среди болот на плоском междуречье рек Чузик и Чижапка, превышает 18 кв. км. </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Васюганские болота включены в предварительный список Всемирного наследия ЮНЕСКО (с 2007 года) как уникальная природная экосистема</w:t>
      </w:r>
      <w:r w:rsidRPr="0020665F">
        <w:rPr>
          <w:rFonts w:ascii="Times New Roman" w:eastAsiaTheme="minorHAnsi" w:hAnsi="Times New Roman"/>
          <w:color w:val="auto"/>
          <w:sz w:val="26"/>
          <w:szCs w:val="26"/>
        </w:rPr>
        <w:br/>
        <w:t>и одни из крупнейших болот в мире.</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Область обладает практически неограниченными ресурсами подземных вод, заключенных в рыхлых отложениях разного возраста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от мелового </w:t>
      </w:r>
      <w:r w:rsidR="0020665F">
        <w:rPr>
          <w:rFonts w:ascii="Times New Roman" w:eastAsiaTheme="minorHAnsi" w:hAnsi="Times New Roman"/>
          <w:color w:val="auto"/>
          <w:sz w:val="26"/>
          <w:szCs w:val="26"/>
        </w:rPr>
        <w:br/>
      </w:r>
      <w:r w:rsidRPr="0020665F">
        <w:rPr>
          <w:rFonts w:ascii="Times New Roman" w:eastAsiaTheme="minorHAnsi" w:hAnsi="Times New Roman"/>
          <w:color w:val="auto"/>
          <w:sz w:val="26"/>
          <w:szCs w:val="26"/>
        </w:rPr>
        <w:lastRenderedPageBreak/>
        <w:t xml:space="preserve">до четвертичного. Прогнозные ресурсы пресных и маломинерализованных вод верхней 250-метровой толщи рыхлых отложений оценены в количестве </w:t>
      </w:r>
      <w:r w:rsidR="0020665F">
        <w:rPr>
          <w:rFonts w:ascii="Times New Roman" w:eastAsiaTheme="minorHAnsi" w:hAnsi="Times New Roman"/>
          <w:color w:val="auto"/>
          <w:sz w:val="26"/>
          <w:szCs w:val="26"/>
        </w:rPr>
        <w:br/>
      </w:r>
      <w:r w:rsidRPr="0020665F">
        <w:rPr>
          <w:rFonts w:ascii="Times New Roman" w:eastAsiaTheme="minorHAnsi" w:hAnsi="Times New Roman"/>
          <w:color w:val="auto"/>
          <w:sz w:val="26"/>
          <w:szCs w:val="26"/>
        </w:rPr>
        <w:t>61,4 млн куб. м/сут., расчетный срок эксплуатации 50 лет. </w:t>
      </w:r>
    </w:p>
    <w:p w:rsidR="00E618FE" w:rsidRPr="0020665F" w:rsidRDefault="00800098">
      <w:pPr>
        <w:pStyle w:val="a4"/>
        <w:rPr>
          <w:rFonts w:ascii="Times New Roman" w:eastAsiaTheme="minorHAnsi" w:hAnsi="Times New Roman"/>
          <w:i/>
          <w:color w:val="auto"/>
          <w:sz w:val="26"/>
          <w:szCs w:val="26"/>
        </w:rPr>
      </w:pPr>
      <w:r w:rsidRPr="0020665F">
        <w:rPr>
          <w:rFonts w:ascii="Times New Roman" w:eastAsiaTheme="minorHAnsi" w:hAnsi="Times New Roman"/>
          <w:color w:val="auto"/>
          <w:sz w:val="26"/>
          <w:szCs w:val="26"/>
        </w:rPr>
        <w:t>Самая высокая точка области — 274 м над уровнем моря, самая низкая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34 м над уровнем моря</w:t>
      </w:r>
      <w:r w:rsidRPr="0020665F">
        <w:rPr>
          <w:rFonts w:ascii="Times New Roman" w:eastAsiaTheme="minorHAnsi" w:hAnsi="Times New Roman"/>
          <w:i/>
          <w:color w:val="auto"/>
          <w:sz w:val="26"/>
          <w:szCs w:val="26"/>
        </w:rPr>
        <w:t xml:space="preserve">. </w:t>
      </w:r>
      <w:r w:rsidRPr="0020665F">
        <w:rPr>
          <w:rFonts w:ascii="Times New Roman" w:eastAsiaTheme="minorHAnsi" w:hAnsi="Times New Roman"/>
          <w:color w:val="auto"/>
          <w:sz w:val="26"/>
          <w:szCs w:val="26"/>
        </w:rPr>
        <w:t xml:space="preserve">Климат влажный континентальный. Зима </w:t>
      </w:r>
      <w:r w:rsidRPr="0020665F">
        <w:rPr>
          <w:rFonts w:ascii="Times New Roman" w:eastAsiaTheme="minorHAnsi" w:hAnsi="Times New Roman"/>
          <w:color w:val="auto"/>
          <w:sz w:val="26"/>
          <w:szCs w:val="26"/>
        </w:rPr>
        <w:br/>
        <w:t xml:space="preserve">в регионе суровая и продолжительная (средняя температура января от −17°С до −21°С); лето теплое, короткое (средняя температура июля +17°С…+18°С). Вегетационный период 135 – 140 суток на севере, 150 суток на юге. Годовое количество осадков 450 – 700 мм. Средняя высота снежного </w:t>
      </w:r>
      <w:r w:rsidRPr="0020665F">
        <w:rPr>
          <w:rFonts w:ascii="Times New Roman" w:eastAsiaTheme="minorHAnsi" w:hAnsi="Times New Roman"/>
          <w:color w:val="auto"/>
          <w:sz w:val="26"/>
          <w:szCs w:val="26"/>
        </w:rPr>
        <w:br/>
        <w:t>покрова 60 – 80 см, снег держится на севере 190 – 197 дней, на юге 176 – 182 дня. Повсеместно развита сезонная мерзлота. Глубина промерзания грунтов от 0,5 – 0,6 м на торфяниках до 3,5 м на песках, в среднем 1 – 2 м</w:t>
      </w:r>
      <w:r w:rsidRPr="0020665F">
        <w:rPr>
          <w:rFonts w:ascii="Times New Roman" w:eastAsiaTheme="minorHAnsi" w:hAnsi="Times New Roman"/>
          <w:i/>
          <w:color w:val="auto"/>
          <w:sz w:val="26"/>
          <w:szCs w:val="26"/>
        </w:rPr>
        <w:t>.</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 xml:space="preserve">Томская область богата природными ресурсами, такими как нефть (100 месторождений, 1449 млн тонн), </w:t>
      </w:r>
      <w:hyperlink r:id="rId12" w:tooltip="Природный газ" w:history="1">
        <w:r w:rsidRPr="0020665F">
          <w:rPr>
            <w:rFonts w:ascii="Times New Roman" w:eastAsiaTheme="minorHAnsi" w:hAnsi="Times New Roman"/>
            <w:color w:val="auto"/>
            <w:sz w:val="26"/>
            <w:szCs w:val="26"/>
          </w:rPr>
          <w:t>природный газ</w:t>
        </w:r>
      </w:hyperlink>
      <w:r w:rsidRPr="0020665F">
        <w:rPr>
          <w:rFonts w:ascii="Times New Roman" w:eastAsiaTheme="minorHAnsi" w:hAnsi="Times New Roman"/>
          <w:color w:val="auto"/>
          <w:sz w:val="26"/>
          <w:szCs w:val="26"/>
        </w:rPr>
        <w:t xml:space="preserve"> (632 млрд куб. м), черные и цветные металлы, бурый уголь (74,7 млрд тонн), торф (2-е место </w:t>
      </w:r>
      <w:r w:rsidRPr="0020665F">
        <w:rPr>
          <w:rFonts w:ascii="Times New Roman" w:eastAsiaTheme="minorHAnsi" w:hAnsi="Times New Roman"/>
          <w:color w:val="auto"/>
          <w:sz w:val="26"/>
          <w:szCs w:val="26"/>
        </w:rPr>
        <w:br/>
        <w:t xml:space="preserve">по запасам в России) и подземные воды. В регионе находится Бакчарское железнорудное месторождение (проявление), являющееся одним </w:t>
      </w:r>
      <w:r w:rsidRPr="0020665F">
        <w:rPr>
          <w:rFonts w:ascii="Times New Roman" w:eastAsiaTheme="minorHAnsi" w:hAnsi="Times New Roman"/>
          <w:color w:val="auto"/>
          <w:sz w:val="26"/>
          <w:szCs w:val="26"/>
        </w:rPr>
        <w:br/>
        <w:t>из крупнейших в мире (57% всей железной руды России), общий объем запасов 90 млрд тонн. На территории Томской области расположено множество месторождений сырья для строительных материалов: глины, песка, известняков, глинистых сланцев, гравия.</w:t>
      </w:r>
      <w:r w:rsidRPr="0020665F">
        <w:rPr>
          <w:rFonts w:ascii="Times New Roman" w:hAnsi="Times New Roman"/>
          <w:color w:val="auto"/>
          <w:sz w:val="26"/>
          <w:szCs w:val="26"/>
        </w:rPr>
        <w:t xml:space="preserve"> </w:t>
      </w:r>
      <w:r w:rsidRPr="0020665F">
        <w:rPr>
          <w:rFonts w:ascii="Times New Roman" w:eastAsiaTheme="minorHAnsi" w:hAnsi="Times New Roman"/>
          <w:color w:val="auto"/>
          <w:sz w:val="26"/>
          <w:szCs w:val="26"/>
        </w:rPr>
        <w:t>Ежегодный природно-ресурсный потенциал томских дикоросов оценивается</w:t>
      </w:r>
      <w:r w:rsidR="0020665F">
        <w:rPr>
          <w:rFonts w:ascii="Times New Roman" w:eastAsiaTheme="minorHAnsi" w:hAnsi="Times New Roman"/>
          <w:color w:val="auto"/>
          <w:sz w:val="26"/>
          <w:szCs w:val="26"/>
        </w:rPr>
        <w:t xml:space="preserve"> </w:t>
      </w:r>
      <w:r w:rsidRPr="0020665F">
        <w:rPr>
          <w:rFonts w:ascii="Times New Roman" w:eastAsiaTheme="minorHAnsi" w:hAnsi="Times New Roman"/>
          <w:color w:val="auto"/>
          <w:sz w:val="26"/>
          <w:szCs w:val="26"/>
        </w:rPr>
        <w:t xml:space="preserve">по запасам: грибов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86 тыс. тонн; брусники, голубики, клюквы, черники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25 тыс. тонн; кедрового ореха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58 тыс. тонн. </w:t>
      </w:r>
    </w:p>
    <w:p w:rsidR="00E618FE" w:rsidRPr="0020665F" w:rsidRDefault="00800098">
      <w:pPr>
        <w:pStyle w:val="a4"/>
        <w:rPr>
          <w:rFonts w:ascii="Times New Roman" w:eastAsiaTheme="minorHAnsi" w:hAnsi="Times New Roman"/>
          <w:color w:val="auto"/>
          <w:sz w:val="26"/>
          <w:szCs w:val="26"/>
        </w:rPr>
      </w:pPr>
      <w:r w:rsidRPr="00FE40FE">
        <w:rPr>
          <w:rFonts w:ascii="Times New Roman" w:eastAsiaTheme="minorHAnsi" w:hAnsi="Times New Roman"/>
          <w:b/>
          <w:bCs/>
          <w:color w:val="auto"/>
        </w:rPr>
        <w:t>Историческая справка.</w:t>
      </w:r>
      <w:r w:rsidRPr="0020665F">
        <w:rPr>
          <w:rFonts w:ascii="Times New Roman" w:eastAsiaTheme="minorHAnsi" w:hAnsi="Times New Roman"/>
          <w:b/>
          <w:bCs/>
          <w:color w:val="auto"/>
          <w:sz w:val="26"/>
          <w:szCs w:val="26"/>
        </w:rPr>
        <w:t xml:space="preserve"> </w:t>
      </w:r>
      <w:r w:rsidRPr="0020665F">
        <w:rPr>
          <w:rFonts w:ascii="Times New Roman" w:eastAsiaTheme="minorHAnsi" w:hAnsi="Times New Roman"/>
          <w:color w:val="auto"/>
          <w:sz w:val="26"/>
          <w:szCs w:val="26"/>
        </w:rPr>
        <w:t>На территории Томской области известны палеолитические стоянки Томская, Могочино I, Парусинка. Территорию современной Томской области населяли люди, относящиеся к кулайской археологической культуре, известной своими бронзовыми артефактами. Освоение территории области русскими началось в конце XVI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начале XVII веков. Старейшим русским населенным пунктом области является село (ранее город) Нарым, основанное в 1596 году. </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 xml:space="preserve">Административный центр области город Томск основан в 1604 году </w:t>
      </w:r>
      <w:r w:rsidRPr="0020665F">
        <w:rPr>
          <w:rFonts w:ascii="Times New Roman" w:eastAsiaTheme="minorHAnsi" w:hAnsi="Times New Roman"/>
          <w:color w:val="auto"/>
          <w:sz w:val="26"/>
          <w:szCs w:val="26"/>
        </w:rPr>
        <w:br/>
        <w:t>по указу Бориса Годунова. В дальнейшем он становится административным центром Томского уезда. В 1804 году по инициативе императора Александра I город стал административным центром Томской губернии, которая включала в себя нынешние территории Алтайского края, Новосибирской, Кемеровской, Восточно-Казахстанской, Томской областей и часть Красноярского края. Бурное экономическое развитие Томской губернии началось в XIX веке. Рост золотопромышленности, выплавки металла, пушного промысла сконцентрировал в г. Томске большой капитал, который оживил деятельность сибирских купцов. Через город проходили Московский и Иркутский тракты. Город Томск официально включен в перечень исторических поселений федерального значения.</w:t>
      </w:r>
    </w:p>
    <w:p w:rsidR="00E618FE" w:rsidRPr="0020665F" w:rsidRDefault="00800098">
      <w:pPr>
        <w:pStyle w:val="a4"/>
        <w:rPr>
          <w:rFonts w:ascii="Times New Roman" w:eastAsiaTheme="minorHAnsi" w:hAnsi="Times New Roman"/>
          <w:color w:val="auto"/>
          <w:sz w:val="26"/>
          <w:szCs w:val="26"/>
        </w:rPr>
      </w:pPr>
      <w:r w:rsidRPr="0020665F">
        <w:rPr>
          <w:rFonts w:ascii="Times New Roman" w:eastAsiaTheme="minorHAnsi" w:hAnsi="Times New Roman"/>
          <w:color w:val="auto"/>
          <w:sz w:val="26"/>
          <w:szCs w:val="26"/>
        </w:rPr>
        <w:t xml:space="preserve">С 1796 года по 1804 год Томская область входила в состав Тобольской губернии. В 1804 году была образована Томская губерния, существовавшая </w:t>
      </w:r>
      <w:r w:rsidR="0020665F">
        <w:rPr>
          <w:rFonts w:ascii="Times New Roman" w:eastAsiaTheme="minorHAnsi" w:hAnsi="Times New Roman"/>
          <w:color w:val="auto"/>
          <w:sz w:val="26"/>
          <w:szCs w:val="26"/>
        </w:rPr>
        <w:br/>
      </w:r>
      <w:r w:rsidRPr="0020665F">
        <w:rPr>
          <w:rFonts w:ascii="Times New Roman" w:eastAsiaTheme="minorHAnsi" w:hAnsi="Times New Roman"/>
          <w:color w:val="auto"/>
          <w:sz w:val="26"/>
          <w:szCs w:val="26"/>
        </w:rPr>
        <w:t xml:space="preserve">до 1925 года, когда она вошла в состав Сибирского края (с 1930 года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Западно-Сибирского края). С конца XIX века г. Томск становится интеллектуальной столицей Сибири. В 1888 году открыт первый за У</w:t>
      </w:r>
      <w:r w:rsidR="0020665F">
        <w:rPr>
          <w:rFonts w:ascii="Times New Roman" w:eastAsiaTheme="minorHAnsi" w:hAnsi="Times New Roman"/>
          <w:color w:val="auto"/>
          <w:sz w:val="26"/>
          <w:szCs w:val="26"/>
        </w:rPr>
        <w:t>ралом университет, в 1900 году –</w:t>
      </w:r>
      <w:r w:rsidRPr="0020665F">
        <w:rPr>
          <w:rFonts w:ascii="Times New Roman" w:eastAsiaTheme="minorHAnsi" w:hAnsi="Times New Roman"/>
          <w:color w:val="auto"/>
          <w:sz w:val="26"/>
          <w:szCs w:val="26"/>
        </w:rPr>
        <w:t xml:space="preserve"> Технологический институт, в 1901 году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первое в Сибири Коммерческое училище, в 1902 году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Томский учительский институт, в 1910 году </w:t>
      </w:r>
      <w:r w:rsidR="0020665F">
        <w:rPr>
          <w:rFonts w:ascii="Times New Roman" w:eastAsiaTheme="minorHAnsi" w:hAnsi="Times New Roman"/>
          <w:color w:val="auto"/>
          <w:sz w:val="26"/>
          <w:szCs w:val="26"/>
        </w:rPr>
        <w:t>–</w:t>
      </w:r>
      <w:r w:rsidRPr="0020665F">
        <w:rPr>
          <w:rFonts w:ascii="Times New Roman" w:eastAsiaTheme="minorHAnsi" w:hAnsi="Times New Roman"/>
          <w:color w:val="auto"/>
          <w:sz w:val="26"/>
          <w:szCs w:val="26"/>
        </w:rPr>
        <w:t xml:space="preserve"> Сибирские высшие </w:t>
      </w:r>
      <w:r w:rsidRPr="0020665F">
        <w:rPr>
          <w:rFonts w:ascii="Times New Roman" w:eastAsiaTheme="minorHAnsi" w:hAnsi="Times New Roman"/>
          <w:color w:val="auto"/>
          <w:sz w:val="26"/>
          <w:szCs w:val="26"/>
        </w:rPr>
        <w:lastRenderedPageBreak/>
        <w:t xml:space="preserve">женские курсы. В годы Великой Отечественной войны эвакуация предприятий </w:t>
      </w:r>
      <w:r w:rsidR="0020665F">
        <w:rPr>
          <w:rFonts w:ascii="Times New Roman" w:eastAsiaTheme="minorHAnsi" w:hAnsi="Times New Roman"/>
          <w:color w:val="auto"/>
          <w:sz w:val="26"/>
          <w:szCs w:val="26"/>
        </w:rPr>
        <w:br/>
      </w:r>
      <w:r w:rsidRPr="0020665F">
        <w:rPr>
          <w:rFonts w:ascii="Times New Roman" w:eastAsiaTheme="minorHAnsi" w:hAnsi="Times New Roman"/>
          <w:color w:val="auto"/>
          <w:sz w:val="26"/>
          <w:szCs w:val="26"/>
        </w:rPr>
        <w:t>в г. Томск дала стимул развитию промышленности. Томская область вновь была образована 13 августа 1944 года путем выделения из Новосибирской области части районов бывших Томского и Нарымского округов (с утратой части южных районов, отошедших в состав вновь образованной Кемеровской области).</w:t>
      </w:r>
    </w:p>
    <w:p w:rsidR="00E618FE" w:rsidRPr="0020665F" w:rsidRDefault="00800098">
      <w:pPr>
        <w:pStyle w:val="a4"/>
        <w:rPr>
          <w:rFonts w:ascii="Times New Roman" w:hAnsi="Times New Roman"/>
          <w:color w:val="auto"/>
          <w:sz w:val="26"/>
          <w:szCs w:val="26"/>
        </w:rPr>
      </w:pPr>
      <w:r w:rsidRPr="00FE40FE">
        <w:rPr>
          <w:rFonts w:ascii="Times New Roman" w:eastAsiaTheme="minorHAnsi" w:hAnsi="Times New Roman"/>
          <w:b/>
          <w:bCs/>
          <w:color w:val="auto"/>
        </w:rPr>
        <w:t xml:space="preserve">Административно-территориальное деление. </w:t>
      </w:r>
      <w:r w:rsidRPr="0020665F">
        <w:rPr>
          <w:rFonts w:ascii="Times New Roman" w:hAnsi="Times New Roman"/>
          <w:color w:val="auto"/>
          <w:sz w:val="26"/>
          <w:szCs w:val="26"/>
        </w:rPr>
        <w:t xml:space="preserve">В соответствии с Законом Томской </w:t>
      </w:r>
      <w:r w:rsidR="0020665F">
        <w:rPr>
          <w:rFonts w:ascii="Times New Roman" w:hAnsi="Times New Roman"/>
          <w:color w:val="auto"/>
          <w:sz w:val="26"/>
          <w:szCs w:val="26"/>
        </w:rPr>
        <w:t xml:space="preserve">области от 22.12.2009 № 271-ОЗ </w:t>
      </w:r>
      <w:r w:rsidRPr="0020665F">
        <w:rPr>
          <w:rFonts w:ascii="Times New Roman" w:hAnsi="Times New Roman"/>
          <w:color w:val="auto"/>
          <w:sz w:val="26"/>
          <w:szCs w:val="26"/>
        </w:rPr>
        <w:t xml:space="preserve">«Об административно-территориальном устройстве Томской области» и Уставом Томской области регион включает следующие административно-территориальные единицы: </w:t>
      </w:r>
    </w:p>
    <w:p w:rsidR="00E618FE" w:rsidRPr="0020665F" w:rsidRDefault="0020665F">
      <w:pPr>
        <w:pStyle w:val="a4"/>
        <w:rPr>
          <w:rFonts w:ascii="Times New Roman" w:eastAsiaTheme="minorHAnsi" w:hAnsi="Times New Roman"/>
          <w:color w:val="auto"/>
          <w:sz w:val="26"/>
          <w:szCs w:val="26"/>
        </w:rPr>
      </w:pPr>
      <w:r>
        <w:rPr>
          <w:rFonts w:ascii="Times New Roman" w:eastAsiaTheme="minorHAnsi" w:hAnsi="Times New Roman"/>
          <w:color w:val="auto"/>
          <w:sz w:val="26"/>
          <w:szCs w:val="26"/>
        </w:rPr>
        <w:t>–</w:t>
      </w:r>
      <w:r w:rsidR="00800098" w:rsidRPr="0020665F">
        <w:rPr>
          <w:rFonts w:ascii="Times New Roman" w:eastAsiaTheme="minorHAnsi" w:hAnsi="Times New Roman"/>
          <w:color w:val="auto"/>
          <w:sz w:val="26"/>
          <w:szCs w:val="26"/>
        </w:rPr>
        <w:t> 4 города областного подчинения, один из которых закрытое административно-территориальное образование (Томск, Северск (ЗАТО), Стрежевой, Кедровый);</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16 районов (Александровский, Асиновский, Бакчарский, Верхнекетский, Зырянский, Каргасокский, Кожевниковский, Колпашевский, Кривошеинский, Молчановский, Парабельский, Первомайский, Тегульдетский, Томский, Чаинский, Шегарский);</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2 города районного подчинения (Асино, Колпашево);</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1 рабочий поселок (Белый Яр);</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563 сельских населенных пункта.</w:t>
      </w:r>
    </w:p>
    <w:p w:rsidR="00E618FE" w:rsidRPr="0020665F" w:rsidRDefault="00800098">
      <w:pPr>
        <w:pStyle w:val="mcnta11"/>
        <w:rPr>
          <w:rFonts w:ascii="Times New Roman" w:hAnsi="Times New Roman"/>
          <w:color w:val="auto"/>
          <w:sz w:val="26"/>
          <w:szCs w:val="26"/>
        </w:rPr>
      </w:pPr>
      <w:r w:rsidRPr="0020665F">
        <w:rPr>
          <w:rFonts w:ascii="Times New Roman" w:hAnsi="Times New Roman"/>
          <w:color w:val="auto"/>
          <w:sz w:val="26"/>
          <w:szCs w:val="26"/>
        </w:rPr>
        <w:t xml:space="preserve">В рамках муниципального устройства в границах административно-территориальных единиц области образованы 138 муниципальных образований, </w:t>
      </w:r>
      <w:r w:rsidR="0020665F">
        <w:rPr>
          <w:rFonts w:ascii="Times New Roman" w:hAnsi="Times New Roman"/>
          <w:color w:val="auto"/>
          <w:sz w:val="26"/>
          <w:szCs w:val="26"/>
        </w:rPr>
        <w:br/>
      </w:r>
      <w:r w:rsidRPr="0020665F">
        <w:rPr>
          <w:rFonts w:ascii="Times New Roman" w:hAnsi="Times New Roman"/>
          <w:color w:val="auto"/>
          <w:sz w:val="26"/>
          <w:szCs w:val="26"/>
        </w:rPr>
        <w:t>в том числе:</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3 городских округа;</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xml:space="preserve"> 1 муниципальный округ;</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16 муниципальных районов;</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3 городских поселения;</w:t>
      </w:r>
    </w:p>
    <w:p w:rsidR="00E618FE" w:rsidRPr="0020665F" w:rsidRDefault="0020665F">
      <w:pPr>
        <w:pStyle w:val="mcnta11"/>
        <w:rPr>
          <w:rFonts w:ascii="Times New Roman" w:hAnsi="Times New Roman"/>
          <w:color w:val="auto"/>
          <w:sz w:val="26"/>
          <w:szCs w:val="26"/>
        </w:rPr>
      </w:pPr>
      <w:r>
        <w:rPr>
          <w:rFonts w:ascii="Times New Roman" w:hAnsi="Times New Roman"/>
          <w:color w:val="auto"/>
          <w:sz w:val="26"/>
          <w:szCs w:val="26"/>
        </w:rPr>
        <w:t>–</w:t>
      </w:r>
      <w:r w:rsidR="00800098" w:rsidRPr="0020665F">
        <w:rPr>
          <w:rFonts w:ascii="Times New Roman" w:hAnsi="Times New Roman"/>
          <w:color w:val="auto"/>
          <w:sz w:val="26"/>
          <w:szCs w:val="26"/>
        </w:rPr>
        <w:t> 112 сельских поселений.</w:t>
      </w:r>
    </w:p>
    <w:p w:rsidR="00E618FE" w:rsidRPr="0020665F" w:rsidRDefault="00800098">
      <w:pPr>
        <w:pStyle w:val="mcnta11"/>
        <w:rPr>
          <w:rFonts w:ascii="Times New Roman" w:hAnsi="Times New Roman"/>
          <w:color w:val="auto"/>
          <w:sz w:val="26"/>
          <w:szCs w:val="26"/>
        </w:rPr>
      </w:pPr>
      <w:r w:rsidRPr="0020665F">
        <w:rPr>
          <w:rFonts w:ascii="Times New Roman" w:hAnsi="Times New Roman"/>
          <w:color w:val="auto"/>
          <w:sz w:val="26"/>
          <w:szCs w:val="26"/>
        </w:rPr>
        <w:t xml:space="preserve">В настоящее время в регионе идет обсуждение реформы местного самоуправления (МСУ) и перехода на одноуровневое местное самоуправление. </w:t>
      </w:r>
      <w:bookmarkEnd w:id="10"/>
    </w:p>
    <w:p w:rsidR="00E618FE" w:rsidRPr="00535A4B" w:rsidRDefault="00800098">
      <w:pPr>
        <w:pStyle w:val="10"/>
        <w:rPr>
          <w:rFonts w:ascii="Times New Roman" w:eastAsia="PT Astra Serif" w:hAnsi="Times New Roman" w:cs="Times New Roman"/>
          <w:lang w:val="ru-RU"/>
        </w:rPr>
      </w:pPr>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11" w:name="_Toc235810127"/>
      <w:bookmarkStart w:id="12" w:name="_Toc238554515"/>
      <w:bookmarkStart w:id="13" w:name="_Hlk228358440"/>
      <w:r w:rsidRPr="00535A4B">
        <w:rPr>
          <w:rFonts w:ascii="Times New Roman" w:eastAsia="PT Astra Serif" w:hAnsi="Times New Roman" w:cs="Times New Roman"/>
          <w:lang w:val="ru-RU"/>
        </w:rPr>
        <w:lastRenderedPageBreak/>
        <w:t>3. Анализ достижения целей и задач Стратегии социально-экономического развития Томской области в 2020 – 2025 годах</w:t>
      </w:r>
      <w:bookmarkEnd w:id="11"/>
      <w:bookmarkEnd w:id="12"/>
    </w:p>
    <w:p w:rsidR="00E618FE" w:rsidRPr="00535A4B" w:rsidRDefault="00E618FE">
      <w:pPr>
        <w:rPr>
          <w:rFonts w:eastAsia="PT Astra Serif"/>
          <w:lang w:eastAsia="en-US" w:bidi="en-US"/>
        </w:rPr>
      </w:pPr>
    </w:p>
    <w:p w:rsidR="00E618FE" w:rsidRPr="00535A4B" w:rsidRDefault="00800098">
      <w:pPr>
        <w:pStyle w:val="21"/>
        <w:rPr>
          <w:rFonts w:ascii="Times New Roman" w:eastAsia="PT Astra Serif" w:hAnsi="Times New Roman" w:cs="Times New Roman"/>
        </w:rPr>
      </w:pPr>
      <w:bookmarkStart w:id="14" w:name="_Toc228496280"/>
      <w:bookmarkStart w:id="15" w:name="_Toc231449423"/>
      <w:bookmarkStart w:id="16" w:name="_Toc235810128"/>
      <w:bookmarkStart w:id="17" w:name="_Toc238554516"/>
      <w:r w:rsidRPr="00535A4B">
        <w:rPr>
          <w:rFonts w:ascii="Times New Roman" w:eastAsia="PT Astra Serif" w:hAnsi="Times New Roman" w:cs="Times New Roman"/>
        </w:rPr>
        <w:t xml:space="preserve">Цель 1. Реализация модели интенсивного развития, включая развитие высокотехнологичных производств на основе потенциала научно-образовательного </w:t>
      </w:r>
      <w:r w:rsidRPr="00535A4B">
        <w:rPr>
          <w:rFonts w:ascii="Times New Roman" w:eastAsia="PT Astra Serif" w:hAnsi="Times New Roman" w:cs="Times New Roman"/>
          <w:szCs w:val="32"/>
        </w:rPr>
        <w:t>комплекса</w:t>
      </w:r>
      <w:r w:rsidRPr="00535A4B">
        <w:rPr>
          <w:rFonts w:ascii="Times New Roman" w:eastAsia="PT Astra Serif" w:hAnsi="Times New Roman" w:cs="Times New Roman"/>
        </w:rPr>
        <w:t>, создание условий для инвестиций, развитие предпринимательства</w:t>
      </w:r>
      <w:bookmarkEnd w:id="14"/>
      <w:bookmarkEnd w:id="15"/>
      <w:bookmarkEnd w:id="16"/>
      <w:bookmarkEnd w:id="17"/>
    </w:p>
    <w:p w:rsidR="00E618FE" w:rsidRPr="00535A4B" w:rsidRDefault="00E618FE">
      <w:pPr>
        <w:spacing w:after="160" w:line="259" w:lineRule="auto"/>
        <w:rPr>
          <w:rFonts w:eastAsia="PT Astra Serif"/>
          <w:b/>
          <w:bCs/>
          <w:sz w:val="28"/>
          <w:szCs w:val="28"/>
          <w:lang w:eastAsia="en-US" w:bidi="en-US"/>
        </w:rPr>
      </w:pP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bidi="en-US"/>
        </w:rPr>
        <w:t xml:space="preserve">Валовой региональный продукт (ВРП) и структура экономики. </w:t>
      </w:r>
      <w:r w:rsidRPr="0020665F">
        <w:rPr>
          <w:rFonts w:ascii="Times New Roman" w:eastAsia="PT Astra Serif" w:hAnsi="Times New Roman"/>
          <w:color w:val="auto"/>
          <w:sz w:val="26"/>
          <w:szCs w:val="26"/>
          <w:lang w:bidi="en-US"/>
        </w:rPr>
        <w:t>Томская область в условиях ковидных ограничений, санкционного давления, перестройки логистических</w:t>
      </w:r>
      <w:r w:rsidRPr="0020665F">
        <w:rPr>
          <w:rFonts w:ascii="Times New Roman" w:eastAsia="PT Astra Serif" w:hAnsi="Times New Roman"/>
          <w:color w:val="auto"/>
          <w:sz w:val="26"/>
          <w:szCs w:val="26"/>
          <w:lang w:eastAsia="en-US" w:bidi="en-US"/>
        </w:rPr>
        <w:t xml:space="preserve"> цепочек и ужесточения денежно</w:t>
      </w:r>
      <w:r w:rsidRPr="0020665F">
        <w:rPr>
          <w:rFonts w:ascii="Times New Roman" w:eastAsia="PT Astra Serif" w:hAnsi="Times New Roman"/>
          <w:color w:val="auto"/>
          <w:sz w:val="26"/>
          <w:szCs w:val="26"/>
          <w:lang w:eastAsia="en-US" w:bidi="en-US"/>
        </w:rPr>
        <w:noBreakHyphen/>
        <w:t>кредитной политики смогла выйти за рассматриваемый период на ежегодную положительную динамику ВРП и рост обрабатывающих высокотехнологичных производств. Доля вида деятельности «Добыча полезных ископаемых» в промышленном производстве снизилась с 40,3% в 2024 году до 34,6% в 2025 году, тогда как доля обрабатывающих производств превысила 50% промышленного выпуска.</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Накопленный темп роста ВРП в сопоставимых ценах к уровню 2020 года по итогам 2024 года составил 110,8% при целевом ориентире 117,5%. Отклонения связаны с сокращением планируемых объемов добычи нефти. Это означает, что базовая траектория роста сформирована, но требует дальнейшего ускорения </w:t>
      </w:r>
      <w:r w:rsidR="00FE40FE">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в ходе реализации Стратегии.</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Фактически в регионе идет устойчивый процесс структурной трансформации в пользу несырьевых и перерабатывающих отр</w:t>
      </w:r>
      <w:r w:rsidR="0020665F">
        <w:rPr>
          <w:rFonts w:ascii="Times New Roman" w:eastAsia="PT Astra Serif" w:hAnsi="Times New Roman"/>
          <w:color w:val="auto"/>
          <w:sz w:val="26"/>
          <w:szCs w:val="26"/>
          <w:lang w:eastAsia="en-US" w:bidi="en-US"/>
        </w:rPr>
        <w:t>аслей. Задача следующего этапа –</w:t>
      </w:r>
      <w:r w:rsidRPr="0020665F">
        <w:rPr>
          <w:rFonts w:ascii="Times New Roman" w:eastAsia="PT Astra Serif" w:hAnsi="Times New Roman"/>
          <w:color w:val="auto"/>
          <w:sz w:val="26"/>
          <w:szCs w:val="26"/>
          <w:lang w:eastAsia="en-US" w:bidi="en-US"/>
        </w:rPr>
        <w:t xml:space="preserve"> развить этот тренд до целевых параметров по объему ВРП и доле высокотехнологичных и наукоемких отраслей к 2030 году, используя уже сформированные предпосылки.</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Промышленность.</w:t>
      </w:r>
      <w:r w:rsidRPr="0020665F">
        <w:rPr>
          <w:rFonts w:ascii="Times New Roman" w:eastAsia="PT Astra Serif" w:hAnsi="Times New Roman"/>
          <w:b/>
          <w:bCs/>
          <w:color w:val="auto"/>
          <w:sz w:val="26"/>
          <w:szCs w:val="26"/>
          <w:lang w:eastAsia="en-US" w:bidi="en-US"/>
        </w:rPr>
        <w:t xml:space="preserve"> </w:t>
      </w:r>
      <w:r w:rsidRPr="0020665F">
        <w:rPr>
          <w:rFonts w:ascii="Times New Roman" w:eastAsia="PT Astra Serif" w:hAnsi="Times New Roman"/>
          <w:color w:val="auto"/>
          <w:sz w:val="26"/>
          <w:szCs w:val="26"/>
          <w:lang w:eastAsia="en-US" w:bidi="en-US"/>
        </w:rPr>
        <w:t>В промышленном секторе в 2020 – 2025 годах сформировалась новая конфигурация роста: на фоне внешних ограничений регион удержал промышленный выпуск и одновременно снизил сырьевую зависимость, усилив роль обрабатывающих производств.</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По данным мониторинга, темп роста объема продукции обрабатывающих производств в 2024 году достиг 124,3%</w:t>
      </w:r>
      <w:r w:rsidR="0020665F">
        <w:rPr>
          <w:rFonts w:ascii="Times New Roman" w:eastAsia="PT Astra Serif" w:hAnsi="Times New Roman"/>
          <w:color w:val="auto"/>
          <w:sz w:val="26"/>
          <w:szCs w:val="26"/>
          <w:lang w:eastAsia="en-US" w:bidi="en-US"/>
        </w:rPr>
        <w:t xml:space="preserve"> (при плане 120,84), 2025 году –</w:t>
      </w:r>
      <w:r w:rsidRPr="0020665F">
        <w:rPr>
          <w:rFonts w:ascii="Times New Roman" w:eastAsia="PT Astra Serif" w:hAnsi="Times New Roman"/>
          <w:color w:val="auto"/>
          <w:sz w:val="26"/>
          <w:szCs w:val="26"/>
          <w:lang w:eastAsia="en-US" w:bidi="en-US"/>
        </w:rPr>
        <w:t xml:space="preserve"> 125,2% относительно 2020 года. Это подтверждает, что курс на усиление переработки реал</w:t>
      </w:r>
      <w:r w:rsidR="0020665F">
        <w:rPr>
          <w:rFonts w:ascii="Times New Roman" w:eastAsia="PT Astra Serif" w:hAnsi="Times New Roman"/>
          <w:color w:val="auto"/>
          <w:sz w:val="26"/>
          <w:szCs w:val="26"/>
          <w:lang w:eastAsia="en-US" w:bidi="en-US"/>
        </w:rPr>
        <w:t>изуется. Первоочередная задача –</w:t>
      </w:r>
      <w:r w:rsidRPr="0020665F">
        <w:rPr>
          <w:rFonts w:ascii="Times New Roman" w:eastAsia="PT Astra Serif" w:hAnsi="Times New Roman"/>
          <w:color w:val="auto"/>
          <w:sz w:val="26"/>
          <w:szCs w:val="26"/>
          <w:lang w:eastAsia="en-US" w:bidi="en-US"/>
        </w:rPr>
        <w:t xml:space="preserve"> ускорить его за счет модернизации мощностей, кластерной политики и адресной поддержки ключевых производств.</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Одним из чувствительных факторов остается высокий износ основных фондов: в 2025 году он оценивался примерно в 51,4%, что объективно ограничивает темпы технологического обновления. Вместе с тем именно эта отправная точка делает инвестиции в обновление промышленных фондов одним из наиболее эффективных инструментов ускорения роста и достижения целевых параметров по производительности и ВРП.</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Высокотехнологичные отрасли, наука, исследования и инновации.</w:t>
      </w:r>
      <w:r w:rsidRPr="0020665F">
        <w:rPr>
          <w:rFonts w:ascii="Times New Roman" w:eastAsia="PT Astra Serif" w:hAnsi="Times New Roman"/>
          <w:b/>
          <w:bCs/>
          <w:color w:val="auto"/>
          <w:sz w:val="26"/>
          <w:szCs w:val="26"/>
          <w:lang w:eastAsia="en-US" w:bidi="en-US"/>
        </w:rPr>
        <w:t xml:space="preserve"> </w:t>
      </w:r>
      <w:r w:rsidRPr="0020665F">
        <w:rPr>
          <w:rFonts w:ascii="Times New Roman" w:eastAsia="PT Astra Serif" w:hAnsi="Times New Roman"/>
          <w:color w:val="auto"/>
          <w:sz w:val="26"/>
          <w:szCs w:val="26"/>
          <w:lang w:eastAsia="en-US" w:bidi="en-US"/>
        </w:rPr>
        <w:t xml:space="preserve">Томская область традиционно является одним из наиболее наукоемких регионов России и уверенно использует этот статус как основу модели интенсивного развития. В 2020 – 2025 годах регион сохранил и укрепил лидерские позиции </w:t>
      </w:r>
      <w:r w:rsidR="0020665F">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lastRenderedPageBreak/>
        <w:t>в научно</w:t>
      </w:r>
      <w:r w:rsidRPr="0020665F">
        <w:rPr>
          <w:rFonts w:ascii="Times New Roman" w:eastAsia="PT Astra Serif" w:hAnsi="Times New Roman"/>
          <w:color w:val="auto"/>
          <w:sz w:val="26"/>
          <w:szCs w:val="26"/>
          <w:lang w:eastAsia="en-US" w:bidi="en-US"/>
        </w:rPr>
        <w:noBreakHyphen/>
        <w:t>технологическом развитии, заняв в 2026 году 3</w:t>
      </w:r>
      <w:r w:rsidRPr="0020665F">
        <w:rPr>
          <w:rFonts w:ascii="Times New Roman" w:eastAsia="PT Astra Serif" w:hAnsi="Times New Roman"/>
          <w:color w:val="auto"/>
          <w:sz w:val="26"/>
          <w:szCs w:val="26"/>
          <w:lang w:eastAsia="en-US" w:bidi="en-US"/>
        </w:rPr>
        <w:noBreakHyphen/>
        <w:t xml:space="preserve">е место в Рейтинге инновационного развития субъектов Российской Федерации </w:t>
      </w:r>
      <w:r w:rsidR="0020665F">
        <w:rPr>
          <w:rFonts w:ascii="Times New Roman" w:hAnsi="Times New Roman"/>
          <w:bCs/>
          <w:color w:val="auto"/>
          <w:sz w:val="26"/>
          <w:szCs w:val="26"/>
        </w:rPr>
        <w:t>(разработчик –</w:t>
      </w:r>
      <w:r w:rsidRPr="0020665F">
        <w:rPr>
          <w:rFonts w:ascii="Times New Roman" w:hAnsi="Times New Roman"/>
          <w:b/>
          <w:color w:val="auto"/>
          <w:sz w:val="26"/>
          <w:szCs w:val="26"/>
        </w:rPr>
        <w:t xml:space="preserve"> </w:t>
      </w:r>
      <w:r w:rsidRPr="0020665F">
        <w:rPr>
          <w:rFonts w:ascii="Times New Roman" w:eastAsia="PT Astra Serif" w:hAnsi="Times New Roman"/>
          <w:color w:val="auto"/>
          <w:sz w:val="26"/>
          <w:szCs w:val="26"/>
          <w:lang w:eastAsia="en-US" w:bidi="en-US"/>
        </w:rPr>
        <w:t>НИУ ВШЭ), а в 2025 году – 7-е место. Томская область входит в группу 10 ведущих регионов по инновационному потенциалу.</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Ключевым драйвером ста</w:t>
      </w:r>
      <w:r w:rsidR="0020665F">
        <w:rPr>
          <w:rFonts w:ascii="Times New Roman" w:eastAsia="PT Astra Serif" w:hAnsi="Times New Roman"/>
          <w:color w:val="auto"/>
          <w:sz w:val="26"/>
          <w:szCs w:val="26"/>
          <w:lang w:eastAsia="en-US" w:bidi="en-US"/>
        </w:rPr>
        <w:t>л «Большой университет Томска» –</w:t>
      </w:r>
      <w:r w:rsidRPr="0020665F">
        <w:rPr>
          <w:rFonts w:ascii="Times New Roman" w:eastAsia="PT Astra Serif" w:hAnsi="Times New Roman"/>
          <w:color w:val="auto"/>
          <w:sz w:val="26"/>
          <w:szCs w:val="26"/>
          <w:lang w:eastAsia="en-US" w:bidi="en-US"/>
        </w:rPr>
        <w:t xml:space="preserve"> Томский научно</w:t>
      </w:r>
      <w:r w:rsidRPr="0020665F">
        <w:rPr>
          <w:rFonts w:ascii="Times New Roman" w:eastAsia="PT Astra Serif" w:hAnsi="Times New Roman"/>
          <w:color w:val="auto"/>
          <w:sz w:val="26"/>
          <w:szCs w:val="26"/>
          <w:lang w:eastAsia="en-US" w:bidi="en-US"/>
        </w:rPr>
        <w:noBreakHyphen/>
        <w:t xml:space="preserve">образовательный комплекс, объединяющий 6 вузов и 6 организаций Сибирского отделения Российской академии наук с долей исследователей </w:t>
      </w:r>
      <w:r w:rsidRPr="0020665F">
        <w:rPr>
          <w:rFonts w:ascii="Times New Roman" w:eastAsia="PT Astra Serif" w:hAnsi="Times New Roman"/>
          <w:color w:val="auto"/>
          <w:sz w:val="26"/>
          <w:szCs w:val="26"/>
          <w:lang w:eastAsia="en-US" w:bidi="en-US"/>
        </w:rPr>
        <w:br/>
        <w:t>в возрасте до 39 лет около 50%. Это обеспечивает региону долгосрочное кадровое ядро для высокотехнологичных отраслей.</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Внутренние затраты на исследования и разработки (НИОКР) демонстрировали устойчивый рост: до 22 242,7 млн рублей в 2024 году, что сохраняет за регионом 3</w:t>
      </w:r>
      <w:r w:rsidRPr="0020665F">
        <w:rPr>
          <w:rFonts w:ascii="Times New Roman" w:eastAsia="PT Astra Serif" w:hAnsi="Times New Roman"/>
          <w:color w:val="auto"/>
          <w:sz w:val="26"/>
          <w:szCs w:val="26"/>
          <w:lang w:eastAsia="en-US" w:bidi="en-US"/>
        </w:rPr>
        <w:noBreakHyphen/>
        <w:t>е место в Сибирском федеральном округе по этому показателю. Доля внутренних затрат на НИОКР в ВРП в 2024 году составила 2,8%, превысив среднероссийский уровень и выполнив на 100% план.</w:t>
      </w:r>
      <w:r w:rsidRPr="0020665F">
        <w:rPr>
          <w:rFonts w:ascii="Times New Roman" w:hAnsi="Times New Roman"/>
          <w:color w:val="auto"/>
          <w:sz w:val="26"/>
          <w:szCs w:val="26"/>
        </w:rPr>
        <w:t xml:space="preserve"> </w:t>
      </w:r>
      <w:r w:rsidRPr="0020665F">
        <w:rPr>
          <w:rFonts w:ascii="Times New Roman" w:eastAsia="PT Astra Serif" w:hAnsi="Times New Roman"/>
          <w:color w:val="auto"/>
          <w:sz w:val="26"/>
          <w:szCs w:val="26"/>
          <w:lang w:eastAsia="en-US" w:bidi="en-US"/>
        </w:rPr>
        <w:t>По предварительной оценке, в 2025 году показатель составил 2,1%.</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Инновационная активность также находится на восходящей траектории. Объем инновационных товаров, работ и услуг в 2024 году составил 23,7 млрд рублей при целевом значении 23,3 млрд рублей. При сохранении текущих темпов роста и действующих мер поддержки технологического предпринимательства риски недостижения показателя оцениваются как управляемые.</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Доля продукции высокотехнологичных и наукоемких отраслей в ВРП в 2024 году составила 22,6% при целевом значении 22,6% к 2024 году. Целевое значение достигнуто. Предварительная оценка за 2025 год </w:t>
      </w:r>
      <w:r w:rsidR="0020665F">
        <w:rPr>
          <w:rFonts w:ascii="Times New Roman" w:eastAsia="PT Astra Serif" w:hAnsi="Times New Roman"/>
          <w:color w:val="auto"/>
          <w:sz w:val="26"/>
          <w:szCs w:val="26"/>
          <w:lang w:eastAsia="en-US" w:bidi="en-US"/>
        </w:rPr>
        <w:t>–</w:t>
      </w:r>
      <w:r w:rsidRPr="0020665F">
        <w:rPr>
          <w:rFonts w:ascii="Times New Roman" w:eastAsia="PT Astra Serif" w:hAnsi="Times New Roman"/>
          <w:color w:val="auto"/>
          <w:sz w:val="26"/>
          <w:szCs w:val="26"/>
          <w:lang w:eastAsia="en-US" w:bidi="en-US"/>
        </w:rPr>
        <w:t xml:space="preserve"> 23,1%. Показатель демонстрирует устойчивую положительную динамику с 2022 года. </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Развитие высокотехнологичного сектора последовательно строится </w:t>
      </w:r>
      <w:r w:rsidRPr="0020665F">
        <w:rPr>
          <w:rFonts w:ascii="Times New Roman" w:eastAsia="PT Astra Serif" w:hAnsi="Times New Roman"/>
          <w:color w:val="auto"/>
          <w:sz w:val="26"/>
          <w:szCs w:val="26"/>
          <w:lang w:eastAsia="en-US" w:bidi="en-US"/>
        </w:rPr>
        <w:br/>
        <w:t>на формировании кластеров и технологического ядра новой отраслевой специализации, включая:</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микро</w:t>
      </w:r>
      <w:r w:rsidR="00800098" w:rsidRPr="0020665F">
        <w:rPr>
          <w:rFonts w:ascii="Times New Roman" w:eastAsia="PT Astra Serif" w:hAnsi="Times New Roman"/>
          <w:color w:val="auto"/>
          <w:sz w:val="26"/>
          <w:szCs w:val="26"/>
          <w:lang w:eastAsia="en-US" w:bidi="en-US"/>
        </w:rPr>
        <w:noBreakHyphen/>
        <w:t xml:space="preserve"> и наноэлектронику;</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точное машиностроение и передовое оборудование;</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ядерные и водородные технологии;</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беспилотные авиационные системы и беспилотные технологии;</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малотоннажную химию и глубокую переработку ресурсов;</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биотехнологии.</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Кадровый потенциал обеспечивается ведущими университетами региона, входящими в национальные и международные рейтинги. К числу основных рисков могут быть отнесены отток квалифицированных специалистов и дефицит кадров </w:t>
      </w:r>
      <w:r w:rsidR="0020665F">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в новых кластерах. Нивелирование этих рисков может обеспечиваться через договоры о целевом обучении</w:t>
      </w:r>
      <w:r w:rsidRPr="0020665F">
        <w:rPr>
          <w:rFonts w:ascii="Times New Roman" w:hAnsi="Times New Roman"/>
          <w:color w:val="auto"/>
          <w:sz w:val="26"/>
          <w:szCs w:val="26"/>
        </w:rPr>
        <w:t xml:space="preserve"> </w:t>
      </w:r>
      <w:r w:rsidRPr="0020665F">
        <w:rPr>
          <w:rFonts w:ascii="Times New Roman" w:eastAsia="PT Astra Serif" w:hAnsi="Times New Roman"/>
          <w:color w:val="auto"/>
          <w:sz w:val="26"/>
          <w:szCs w:val="26"/>
          <w:lang w:eastAsia="en-US" w:bidi="en-US"/>
        </w:rPr>
        <w:t>по образовательным программам среднего профессионального или высшего образования, удержание квалифицированных кадров и привлечение талантов.</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В целом по этому направлению достижения Томской области </w:t>
      </w:r>
      <w:r w:rsidRPr="0020665F">
        <w:rPr>
          <w:rFonts w:ascii="Times New Roman" w:eastAsia="PT Astra Serif" w:hAnsi="Times New Roman"/>
          <w:color w:val="auto"/>
          <w:sz w:val="26"/>
          <w:szCs w:val="26"/>
          <w:lang w:eastAsia="en-US" w:bidi="en-US"/>
        </w:rPr>
        <w:br/>
        <w:t>в большей степени соответствуют целям Стратегии, чем по традиционным сырьевым секторам. Регион имеет запас прочности для выхода на целевые значения к 2030 году при условии масштабирования инструментов коммерциализации разработок и кооперации науки, профессионального образования и бизнеса.</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Лесопромышленный комплекс (ЛПК)</w:t>
      </w:r>
      <w:r w:rsidRPr="00FE40FE">
        <w:rPr>
          <w:rFonts w:ascii="Times New Roman" w:eastAsia="PT Astra Serif" w:hAnsi="Times New Roman"/>
          <w:color w:val="auto"/>
          <w:lang w:eastAsia="en-US" w:bidi="en-US"/>
        </w:rPr>
        <w:t xml:space="preserve"> </w:t>
      </w:r>
      <w:r w:rsidRPr="0020665F">
        <w:rPr>
          <w:rFonts w:ascii="Times New Roman" w:eastAsia="PT Astra Serif" w:hAnsi="Times New Roman"/>
          <w:color w:val="auto"/>
          <w:sz w:val="26"/>
          <w:szCs w:val="26"/>
          <w:lang w:eastAsia="en-US" w:bidi="en-US"/>
        </w:rPr>
        <w:t xml:space="preserve">закрепил за собой статус ключевого ресурсного кластера региона и важного элемента модели интенсивного развития. В 2020 – 2025 годах в комплексе сохранялись высокие объемы заготовки </w:t>
      </w:r>
      <w:r w:rsidRPr="0020665F">
        <w:rPr>
          <w:rFonts w:ascii="Times New Roman" w:eastAsia="PT Astra Serif" w:hAnsi="Times New Roman"/>
          <w:color w:val="auto"/>
          <w:sz w:val="26"/>
          <w:szCs w:val="26"/>
          <w:lang w:eastAsia="en-US" w:bidi="en-US"/>
        </w:rPr>
        <w:lastRenderedPageBreak/>
        <w:t>и первичной переработки древесины, однако переход к продукции глубокой переработки (пиломатериалы, плиты, целлюлозно</w:t>
      </w:r>
      <w:r w:rsidRPr="0020665F">
        <w:rPr>
          <w:rFonts w:ascii="Times New Roman" w:eastAsia="PT Astra Serif" w:hAnsi="Times New Roman"/>
          <w:color w:val="auto"/>
          <w:sz w:val="26"/>
          <w:szCs w:val="26"/>
          <w:lang w:eastAsia="en-US" w:bidi="en-US"/>
        </w:rPr>
        <w:noBreakHyphen/>
        <w:t xml:space="preserve">бумажная продукция, клееные конструкции) развивался менее динамично, чем предусмотрено Стратегией. При этом именно здесь сосредоточен один из наиболее очевидных резервов роста: увеличение доли продукции с высокой добавленной стоимостью способно дать значимый вклад в ВРП, налоговую базу и экспорт. Санкционное давление </w:t>
      </w:r>
      <w:r w:rsidRPr="0020665F">
        <w:rPr>
          <w:rFonts w:ascii="Times New Roman" w:eastAsia="PT Astra Serif" w:hAnsi="Times New Roman"/>
          <w:color w:val="auto"/>
          <w:sz w:val="26"/>
          <w:szCs w:val="26"/>
          <w:lang w:eastAsia="en-US" w:bidi="en-US"/>
        </w:rPr>
        <w:br/>
        <w:t xml:space="preserve">и переориентация на азиатские рынки уже стимулировали поиск новых логистических решений и рынков сбыта. В рамках следующего этапа реализации Стратегии ЛПК может стать пилотной площадкой перехода </w:t>
      </w:r>
      <w:r w:rsidRPr="0020665F">
        <w:rPr>
          <w:rFonts w:ascii="Times New Roman" w:eastAsia="PT Astra Serif" w:hAnsi="Times New Roman"/>
          <w:color w:val="auto"/>
          <w:sz w:val="26"/>
          <w:szCs w:val="26"/>
          <w:lang w:eastAsia="en-US" w:bidi="en-US"/>
        </w:rPr>
        <w:br/>
        <w:t>от сырьевой модели к глубокой переработке.</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 xml:space="preserve">Сектор малого и среднего предпринимательства </w:t>
      </w:r>
      <w:r w:rsidRPr="00FE40FE">
        <w:rPr>
          <w:rFonts w:ascii="Times New Roman" w:eastAsia="PT Astra Serif" w:hAnsi="Times New Roman"/>
          <w:color w:val="auto"/>
          <w:lang w:eastAsia="en-US" w:bidi="en-US"/>
        </w:rPr>
        <w:t>(МСП)</w:t>
      </w:r>
      <w:r w:rsidRPr="0020665F">
        <w:rPr>
          <w:rFonts w:ascii="Times New Roman" w:eastAsia="PT Astra Serif" w:hAnsi="Times New Roman"/>
          <w:color w:val="auto"/>
          <w:sz w:val="26"/>
          <w:szCs w:val="26"/>
          <w:lang w:eastAsia="en-US" w:bidi="en-US"/>
        </w:rPr>
        <w:t xml:space="preserve"> </w:t>
      </w:r>
      <w:r w:rsidRPr="0020665F">
        <w:rPr>
          <w:rFonts w:ascii="Times New Roman" w:eastAsia="PT Astra Serif" w:hAnsi="Times New Roman"/>
          <w:color w:val="auto"/>
          <w:sz w:val="26"/>
          <w:szCs w:val="26"/>
          <w:lang w:eastAsia="en-US" w:bidi="en-US"/>
        </w:rPr>
        <w:br/>
        <w:t xml:space="preserve">в 2020–2025 годах стал одним из ключевых драйверов диверсификации экономики и создания рабочих мест. Численность занятых в МСП в 2024 году составила </w:t>
      </w:r>
      <w:r w:rsidR="0020665F">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 xml:space="preserve">179,39 тыс. человек (при целевом значении 158,80), </w:t>
      </w:r>
      <w:r w:rsidR="0020665F">
        <w:rPr>
          <w:rFonts w:ascii="Times New Roman" w:eastAsia="PT Astra Serif" w:hAnsi="Times New Roman"/>
          <w:color w:val="auto"/>
          <w:sz w:val="26"/>
          <w:szCs w:val="26"/>
          <w:lang w:eastAsia="en-US" w:bidi="en-US"/>
        </w:rPr>
        <w:t>а в 2025 году –</w:t>
      </w:r>
      <w:r w:rsidRPr="0020665F">
        <w:rPr>
          <w:rFonts w:ascii="Times New Roman" w:eastAsia="PT Astra Serif" w:hAnsi="Times New Roman"/>
          <w:color w:val="auto"/>
          <w:sz w:val="26"/>
          <w:szCs w:val="26"/>
          <w:lang w:eastAsia="en-US" w:bidi="en-US"/>
        </w:rPr>
        <w:t xml:space="preserve"> 199,8 тыс. человек. Фактически цель по занятости в МСП была достигнута и перевыполнена досрочно, что является важным структурным результатом реализации комплекса мер поддержки. На следующем этапе реализации Стратегии приоритет должен смещаться от количес</w:t>
      </w:r>
      <w:r w:rsidR="0020665F">
        <w:rPr>
          <w:rFonts w:ascii="Times New Roman" w:eastAsia="PT Astra Serif" w:hAnsi="Times New Roman"/>
          <w:color w:val="auto"/>
          <w:sz w:val="26"/>
          <w:szCs w:val="26"/>
          <w:lang w:eastAsia="en-US" w:bidi="en-US"/>
        </w:rPr>
        <w:t>твенного роста к качественному –</w:t>
      </w:r>
      <w:r w:rsidRPr="0020665F">
        <w:rPr>
          <w:rFonts w:ascii="Times New Roman" w:eastAsia="PT Astra Serif" w:hAnsi="Times New Roman"/>
          <w:color w:val="auto"/>
          <w:sz w:val="26"/>
          <w:szCs w:val="26"/>
          <w:lang w:eastAsia="en-US" w:bidi="en-US"/>
        </w:rPr>
        <w:t xml:space="preserve"> повышение вклада МСП в формирование ВРП и поступлений в бюджетную систему.</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Торговля и потребительский рынок Томской области</w:t>
      </w:r>
      <w:r w:rsidRPr="0020665F">
        <w:rPr>
          <w:rFonts w:ascii="Times New Roman" w:eastAsia="PT Astra Serif" w:hAnsi="Times New Roman"/>
          <w:color w:val="auto"/>
          <w:sz w:val="26"/>
          <w:szCs w:val="26"/>
          <w:lang w:eastAsia="en-US" w:bidi="en-US"/>
        </w:rPr>
        <w:t xml:space="preserve"> в 2020–2025 годах продемонстрировали устойчивость и гибкость в условиях внешних шоков.</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Оборот розничной торговли вырос с 174,5 млрд рублей в 2020 году </w:t>
      </w:r>
      <w:r w:rsidR="0020665F">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до 331,7 млрд рублей в 2024 году, при этом индекс физического объема в 2024 году составил 114,3% к предыдущему году. По итогам 2025 года оборот розничной торговли увеличился до 361,1 млрд рублей, индекс физического объема к 2024 году – 101,2%.</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Объем платных услуг населению увеличился с 52,1 млрд рублей</w:t>
      </w:r>
      <w:r w:rsidRPr="0020665F">
        <w:rPr>
          <w:rFonts w:ascii="Times New Roman" w:eastAsia="PT Astra Serif" w:hAnsi="Times New Roman"/>
          <w:color w:val="auto"/>
          <w:sz w:val="26"/>
          <w:szCs w:val="26"/>
          <w:lang w:eastAsia="en-US" w:bidi="en-US"/>
        </w:rPr>
        <w:br/>
        <w:t xml:space="preserve">в 2020 году до 73,8 млрд рублей в 2024 году, индекс физического объема составил </w:t>
      </w:r>
      <w:r w:rsidR="0020665F">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к 2023 году 107,1%. В 2025 году этот показатель возрос до 80,5 млрд рублей, индекс физического объема – 99,3%.</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Структура потребления оставалась сбалансированной: доля непродовольственных товаров в розничной торговле в 2024 году достигла 52,5%, доля продовольственных </w:t>
      </w:r>
      <w:r w:rsidR="0020665F">
        <w:rPr>
          <w:rFonts w:ascii="Times New Roman" w:eastAsia="PT Astra Serif" w:hAnsi="Times New Roman"/>
          <w:color w:val="auto"/>
          <w:sz w:val="26"/>
          <w:szCs w:val="26"/>
          <w:lang w:eastAsia="en-US" w:bidi="en-US"/>
        </w:rPr>
        <w:t>–</w:t>
      </w:r>
      <w:r w:rsidRPr="0020665F">
        <w:rPr>
          <w:rFonts w:ascii="Times New Roman" w:eastAsia="PT Astra Serif" w:hAnsi="Times New Roman"/>
          <w:color w:val="auto"/>
          <w:sz w:val="26"/>
          <w:szCs w:val="26"/>
          <w:lang w:eastAsia="en-US" w:bidi="en-US"/>
        </w:rPr>
        <w:t> 47,5%. В 2025 году это соот</w:t>
      </w:r>
      <w:r w:rsidR="0020665F">
        <w:rPr>
          <w:rFonts w:ascii="Times New Roman" w:eastAsia="PT Astra Serif" w:hAnsi="Times New Roman"/>
          <w:color w:val="auto"/>
          <w:sz w:val="26"/>
          <w:szCs w:val="26"/>
          <w:lang w:eastAsia="en-US" w:bidi="en-US"/>
        </w:rPr>
        <w:t>ношение составило 52,1% и 47,9%</w:t>
      </w:r>
      <w:r w:rsidRPr="0020665F">
        <w:rPr>
          <w:rFonts w:ascii="Times New Roman" w:eastAsia="PT Astra Serif" w:hAnsi="Times New Roman"/>
          <w:color w:val="auto"/>
          <w:sz w:val="26"/>
          <w:szCs w:val="26"/>
          <w:lang w:eastAsia="en-US" w:bidi="en-US"/>
        </w:rPr>
        <w:t xml:space="preserve"> соответственно.</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Структурные изменения включали:</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рост доли современных форматов торговли (сетевые магазины, торговые центры);</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ускоренное развитие электронной коммерции, маркетплейсов</w:t>
      </w:r>
      <w:r w:rsidR="00800098" w:rsidRPr="0020665F">
        <w:rPr>
          <w:rFonts w:ascii="Times New Roman" w:eastAsia="PT Astra Serif" w:hAnsi="Times New Roman"/>
          <w:color w:val="auto"/>
          <w:sz w:val="26"/>
          <w:szCs w:val="26"/>
          <w:lang w:eastAsia="en-US" w:bidi="en-US"/>
        </w:rPr>
        <w:br/>
        <w:t>и онлайн</w:t>
      </w:r>
      <w:r w:rsidR="00800098" w:rsidRPr="0020665F">
        <w:rPr>
          <w:rFonts w:ascii="Times New Roman" w:eastAsia="PT Astra Serif" w:hAnsi="Times New Roman"/>
          <w:color w:val="auto"/>
          <w:sz w:val="26"/>
          <w:szCs w:val="26"/>
          <w:lang w:eastAsia="en-US" w:bidi="en-US"/>
        </w:rPr>
        <w:noBreakHyphen/>
        <w:t>платформ</w:t>
      </w:r>
      <w:r w:rsidR="00800098" w:rsidRPr="0020665F">
        <w:rPr>
          <w:rFonts w:ascii="Times New Roman" w:eastAsia="PT Astra Serif" w:hAnsi="Times New Roman"/>
          <w:color w:val="auto"/>
          <w:sz w:val="26"/>
          <w:szCs w:val="26"/>
        </w:rPr>
        <w:t xml:space="preserve">, </w:t>
      </w:r>
      <w:r w:rsidR="00800098" w:rsidRPr="0020665F">
        <w:rPr>
          <w:rFonts w:ascii="Times New Roman" w:eastAsia="PT Astra Serif" w:hAnsi="Times New Roman"/>
          <w:color w:val="auto"/>
          <w:sz w:val="26"/>
          <w:szCs w:val="26"/>
          <w:lang w:eastAsia="en-US" w:bidi="en-US"/>
        </w:rPr>
        <w:t xml:space="preserve">рост числа пунктов выдачи заказов (Wildberries, Ozon </w:t>
      </w:r>
      <w:r w:rsidR="00800098" w:rsidRPr="0020665F">
        <w:rPr>
          <w:rFonts w:ascii="Times New Roman" w:eastAsia="PT Astra Serif" w:hAnsi="Times New Roman"/>
          <w:color w:val="auto"/>
          <w:sz w:val="26"/>
          <w:szCs w:val="26"/>
          <w:lang w:eastAsia="en-US" w:bidi="en-US"/>
        </w:rPr>
        <w:br/>
        <w:t>и др.);</w:t>
      </w:r>
    </w:p>
    <w:p w:rsidR="00E618FE" w:rsidRPr="0020665F" w:rsidRDefault="0020665F">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усиление присутствия местных производителей и продукции импортозамещения в торговых сетях.</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Это позволило сохранить доступность товаров, смягчить влияние внешних ограничений и поддержать доходы населения, одновременно укрепляя позиции МСП в розничной торговле и в секторе оказания платных услуг.</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Развитие туризма и индустрии гостеприимства</w:t>
      </w:r>
      <w:r w:rsidRPr="0020665F">
        <w:rPr>
          <w:rFonts w:ascii="Times New Roman" w:eastAsia="PT Astra Serif" w:hAnsi="Times New Roman"/>
          <w:color w:val="auto"/>
          <w:sz w:val="26"/>
          <w:szCs w:val="26"/>
          <w:lang w:eastAsia="en-US" w:bidi="en-US"/>
        </w:rPr>
        <w:t xml:space="preserve"> стало одним из наиболее ярких успехов реализации Цели 1. Объем услуг в сфере туризма в </w:t>
      </w:r>
      <w:r w:rsidRPr="0020665F">
        <w:rPr>
          <w:rFonts w:ascii="Times New Roman" w:eastAsia="PT Astra Serif" w:hAnsi="Times New Roman"/>
          <w:color w:val="auto"/>
          <w:sz w:val="26"/>
          <w:szCs w:val="26"/>
          <w:lang w:eastAsia="en-US" w:bidi="en-US"/>
        </w:rPr>
        <w:lastRenderedPageBreak/>
        <w:t>действующих ценах в 2024 году составил 237,05% к уровню 2020 года, при целевом значении 162,28%.</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В 2025 году темп роста объема туристских услуг составил 220,78% </w:t>
      </w:r>
      <w:r w:rsidRPr="0020665F">
        <w:rPr>
          <w:rFonts w:ascii="Times New Roman" w:eastAsia="PT Astra Serif" w:hAnsi="Times New Roman"/>
          <w:color w:val="auto"/>
          <w:sz w:val="26"/>
          <w:szCs w:val="26"/>
          <w:lang w:eastAsia="en-US" w:bidi="en-US"/>
        </w:rPr>
        <w:br/>
        <w:t>к 2020 году, что отражает естественную стабилизацию после пикового юбилейного года, но сохраняет существенный запас прочности для достижения целей 2030 года.</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Инвестиционная активность</w:t>
      </w:r>
      <w:r w:rsidRPr="0020665F">
        <w:rPr>
          <w:rFonts w:ascii="Times New Roman" w:eastAsia="PT Astra Serif" w:hAnsi="Times New Roman"/>
          <w:color w:val="auto"/>
          <w:sz w:val="26"/>
          <w:szCs w:val="26"/>
          <w:lang w:eastAsia="en-US" w:bidi="en-US"/>
        </w:rPr>
        <w:t xml:space="preserve"> в 2020</w:t>
      </w:r>
      <w:r w:rsidR="0020665F">
        <w:rPr>
          <w:rFonts w:ascii="Times New Roman" w:eastAsia="PT Astra Serif" w:hAnsi="Times New Roman"/>
          <w:color w:val="auto"/>
          <w:sz w:val="26"/>
          <w:szCs w:val="26"/>
          <w:lang w:eastAsia="en-US" w:bidi="en-US"/>
        </w:rPr>
        <w:t xml:space="preserve"> </w:t>
      </w:r>
      <w:r w:rsidRPr="0020665F">
        <w:rPr>
          <w:rFonts w:ascii="Times New Roman" w:eastAsia="PT Astra Serif" w:hAnsi="Times New Roman"/>
          <w:color w:val="auto"/>
          <w:sz w:val="26"/>
          <w:szCs w:val="26"/>
          <w:lang w:eastAsia="en-US" w:bidi="en-US"/>
        </w:rPr>
        <w:t>–</w:t>
      </w:r>
      <w:r w:rsidR="0020665F">
        <w:rPr>
          <w:rFonts w:ascii="Times New Roman" w:eastAsia="PT Astra Serif" w:hAnsi="Times New Roman"/>
          <w:color w:val="auto"/>
          <w:sz w:val="26"/>
          <w:szCs w:val="26"/>
          <w:lang w:eastAsia="en-US" w:bidi="en-US"/>
        </w:rPr>
        <w:t xml:space="preserve"> </w:t>
      </w:r>
      <w:r w:rsidRPr="0020665F">
        <w:rPr>
          <w:rFonts w:ascii="Times New Roman" w:eastAsia="PT Astra Serif" w:hAnsi="Times New Roman"/>
          <w:color w:val="auto"/>
          <w:sz w:val="26"/>
          <w:szCs w:val="26"/>
          <w:lang w:eastAsia="en-US" w:bidi="en-US"/>
        </w:rPr>
        <w:t xml:space="preserve">2025 годах остается ключевым вызовом и одновременно главным резервом ускорения. </w:t>
      </w:r>
    </w:p>
    <w:p w:rsidR="00E618FE" w:rsidRPr="0020665F" w:rsidRDefault="00800098">
      <w:pPr>
        <w:pStyle w:val="a4"/>
        <w:rPr>
          <w:rFonts w:ascii="Times New Roman" w:hAnsi="Times New Roman"/>
          <w:color w:val="auto"/>
          <w:sz w:val="26"/>
          <w:szCs w:val="26"/>
        </w:rPr>
      </w:pPr>
      <w:r w:rsidRPr="0020665F">
        <w:rPr>
          <w:rFonts w:ascii="Times New Roman" w:hAnsi="Times New Roman"/>
          <w:color w:val="auto"/>
          <w:sz w:val="26"/>
          <w:szCs w:val="26"/>
        </w:rPr>
        <w:t>В целом за период 2020 – 2024 годов индекс физического объема инвестиций в основной капитал увеличился на 6,8% (результат 2019 года равен 100%). В 2025 году, по оперативным данным Томскстата, рост показателя составил 1,4 п. п.</w:t>
      </w:r>
    </w:p>
    <w:p w:rsidR="00E618FE" w:rsidRPr="0020665F" w:rsidRDefault="00800098">
      <w:pPr>
        <w:pStyle w:val="a4"/>
        <w:rPr>
          <w:rFonts w:ascii="Times New Roman" w:hAnsi="Times New Roman"/>
          <w:color w:val="auto"/>
          <w:sz w:val="26"/>
          <w:szCs w:val="26"/>
        </w:rPr>
      </w:pPr>
      <w:r w:rsidRPr="0020665F">
        <w:rPr>
          <w:rFonts w:ascii="Times New Roman" w:hAnsi="Times New Roman"/>
          <w:color w:val="auto"/>
          <w:sz w:val="26"/>
          <w:szCs w:val="26"/>
        </w:rPr>
        <w:t>Наиболее значимым направлением инвестирования является приобретение машин и оборудования, включая хозяйственный инвентарь, транспортные средства и другие объекты. В 2024 году на эти цели было направлено 40,7% всех инвестиций в основной капитал. В строительство и реконструкцию нежилых зданий и сооружений, а также в улучшение земель в 2024 году было направлено 37,2% всех инвестиций в основной капитал.</w:t>
      </w:r>
    </w:p>
    <w:p w:rsidR="00E618FE" w:rsidRPr="0020665F" w:rsidRDefault="00800098">
      <w:pPr>
        <w:pStyle w:val="a4"/>
        <w:rPr>
          <w:rFonts w:ascii="Times New Roman" w:hAnsi="Times New Roman"/>
          <w:color w:val="auto"/>
          <w:sz w:val="26"/>
          <w:szCs w:val="26"/>
        </w:rPr>
      </w:pPr>
      <w:r w:rsidRPr="0020665F">
        <w:rPr>
          <w:rFonts w:ascii="Times New Roman" w:hAnsi="Times New Roman"/>
          <w:color w:val="auto"/>
          <w:sz w:val="26"/>
          <w:szCs w:val="26"/>
        </w:rPr>
        <w:t xml:space="preserve">Приоритетом следующего этапа реализации Стратегии является разработка и внедрение комплекса мер и инструментов государственной </w:t>
      </w:r>
      <w:r w:rsidRPr="0020665F">
        <w:rPr>
          <w:rFonts w:ascii="Times New Roman" w:hAnsi="Times New Roman"/>
          <w:color w:val="auto"/>
          <w:sz w:val="26"/>
          <w:szCs w:val="26"/>
        </w:rPr>
        <w:br/>
        <w:t xml:space="preserve">и корпоративной поддержки, направленных на стимулирование спроса </w:t>
      </w:r>
      <w:r w:rsidRPr="0020665F">
        <w:rPr>
          <w:rFonts w:ascii="Times New Roman" w:hAnsi="Times New Roman"/>
          <w:color w:val="auto"/>
          <w:sz w:val="26"/>
          <w:szCs w:val="26"/>
        </w:rPr>
        <w:br/>
        <w:t>на продукцию промышленных предприятий, а также системное обеспечение организаций квалифицированными кадрами.</w:t>
      </w:r>
    </w:p>
    <w:p w:rsidR="00E618FE" w:rsidRPr="00FE40FE" w:rsidRDefault="00800098">
      <w:pPr>
        <w:pStyle w:val="a4"/>
        <w:rPr>
          <w:rFonts w:ascii="Times New Roman" w:eastAsia="PT Astra Serif" w:hAnsi="Times New Roman"/>
          <w:b/>
          <w:bCs/>
          <w:color w:val="auto"/>
          <w:lang w:eastAsia="en-US" w:bidi="en-US"/>
        </w:rPr>
      </w:pPr>
      <w:r w:rsidRPr="00FE40FE">
        <w:rPr>
          <w:rFonts w:ascii="Times New Roman" w:eastAsia="PT Astra Serif" w:hAnsi="Times New Roman"/>
          <w:b/>
          <w:bCs/>
          <w:color w:val="auto"/>
          <w:lang w:eastAsia="en-US" w:bidi="en-US"/>
        </w:rPr>
        <w:t xml:space="preserve">Межрегиональное и международное сотрудничество. </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В 2020 – 2025 годах Томская область наращивала несырьевой неэнергетический экспорт: его объем увеличился с 0,27 млрд долларов США </w:t>
      </w:r>
      <w:r w:rsidR="00255F82">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в 2020 году до 0,33 млрд долларов США в 2024 году, экспорт продукции АПК составил 62,1</w:t>
      </w:r>
      <w:r w:rsidRPr="0020665F">
        <w:rPr>
          <w:rFonts w:ascii="Times New Roman" w:eastAsia="PT Astra Serif" w:hAnsi="Times New Roman"/>
          <w:color w:val="auto"/>
          <w:sz w:val="26"/>
          <w:szCs w:val="26"/>
          <w:lang w:val="en-US" w:eastAsia="en-US" w:bidi="en-US"/>
        </w:rPr>
        <w:t> </w:t>
      </w:r>
      <w:r w:rsidRPr="0020665F">
        <w:rPr>
          <w:rFonts w:ascii="Times New Roman" w:eastAsia="PT Astra Serif" w:hAnsi="Times New Roman"/>
          <w:color w:val="auto"/>
          <w:sz w:val="26"/>
          <w:szCs w:val="26"/>
          <w:lang w:eastAsia="en-US" w:bidi="en-US"/>
        </w:rPr>
        <w:t>млн долларов США. В 2025 году объем несырьевого неэнергетического экспорта вырос еще на 35% к уровню 2024 года прежде всего за счет поставок минеральных продуктов, машиностроения и химической продукции.</w:t>
      </w:r>
    </w:p>
    <w:p w:rsidR="00E618FE" w:rsidRPr="0020665F" w:rsidRDefault="00800098">
      <w:pPr>
        <w:pStyle w:val="a4"/>
        <w:rPr>
          <w:rFonts w:ascii="Times New Roman" w:eastAsia="PT Astra Serif" w:hAnsi="Times New Roman"/>
          <w:b/>
          <w:bCs/>
          <w:color w:val="auto"/>
          <w:sz w:val="26"/>
          <w:szCs w:val="26"/>
          <w:lang w:eastAsia="en-US" w:bidi="en-US"/>
        </w:rPr>
      </w:pPr>
      <w:r w:rsidRPr="0020665F">
        <w:rPr>
          <w:rFonts w:ascii="Times New Roman" w:eastAsia="PT Astra Serif" w:hAnsi="Times New Roman"/>
          <w:color w:val="auto"/>
          <w:sz w:val="26"/>
          <w:szCs w:val="26"/>
          <w:lang w:eastAsia="en-US" w:bidi="en-US"/>
        </w:rPr>
        <w:t>На фоне санкций регион переориентировал внешнеэкономическую деятельность на страны СНГ, Китай, Юго</w:t>
      </w:r>
      <w:r w:rsidRPr="0020665F">
        <w:rPr>
          <w:rFonts w:ascii="Times New Roman" w:eastAsia="PT Astra Serif" w:hAnsi="Times New Roman"/>
          <w:color w:val="auto"/>
          <w:sz w:val="26"/>
          <w:szCs w:val="26"/>
          <w:lang w:eastAsia="en-US" w:bidi="en-US"/>
        </w:rPr>
        <w:noBreakHyphen/>
        <w:t>Восточную Азию и Африку, развивая научно</w:t>
      </w:r>
      <w:r w:rsidRPr="0020665F">
        <w:rPr>
          <w:rFonts w:ascii="Times New Roman" w:eastAsia="PT Astra Serif" w:hAnsi="Times New Roman"/>
          <w:color w:val="auto"/>
          <w:sz w:val="26"/>
          <w:szCs w:val="26"/>
          <w:lang w:eastAsia="en-US" w:bidi="en-US"/>
        </w:rPr>
        <w:noBreakHyphen/>
        <w:t>техническое сотрудничество, выставочную и деловую активность. Это создает основу для дальнейшего продвижения продукции томских производителей на новые рынки и диверсификации экспортной структуры.</w:t>
      </w:r>
      <w:r w:rsidRPr="0020665F">
        <w:rPr>
          <w:rFonts w:ascii="Times New Roman" w:eastAsia="PT Astra Serif" w:hAnsi="Times New Roman"/>
          <w:b/>
          <w:bCs/>
          <w:color w:val="auto"/>
          <w:sz w:val="26"/>
          <w:szCs w:val="26"/>
          <w:lang w:eastAsia="en-US" w:bidi="en-US"/>
        </w:rPr>
        <w:t xml:space="preserve"> </w:t>
      </w:r>
    </w:p>
    <w:p w:rsidR="00E618FE" w:rsidRPr="0020665F" w:rsidRDefault="00800098">
      <w:pPr>
        <w:pStyle w:val="a4"/>
        <w:rPr>
          <w:rFonts w:ascii="Times New Roman" w:eastAsia="PT Astra Serif" w:hAnsi="Times New Roman"/>
          <w:color w:val="auto"/>
          <w:sz w:val="26"/>
          <w:szCs w:val="26"/>
          <w:lang w:eastAsia="en-US" w:bidi="en-US"/>
        </w:rPr>
      </w:pPr>
      <w:r w:rsidRPr="00FE40FE">
        <w:rPr>
          <w:rFonts w:ascii="Times New Roman" w:eastAsia="PT Astra Serif" w:hAnsi="Times New Roman"/>
          <w:b/>
          <w:bCs/>
          <w:color w:val="auto"/>
          <w:lang w:eastAsia="en-US" w:bidi="en-US"/>
        </w:rPr>
        <w:t>Вывод по степени достижения Цели 1.</w:t>
      </w:r>
      <w:r w:rsidRPr="0020665F">
        <w:rPr>
          <w:rFonts w:ascii="Times New Roman" w:eastAsia="PT Astra Serif" w:hAnsi="Times New Roman"/>
          <w:b/>
          <w:bCs/>
          <w:color w:val="auto"/>
          <w:sz w:val="26"/>
          <w:szCs w:val="26"/>
          <w:lang w:eastAsia="en-US" w:bidi="en-US"/>
        </w:rPr>
        <w:t xml:space="preserve"> </w:t>
      </w:r>
      <w:r w:rsidRPr="0020665F">
        <w:rPr>
          <w:rFonts w:ascii="Times New Roman" w:eastAsia="PT Astra Serif" w:hAnsi="Times New Roman"/>
          <w:color w:val="auto"/>
          <w:sz w:val="26"/>
          <w:szCs w:val="26"/>
          <w:lang w:eastAsia="en-US" w:bidi="en-US"/>
        </w:rPr>
        <w:t xml:space="preserve">Цель 1 «Реализация модели интенсивного развития» может быть оценена как достигнутая частично, </w:t>
      </w:r>
      <w:r w:rsidR="00255F82">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 xml:space="preserve">но с формированием прочной базы для выхода на целевые ориентиры 2030 года. </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К числу </w:t>
      </w:r>
      <w:r w:rsidRPr="0020665F">
        <w:rPr>
          <w:rFonts w:ascii="Times New Roman" w:eastAsia="PT Astra Serif" w:hAnsi="Times New Roman"/>
          <w:b/>
          <w:bCs/>
          <w:color w:val="auto"/>
          <w:sz w:val="26"/>
          <w:szCs w:val="26"/>
          <w:lang w:eastAsia="en-US" w:bidi="en-US"/>
        </w:rPr>
        <w:t>основных достижений</w:t>
      </w:r>
      <w:r w:rsidRPr="0020665F">
        <w:rPr>
          <w:rFonts w:ascii="Times New Roman" w:eastAsia="PT Astra Serif" w:hAnsi="Times New Roman"/>
          <w:color w:val="auto"/>
          <w:sz w:val="26"/>
          <w:szCs w:val="26"/>
          <w:lang w:eastAsia="en-US" w:bidi="en-US"/>
        </w:rPr>
        <w:t xml:space="preserve"> </w:t>
      </w:r>
      <w:r w:rsidRPr="0020665F">
        <w:rPr>
          <w:rFonts w:ascii="Times New Roman" w:eastAsia="PT Astra Serif" w:hAnsi="Times New Roman"/>
          <w:color w:val="auto"/>
          <w:sz w:val="26"/>
          <w:szCs w:val="26"/>
          <w:lang w:bidi="en-US"/>
        </w:rPr>
        <w:t>относятся</w:t>
      </w:r>
      <w:r w:rsidRPr="0020665F">
        <w:rPr>
          <w:rFonts w:ascii="Times New Roman" w:eastAsia="PT Astra Serif" w:hAnsi="Times New Roman"/>
          <w:color w:val="auto"/>
          <w:sz w:val="26"/>
          <w:szCs w:val="26"/>
          <w:lang w:eastAsia="en-US" w:bidi="en-US"/>
        </w:rPr>
        <w:t>:</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умеренный, но устойчивый рост ВРП;</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структурный сдвиг в промышленности в пользу обрабатывающих производств и снижение доли добывающего сектора;</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xml:space="preserve"> опережающее развитие высокотехнологичных отраслей, науки </w:t>
      </w:r>
      <w:r w:rsidR="00800098" w:rsidRPr="0020665F">
        <w:rPr>
          <w:rFonts w:ascii="Times New Roman" w:eastAsia="PT Astra Serif" w:hAnsi="Times New Roman"/>
          <w:color w:val="auto"/>
          <w:sz w:val="26"/>
          <w:szCs w:val="26"/>
          <w:lang w:eastAsia="en-US" w:bidi="en-US"/>
        </w:rPr>
        <w:br/>
        <w:t>и НИОКР по сравнению со среднероссийскими показателями;</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цель по занятости в МСП и цель по росту туристских услуг фактически перевыполнены досрочно;</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xml:space="preserve"> развитие современных форматов торговли и электронной коммерции, </w:t>
      </w:r>
      <w:r w:rsidR="00800098" w:rsidRPr="0020665F">
        <w:rPr>
          <w:rFonts w:ascii="Times New Roman" w:eastAsia="PT Astra Serif" w:hAnsi="Times New Roman"/>
          <w:color w:val="auto"/>
          <w:sz w:val="26"/>
          <w:szCs w:val="26"/>
          <w:lang w:bidi="en-US"/>
        </w:rPr>
        <w:t>поддержавших</w:t>
      </w:r>
      <w:r w:rsidR="00800098" w:rsidRPr="0020665F">
        <w:rPr>
          <w:rFonts w:ascii="Times New Roman" w:eastAsia="PT Astra Serif" w:hAnsi="Times New Roman"/>
          <w:color w:val="auto"/>
          <w:sz w:val="26"/>
          <w:szCs w:val="26"/>
          <w:lang w:eastAsia="en-US" w:bidi="en-US"/>
        </w:rPr>
        <w:t xml:space="preserve"> устойчивость потребительского рынка;</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создание институциональных и кадровых основ для технологического рывка («Большой университет Томска», кластеры, инновационная инфраструктура).</w:t>
      </w:r>
    </w:p>
    <w:p w:rsidR="00E618FE" w:rsidRPr="0020665F" w:rsidRDefault="00800098">
      <w:pPr>
        <w:pStyle w:val="a4"/>
        <w:rPr>
          <w:rFonts w:ascii="Times New Roman" w:eastAsia="PT Astra Serif" w:hAnsi="Times New Roman"/>
          <w:color w:val="auto"/>
          <w:sz w:val="26"/>
          <w:szCs w:val="26"/>
          <w:lang w:bidi="en-US"/>
        </w:rPr>
      </w:pPr>
      <w:r w:rsidRPr="0020665F">
        <w:rPr>
          <w:rFonts w:ascii="Times New Roman" w:hAnsi="Times New Roman"/>
          <w:color w:val="auto"/>
          <w:sz w:val="26"/>
          <w:szCs w:val="26"/>
        </w:rPr>
        <w:lastRenderedPageBreak/>
        <w:t>Залогом успехов является эффективная кластерная политика региона, продуманная стратегия технологического лидерства, опирающаяся на развитие инновационной инфраструктуры, кадрового потенциала и поддержку научно-исследовательской деятельности, выстроенная система поддержки предпринимательской деятельности на всех ее этапах.</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bidi="en-US"/>
        </w:rPr>
        <w:t>Вместе</w:t>
      </w:r>
      <w:r w:rsidRPr="0020665F">
        <w:rPr>
          <w:rFonts w:ascii="Times New Roman" w:eastAsia="PT Astra Serif" w:hAnsi="Times New Roman"/>
          <w:color w:val="auto"/>
          <w:sz w:val="26"/>
          <w:szCs w:val="26"/>
          <w:lang w:eastAsia="en-US" w:bidi="en-US"/>
        </w:rPr>
        <w:t xml:space="preserve"> с тем сохраняются </w:t>
      </w:r>
      <w:r w:rsidRPr="0020665F">
        <w:rPr>
          <w:rFonts w:ascii="Times New Roman" w:eastAsia="PT Astra Serif" w:hAnsi="Times New Roman"/>
          <w:b/>
          <w:bCs/>
          <w:color w:val="auto"/>
          <w:sz w:val="26"/>
          <w:szCs w:val="26"/>
          <w:lang w:eastAsia="en-US" w:bidi="en-US"/>
        </w:rPr>
        <w:t>критические ограничения</w:t>
      </w:r>
      <w:r w:rsidRPr="0020665F">
        <w:rPr>
          <w:rFonts w:ascii="Times New Roman" w:eastAsia="PT Astra Serif" w:hAnsi="Times New Roman"/>
          <w:color w:val="auto"/>
          <w:sz w:val="26"/>
          <w:szCs w:val="26"/>
          <w:lang w:eastAsia="en-US" w:bidi="en-US"/>
        </w:rPr>
        <w:t xml:space="preserve">: </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отставание фактических темпов роста ВРП, инвестиций и обрабатывающих производств от целевых;</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сырьевая зависимость снижается, однако целевой уровень диверсификации экономики так и не достигнут;</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xml:space="preserve"> недостаточная глубина переработки в ресурсных секторах, прежде всего </w:t>
      </w:r>
      <w:r>
        <w:rPr>
          <w:rFonts w:ascii="Times New Roman" w:eastAsia="PT Astra Serif" w:hAnsi="Times New Roman"/>
          <w:color w:val="auto"/>
          <w:sz w:val="26"/>
          <w:szCs w:val="26"/>
          <w:lang w:eastAsia="en-US" w:bidi="en-US"/>
        </w:rPr>
        <w:br/>
      </w:r>
      <w:r w:rsidR="00800098" w:rsidRPr="0020665F">
        <w:rPr>
          <w:rFonts w:ascii="Times New Roman" w:eastAsia="PT Astra Serif" w:hAnsi="Times New Roman"/>
          <w:color w:val="auto"/>
          <w:sz w:val="26"/>
          <w:szCs w:val="26"/>
          <w:lang w:eastAsia="en-US" w:bidi="en-US"/>
        </w:rPr>
        <w:t xml:space="preserve">в </w:t>
      </w:r>
      <w:r w:rsidR="00800098" w:rsidRPr="0020665F">
        <w:rPr>
          <w:rFonts w:ascii="Times New Roman" w:eastAsia="PT Astra Serif" w:hAnsi="Times New Roman"/>
          <w:color w:val="auto"/>
          <w:sz w:val="26"/>
          <w:szCs w:val="26"/>
          <w:lang w:bidi="en-US"/>
        </w:rPr>
        <w:t>ЛПК</w:t>
      </w:r>
      <w:r w:rsidR="00800098" w:rsidRPr="0020665F">
        <w:rPr>
          <w:rFonts w:ascii="Times New Roman" w:eastAsia="PT Astra Serif" w:hAnsi="Times New Roman"/>
          <w:color w:val="auto"/>
          <w:sz w:val="26"/>
          <w:szCs w:val="26"/>
          <w:lang w:eastAsia="en-US" w:bidi="en-US"/>
        </w:rPr>
        <w:t>;</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xml:space="preserve"> высокий износ основных фондов и </w:t>
      </w:r>
      <w:r w:rsidR="00800098" w:rsidRPr="0020665F">
        <w:rPr>
          <w:rFonts w:ascii="Times New Roman" w:eastAsia="PT Astra Serif" w:hAnsi="Times New Roman"/>
          <w:color w:val="auto"/>
          <w:sz w:val="26"/>
          <w:szCs w:val="26"/>
          <w:lang w:bidi="en-US"/>
        </w:rPr>
        <w:t>недостаточный</w:t>
      </w:r>
      <w:r w:rsidR="00800098" w:rsidRPr="0020665F">
        <w:rPr>
          <w:rFonts w:ascii="Times New Roman" w:eastAsia="PT Astra Serif" w:hAnsi="Times New Roman"/>
          <w:color w:val="auto"/>
          <w:sz w:val="26"/>
          <w:szCs w:val="26"/>
          <w:lang w:eastAsia="en-US" w:bidi="en-US"/>
        </w:rPr>
        <w:t xml:space="preserve"> уровень инвестиций в их обновление;</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xml:space="preserve"> кадровые и технологические риски (дефицит квалифицированных специалистов, санкционные ограничения) требуют системных решений </w:t>
      </w:r>
      <w:r w:rsidR="00800098" w:rsidRPr="0020665F">
        <w:rPr>
          <w:rFonts w:ascii="Times New Roman" w:eastAsia="PT Astra Serif" w:hAnsi="Times New Roman"/>
          <w:color w:val="auto"/>
          <w:sz w:val="26"/>
          <w:szCs w:val="26"/>
          <w:lang w:eastAsia="en-US" w:bidi="en-US"/>
        </w:rPr>
        <w:br/>
        <w:t>в образовательной, инвестиционной и научно</w:t>
      </w:r>
      <w:r w:rsidR="00800098" w:rsidRPr="0020665F">
        <w:rPr>
          <w:rFonts w:ascii="Times New Roman" w:eastAsia="PT Astra Serif" w:hAnsi="Times New Roman"/>
          <w:color w:val="auto"/>
          <w:sz w:val="26"/>
          <w:szCs w:val="26"/>
          <w:lang w:eastAsia="en-US" w:bidi="en-US"/>
        </w:rPr>
        <w:noBreakHyphen/>
        <w:t>технологической политике;</w:t>
      </w:r>
    </w:p>
    <w:p w:rsidR="00E618FE" w:rsidRPr="0020665F" w:rsidRDefault="00255F82">
      <w:pPr>
        <w:pStyle w:val="a4"/>
        <w:rPr>
          <w:rFonts w:ascii="Times New Roman" w:eastAsia="PT Astra Serif" w:hAnsi="Times New Roman"/>
          <w:color w:val="auto"/>
          <w:sz w:val="26"/>
          <w:szCs w:val="26"/>
          <w:lang w:eastAsia="en-US" w:bidi="en-US"/>
        </w:rPr>
      </w:pPr>
      <w:r>
        <w:rPr>
          <w:rFonts w:ascii="Times New Roman" w:hAnsi="Times New Roman"/>
          <w:color w:val="auto"/>
          <w:sz w:val="26"/>
          <w:szCs w:val="26"/>
        </w:rPr>
        <w:t>–</w:t>
      </w:r>
      <w:r w:rsidR="00800098" w:rsidRPr="0020665F">
        <w:rPr>
          <w:rFonts w:ascii="Times New Roman" w:eastAsia="PT Astra Serif" w:hAnsi="Times New Roman"/>
          <w:color w:val="auto"/>
          <w:sz w:val="26"/>
          <w:szCs w:val="26"/>
          <w:lang w:eastAsia="en-US" w:bidi="en-US"/>
        </w:rPr>
        <w:t xml:space="preserve"> риски недостижения целевых значений по ВРП и доле высокотехнологичных и наукоемких отраслей к 2030 году при сохранении </w:t>
      </w:r>
      <w:r w:rsidR="00800098" w:rsidRPr="0020665F">
        <w:rPr>
          <w:rFonts w:ascii="Times New Roman" w:eastAsia="PT Astra Serif" w:hAnsi="Times New Roman"/>
          <w:color w:val="auto"/>
          <w:sz w:val="26"/>
          <w:szCs w:val="26"/>
          <w:lang w:bidi="en-US"/>
        </w:rPr>
        <w:t>текущей</w:t>
      </w:r>
      <w:r w:rsidR="00800098" w:rsidRPr="0020665F">
        <w:rPr>
          <w:rFonts w:ascii="Times New Roman" w:eastAsia="PT Astra Serif" w:hAnsi="Times New Roman"/>
          <w:color w:val="auto"/>
          <w:sz w:val="26"/>
          <w:szCs w:val="26"/>
          <w:lang w:eastAsia="en-US" w:bidi="en-US"/>
        </w:rPr>
        <w:t xml:space="preserve"> динамики.</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Негативно влияющими на динамику ВРП факторами являются неустойчивые результаты работы сырьевого сектора (снижение добычи нефти, связанное </w:t>
      </w:r>
      <w:r w:rsidR="00255F82">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 xml:space="preserve">с исчерпанием запасов старых месторождений, колебаниями цен на мировом рынке и санкционными ограничениями, закрытие традиционных рынков экспорта продукции ЛПК, климатические аномалии, создавшие трудности в работе сельского хозяйства), сокращение спроса на жилье и льготных ипотечных программ. Обновлению основных фондов предприятий препятствует слабая доступность кредитов из-за высокой ключевой ставки. Кадровые проблемы связаны </w:t>
      </w:r>
      <w:r w:rsidR="00255F82">
        <w:rPr>
          <w:rFonts w:ascii="Times New Roman" w:eastAsia="PT Astra Serif" w:hAnsi="Times New Roman"/>
          <w:color w:val="auto"/>
          <w:sz w:val="26"/>
          <w:szCs w:val="26"/>
          <w:lang w:eastAsia="en-US" w:bidi="en-US"/>
        </w:rPr>
        <w:br/>
      </w:r>
      <w:r w:rsidRPr="0020665F">
        <w:rPr>
          <w:rFonts w:ascii="Times New Roman" w:eastAsia="PT Astra Serif" w:hAnsi="Times New Roman"/>
          <w:color w:val="auto"/>
          <w:sz w:val="26"/>
          <w:szCs w:val="26"/>
          <w:lang w:eastAsia="en-US" w:bidi="en-US"/>
        </w:rPr>
        <w:t>в значительной степени с динамикой демографических показателей.</w:t>
      </w:r>
    </w:p>
    <w:p w:rsidR="00E618FE" w:rsidRPr="0020665F" w:rsidRDefault="00800098">
      <w:pPr>
        <w:pStyle w:val="a4"/>
        <w:rPr>
          <w:rFonts w:ascii="Times New Roman" w:eastAsia="PT Astra Serif" w:hAnsi="Times New Roman"/>
          <w:color w:val="auto"/>
          <w:sz w:val="26"/>
          <w:szCs w:val="26"/>
          <w:lang w:eastAsia="en-US" w:bidi="en-US"/>
        </w:rPr>
      </w:pPr>
      <w:r w:rsidRPr="0020665F">
        <w:rPr>
          <w:rFonts w:ascii="Times New Roman" w:eastAsia="PT Astra Serif" w:hAnsi="Times New Roman"/>
          <w:color w:val="auto"/>
          <w:sz w:val="26"/>
          <w:szCs w:val="26"/>
          <w:lang w:eastAsia="en-US" w:bidi="en-US"/>
        </w:rPr>
        <w:t xml:space="preserve">Для комплексного достижения </w:t>
      </w:r>
      <w:r w:rsidRPr="0020665F">
        <w:rPr>
          <w:rFonts w:ascii="Times New Roman" w:eastAsia="PT Astra Serif" w:hAnsi="Times New Roman"/>
          <w:color w:val="auto"/>
          <w:sz w:val="26"/>
          <w:szCs w:val="26"/>
          <w:lang w:bidi="en-US"/>
        </w:rPr>
        <w:t>Цели</w:t>
      </w:r>
      <w:r w:rsidRPr="0020665F">
        <w:rPr>
          <w:rFonts w:ascii="Times New Roman" w:eastAsia="PT Astra Serif" w:hAnsi="Times New Roman"/>
          <w:color w:val="auto"/>
          <w:sz w:val="26"/>
          <w:szCs w:val="26"/>
          <w:lang w:eastAsia="en-US" w:bidi="en-US"/>
        </w:rPr>
        <w:t xml:space="preserve"> 1 в горизонте до 2030 года необходимо существенное усиление инвестиционной активности, технологическая модернизация основных фондов, быстрое развитие высокотехнологичных инновационных и несырьевых сегментов, ускорение структурной трансформации экономики с опорой на сильный научно</w:t>
      </w:r>
      <w:r w:rsidRPr="0020665F">
        <w:rPr>
          <w:rFonts w:ascii="Times New Roman" w:eastAsia="PT Astra Serif" w:hAnsi="Times New Roman"/>
          <w:color w:val="auto"/>
          <w:sz w:val="26"/>
          <w:szCs w:val="26"/>
          <w:lang w:eastAsia="en-US" w:bidi="en-US"/>
        </w:rPr>
        <w:noBreakHyphen/>
        <w:t>образовательный потенциал Томской области.</w:t>
      </w:r>
    </w:p>
    <w:p w:rsidR="00E618FE" w:rsidRPr="00535A4B" w:rsidRDefault="00E618FE">
      <w:pPr>
        <w:rPr>
          <w:rFonts w:eastAsia="PT Astra Serif"/>
          <w:lang w:eastAsia="en-US" w:bidi="en-US"/>
        </w:rPr>
      </w:pPr>
    </w:p>
    <w:p w:rsidR="00E618FE" w:rsidRPr="00535A4B" w:rsidRDefault="00800098">
      <w:pPr>
        <w:pStyle w:val="21"/>
        <w:rPr>
          <w:rFonts w:ascii="Times New Roman" w:eastAsia="PT Astra Serif" w:hAnsi="Times New Roman" w:cs="Times New Roman"/>
        </w:rPr>
      </w:pPr>
      <w:bookmarkStart w:id="18" w:name="_Toc228496281"/>
      <w:bookmarkStart w:id="19" w:name="_Toc235810129"/>
      <w:bookmarkStart w:id="20" w:name="_Toc238554517"/>
      <w:bookmarkStart w:id="21" w:name="_Hlk229123654"/>
      <w:r w:rsidRPr="00535A4B">
        <w:rPr>
          <w:rFonts w:ascii="Times New Roman" w:eastAsia="PT Astra Serif" w:hAnsi="Times New Roman" w:cs="Times New Roman"/>
        </w:rPr>
        <w:t>Цель 2. Рациональное использование природного капитала Томской области, устойчивое развитие агропромышленного комплекса</w:t>
      </w:r>
      <w:bookmarkEnd w:id="18"/>
      <w:bookmarkEnd w:id="19"/>
      <w:bookmarkEnd w:id="20"/>
    </w:p>
    <w:p w:rsidR="00E618FE" w:rsidRPr="00535A4B" w:rsidRDefault="00E618FE">
      <w:pPr>
        <w:pStyle w:val="a4"/>
        <w:rPr>
          <w:rFonts w:ascii="Times New Roman" w:hAnsi="Times New Roman"/>
          <w:color w:val="auto"/>
        </w:rPr>
      </w:pP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В период 2020 – 2025 годов работа по достижению цели рационального использования природного капитала и экологической безопасности осуществлялась в сложных условиях климатических аномалий и внешнего санкционного давления со стороны недружественных государств и международных организаций. Наблюдалось снижение уровня загрязнения окружающей среды, в эксплуатацию введен крупнейший в Сибири комплекс по переработке отходов мощностью </w:t>
      </w:r>
      <w:r w:rsidR="00255F82">
        <w:rPr>
          <w:rFonts w:ascii="Times New Roman" w:hAnsi="Times New Roman"/>
          <w:color w:val="auto"/>
          <w:sz w:val="26"/>
          <w:szCs w:val="26"/>
        </w:rPr>
        <w:br/>
      </w:r>
      <w:r w:rsidRPr="00255F82">
        <w:rPr>
          <w:rFonts w:ascii="Times New Roman" w:hAnsi="Times New Roman"/>
          <w:color w:val="auto"/>
          <w:sz w:val="26"/>
          <w:szCs w:val="26"/>
        </w:rPr>
        <w:t xml:space="preserve">до 250 тыс. тонн отходов в год (КПО «Сибирь»), произошли изменения в структуре сельскохозяйственного производства. Санкционный режим в той или иной степени </w:t>
      </w:r>
      <w:r w:rsidRPr="00255F82">
        <w:rPr>
          <w:rFonts w:ascii="Times New Roman" w:hAnsi="Times New Roman"/>
          <w:color w:val="auto"/>
          <w:sz w:val="26"/>
          <w:szCs w:val="26"/>
        </w:rPr>
        <w:lastRenderedPageBreak/>
        <w:t>затронул все отрасли, связанные с достижением цели, но в большей степени повлиял на функционирование лесопромышленного комплекса.</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Общий характер достигнутых результатов имел разнонаправленный характер. В перерабатывающих и экспортоориентированных сегментах агропромышленного комплекса фиксируется перевыполнение плановых показателей, а в сфере экологической безопасности и обращения с отходами сохраняются критические отклонения от целевой траектории, установленной Стратегией социально-экономического развития Томской области до 2030 года.</w:t>
      </w:r>
    </w:p>
    <w:p w:rsidR="00E618FE" w:rsidRPr="00255F82" w:rsidRDefault="00800098">
      <w:pPr>
        <w:pStyle w:val="a4"/>
        <w:rPr>
          <w:rFonts w:ascii="Times New Roman" w:hAnsi="Times New Roman"/>
          <w:color w:val="auto"/>
          <w:sz w:val="26"/>
          <w:szCs w:val="26"/>
        </w:rPr>
      </w:pPr>
      <w:r w:rsidRPr="00FE40FE">
        <w:rPr>
          <w:rFonts w:ascii="Times New Roman" w:hAnsi="Times New Roman"/>
          <w:b/>
          <w:color w:val="auto"/>
        </w:rPr>
        <w:t>Состояние окружающей среды.</w:t>
      </w:r>
      <w:r w:rsidRPr="00255F82">
        <w:rPr>
          <w:rFonts w:ascii="Times New Roman" w:hAnsi="Times New Roman"/>
          <w:b/>
          <w:color w:val="auto"/>
          <w:sz w:val="26"/>
          <w:szCs w:val="26"/>
        </w:rPr>
        <w:t xml:space="preserve"> </w:t>
      </w:r>
      <w:r w:rsidRPr="00255F82">
        <w:rPr>
          <w:rFonts w:ascii="Times New Roman" w:hAnsi="Times New Roman"/>
          <w:color w:val="auto"/>
          <w:sz w:val="26"/>
          <w:szCs w:val="26"/>
        </w:rPr>
        <w:t xml:space="preserve">Сокращение абсолютных объемов загрязнения по итогам 2020 – 2025 годов стало одним из наиболее заметных результатов природоохранной политики региона. Значительные успехи достигнуты в сокращении объемов загрязнений окружающей среды на единицу ВРП. По итогам 2024 года фактическое значение показателя было лучше планового более чем </w:t>
      </w:r>
      <w:r w:rsidR="00255F82">
        <w:rPr>
          <w:rFonts w:ascii="Times New Roman" w:hAnsi="Times New Roman"/>
          <w:color w:val="auto"/>
          <w:sz w:val="26"/>
          <w:szCs w:val="26"/>
        </w:rPr>
        <w:br/>
      </w:r>
      <w:r w:rsidRPr="00255F82">
        <w:rPr>
          <w:rFonts w:ascii="Times New Roman" w:hAnsi="Times New Roman"/>
          <w:color w:val="auto"/>
          <w:sz w:val="26"/>
          <w:szCs w:val="26"/>
        </w:rPr>
        <w:t>в 2 раза. Этому способствовало значительное снижение абсолютных объемов загрязнения. Только за 2020 – 2023 годы выбросы в атмосферу сократились на 11,3%, сброс загрязненных сточных вод уменьшился на 22,4%. Финансирование природоохранных мероприятий достигло 28,3 тыс. рублей на душу населения.</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В 2025 году объем загрязнений на единицу ВРП составил 189 тонн / млрд рублей. В сравнении с 2024 годом достигнутое значение показателя улучшилось на 10,2%. Снижение уровня загрязнений произошло за счет выполнения природоохранных мероприятий, в том числе повышения эффективности очистных сооружений. По этим показателям Томская область опередила большинство других регионов Сибирского федерального округа. Достигнутые положительные результаты свидетельствуют о высоком приоритете экологической повестки </w:t>
      </w:r>
      <w:r w:rsidR="00255F82">
        <w:rPr>
          <w:rFonts w:ascii="Times New Roman" w:hAnsi="Times New Roman"/>
          <w:color w:val="auto"/>
          <w:sz w:val="26"/>
          <w:szCs w:val="26"/>
        </w:rPr>
        <w:br/>
      </w:r>
      <w:r w:rsidRPr="00255F82">
        <w:rPr>
          <w:rFonts w:ascii="Times New Roman" w:hAnsi="Times New Roman"/>
          <w:color w:val="auto"/>
          <w:sz w:val="26"/>
          <w:szCs w:val="26"/>
        </w:rPr>
        <w:t>в деятельности органов государственной власти Томской области.</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Одновременно наблюдается устойчивое ухудшение качества очистных процессов. Доля уловленных и обезвреженных загрязняющих веществ </w:t>
      </w:r>
      <w:r w:rsidRPr="00255F82">
        <w:rPr>
          <w:rFonts w:ascii="Times New Roman" w:hAnsi="Times New Roman"/>
          <w:color w:val="auto"/>
          <w:sz w:val="26"/>
          <w:szCs w:val="26"/>
        </w:rPr>
        <w:br/>
        <w:t xml:space="preserve">в выбросах стационарных источников сократилась с 52,1% до 31,7%, то есть </w:t>
      </w:r>
      <w:r w:rsidR="00255F82">
        <w:rPr>
          <w:rFonts w:ascii="Times New Roman" w:hAnsi="Times New Roman"/>
          <w:color w:val="auto"/>
          <w:sz w:val="26"/>
          <w:szCs w:val="26"/>
        </w:rPr>
        <w:br/>
      </w:r>
      <w:r w:rsidRPr="00255F82">
        <w:rPr>
          <w:rFonts w:ascii="Times New Roman" w:hAnsi="Times New Roman"/>
          <w:color w:val="auto"/>
          <w:sz w:val="26"/>
          <w:szCs w:val="26"/>
        </w:rPr>
        <w:t>на 20,4 п. п., что значительно уступает среднероссийскому показателю. Такая динамика указывает на то, что снижение валовых выбросов достигается преимущественно за счет падения промышленной активности, а не на основе модернизации очистных сооружений. Высокие расходы на охрану окружающей среды пока не трансформируются в рост технологической эффективности.</w:t>
      </w:r>
    </w:p>
    <w:p w:rsidR="00E618FE" w:rsidRPr="00255F82" w:rsidRDefault="00800098">
      <w:pPr>
        <w:ind w:firstLine="709"/>
        <w:jc w:val="both"/>
        <w:rPr>
          <w:sz w:val="26"/>
          <w:szCs w:val="26"/>
        </w:rPr>
      </w:pPr>
      <w:r w:rsidRPr="00255F82">
        <w:rPr>
          <w:sz w:val="26"/>
          <w:szCs w:val="26"/>
        </w:rPr>
        <w:t xml:space="preserve">Наиболее критическое отклонение от целевой траектории зафиксировано </w:t>
      </w:r>
      <w:r w:rsidR="00255F82">
        <w:rPr>
          <w:sz w:val="26"/>
          <w:szCs w:val="26"/>
        </w:rPr>
        <w:br/>
      </w:r>
      <w:r w:rsidRPr="00255F82">
        <w:rPr>
          <w:sz w:val="26"/>
          <w:szCs w:val="26"/>
        </w:rPr>
        <w:t xml:space="preserve">в сфере обращения с твердыми коммунальными отходами (ТКО). По итогам </w:t>
      </w:r>
      <w:r w:rsidR="00255F82">
        <w:rPr>
          <w:sz w:val="26"/>
          <w:szCs w:val="26"/>
        </w:rPr>
        <w:br/>
      </w:r>
      <w:r w:rsidRPr="00255F82">
        <w:rPr>
          <w:sz w:val="26"/>
          <w:szCs w:val="26"/>
        </w:rPr>
        <w:t>2024 года доля ТКО, направленных на обработку (сортировку), в общей массе образованных отходов составила всего 8,6% при целевом значении 30%. Уровень достижения целевого показателя составил всего 28,7%.</w:t>
      </w:r>
    </w:p>
    <w:p w:rsidR="00E618FE" w:rsidRPr="00255F82" w:rsidRDefault="00800098">
      <w:pPr>
        <w:ind w:firstLine="709"/>
        <w:jc w:val="both"/>
        <w:rPr>
          <w:sz w:val="26"/>
          <w:szCs w:val="26"/>
        </w:rPr>
      </w:pPr>
      <w:r w:rsidRPr="00255F82">
        <w:rPr>
          <w:sz w:val="26"/>
          <w:szCs w:val="26"/>
        </w:rPr>
        <w:t>По итогам 2025 года доля ТКО, направленных на обработку (сортировку), выросла до 19% благодаря вводу в эксплуатацию КПО «Сибирь». В сложившихся условиях необходимо продолжить работу по наращиванию мощностей инфраструктуры сортировки и утилизации ТКО. Нестабильная динамика улучшения качества окружающей среды и низкая доля уловленных загрязняющих веществ остаются актуальными вызовами, затрудняющими выход региона на устойчивую траекторию развития.</w:t>
      </w:r>
    </w:p>
    <w:p w:rsidR="00E618FE" w:rsidRPr="00255F82" w:rsidRDefault="00800098">
      <w:pPr>
        <w:pStyle w:val="a4"/>
        <w:rPr>
          <w:rFonts w:ascii="Times New Roman" w:hAnsi="Times New Roman"/>
          <w:color w:val="auto"/>
          <w:sz w:val="26"/>
          <w:szCs w:val="26"/>
        </w:rPr>
      </w:pPr>
      <w:r w:rsidRPr="00FE40FE">
        <w:rPr>
          <w:rFonts w:ascii="Times New Roman" w:hAnsi="Times New Roman"/>
          <w:b/>
          <w:bCs/>
          <w:color w:val="auto"/>
        </w:rPr>
        <w:t>Экологическое развитие и климатические особенности региона.</w:t>
      </w:r>
      <w:r w:rsidRPr="00255F82">
        <w:rPr>
          <w:rFonts w:ascii="Times New Roman" w:hAnsi="Times New Roman"/>
          <w:b/>
          <w:bCs/>
          <w:color w:val="auto"/>
          <w:sz w:val="26"/>
          <w:szCs w:val="26"/>
        </w:rPr>
        <w:t xml:space="preserve"> </w:t>
      </w:r>
      <w:r w:rsidRPr="00255F82">
        <w:rPr>
          <w:rFonts w:ascii="Times New Roman" w:hAnsi="Times New Roman"/>
          <w:color w:val="auto"/>
          <w:sz w:val="26"/>
          <w:szCs w:val="26"/>
        </w:rPr>
        <w:t xml:space="preserve">Ключевым достижением в сфере экологической безопасности стало обеспечение баланса между выбытием и воспроизводством лесов. Отношение площади </w:t>
      </w:r>
      <w:r w:rsidRPr="00255F82">
        <w:rPr>
          <w:rFonts w:ascii="Times New Roman" w:hAnsi="Times New Roman"/>
          <w:color w:val="auto"/>
          <w:sz w:val="26"/>
          <w:szCs w:val="26"/>
        </w:rPr>
        <w:lastRenderedPageBreak/>
        <w:t xml:space="preserve">лесовосстановления и лесоразведения к площади вырубленных и погибших лесных насаждений в 2024 году составило 125,4% при целевом значении 100%, то есть превысило плановый ориентир на 25,4 п. п. Хорошие результаты достижения целевого показателя определялись успешной реализацией регионального проекта «Сохранение лесов» и подпрограммы (направления) «Развитие лесного хозяйства </w:t>
      </w:r>
      <w:r w:rsidRPr="00255F82">
        <w:rPr>
          <w:rFonts w:ascii="Times New Roman" w:hAnsi="Times New Roman"/>
          <w:color w:val="auto"/>
          <w:sz w:val="26"/>
          <w:szCs w:val="26"/>
        </w:rPr>
        <w:br/>
        <w:t>на территории Томской области» государственной программы «Охрана окружающей среды, воспроизводство и рациональное использование природных ресурсов».</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В 2025 году выполнены мероприятия по увеличению площади лесовосстановления на лесных участках, не переданных в аренду, </w:t>
      </w:r>
      <w:r w:rsidRPr="00255F82">
        <w:rPr>
          <w:rFonts w:ascii="Times New Roman" w:hAnsi="Times New Roman"/>
          <w:color w:val="auto"/>
          <w:sz w:val="26"/>
          <w:szCs w:val="26"/>
        </w:rPr>
        <w:br/>
        <w:t xml:space="preserve">на площади 30,2 га. Всего (по всем лесным участкам) в 2025 году выполнены мероприятия по лесовосстановлению на площади 45,4 тыс. га, при плане </w:t>
      </w:r>
      <w:r w:rsidR="00255F82">
        <w:rPr>
          <w:rFonts w:ascii="Times New Roman" w:hAnsi="Times New Roman"/>
          <w:color w:val="auto"/>
          <w:sz w:val="26"/>
          <w:szCs w:val="26"/>
        </w:rPr>
        <w:br/>
      </w:r>
      <w:r w:rsidRPr="00255F82">
        <w:rPr>
          <w:rFonts w:ascii="Times New Roman" w:hAnsi="Times New Roman"/>
          <w:color w:val="auto"/>
          <w:sz w:val="26"/>
          <w:szCs w:val="26"/>
        </w:rPr>
        <w:t>45,3 тыс. га. В 2025 году отношение площади лесовосстановления и лесоразведения к площади вырубленных и погибших лесных насаждений составило 100,2%, то есть вернулось к «балансовому» уровню после аномально высокого значения 2024 года. Такая траектория соответствует ориентиру на устойчивый, а не экстенсивный режим воспроизводства лесов.</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Достигнутые показатели закрепляют статус Томской области </w:t>
      </w:r>
      <w:r w:rsidRPr="00255F82">
        <w:rPr>
          <w:rFonts w:ascii="Times New Roman" w:hAnsi="Times New Roman"/>
          <w:color w:val="auto"/>
          <w:sz w:val="26"/>
          <w:szCs w:val="26"/>
        </w:rPr>
        <w:br/>
        <w:t>как одного из лидеров по воспроизводству лесов среди сопоставимых по масштабам регионов России. В то же время в лесной отрасли сохраняются структурные ограничения, препятствующие раскрытию экологического и экономического потенциала природного капитала. Среди основных проблем следует отметить низкий уровень развития лесной инфраструктуры, отсутствие разветвленной сети железных дорог и фактическое закрытие традиционных рынков сбыта продукции лесопереработки в Европе. Дополнительным внешним негативным фактором стали климатические аномалии. Неблагоприятные погодные условия и введение режима чрезвычайной ситуации в 2023 – 2024 годах явились одной из основных причин негативной динамики в сельском хозяйстве и лесном секторе.</w:t>
      </w:r>
    </w:p>
    <w:p w:rsidR="00E618FE" w:rsidRPr="00255F82" w:rsidRDefault="00800098">
      <w:pPr>
        <w:pStyle w:val="a4"/>
        <w:rPr>
          <w:rFonts w:ascii="Times New Roman" w:eastAsiaTheme="minorEastAsia" w:hAnsi="Times New Roman"/>
          <w:color w:val="auto"/>
          <w:sz w:val="26"/>
          <w:szCs w:val="26"/>
          <w:lang w:eastAsia="ru-RU"/>
        </w:rPr>
      </w:pPr>
      <w:r w:rsidRPr="00FE40FE">
        <w:rPr>
          <w:rFonts w:ascii="Times New Roman" w:hAnsi="Times New Roman"/>
          <w:b/>
          <w:bCs/>
          <w:color w:val="auto"/>
        </w:rPr>
        <w:t>Сельское хозяйство.</w:t>
      </w:r>
      <w:r w:rsidRPr="00255F82">
        <w:rPr>
          <w:rFonts w:ascii="Times New Roman" w:hAnsi="Times New Roman"/>
          <w:b/>
          <w:bCs/>
          <w:color w:val="auto"/>
          <w:sz w:val="26"/>
          <w:szCs w:val="26"/>
        </w:rPr>
        <w:t xml:space="preserve"> </w:t>
      </w:r>
      <w:r w:rsidRPr="00255F82">
        <w:rPr>
          <w:rFonts w:ascii="Times New Roman" w:hAnsi="Times New Roman"/>
          <w:color w:val="auto"/>
          <w:sz w:val="26"/>
          <w:szCs w:val="26"/>
        </w:rPr>
        <w:t xml:space="preserve">Томской области удалось успешно реализовать большую часть задач, направленных на развитие агропромышленного комплекса (АПК). Сегодня АПК является одним из локомотивов развития региона. </w:t>
      </w:r>
      <w:r w:rsidRPr="00255F82">
        <w:rPr>
          <w:rFonts w:ascii="Times New Roman" w:eastAsiaTheme="minorEastAsia" w:hAnsi="Times New Roman"/>
          <w:color w:val="auto"/>
          <w:sz w:val="26"/>
          <w:szCs w:val="26"/>
          <w:lang w:eastAsia="ru-RU"/>
        </w:rPr>
        <w:t xml:space="preserve">Комплекс мероприятий по государственной поддержке сельскохозяйственных товаропроизводителей позволил обеспечить прирост объема производства аграрной продукции. Объем производства продукции сельского хозяйства в Томской области увеличился с 34,6 млрд рублей в 2020 году до 50 млрд рублей в 2025 году (+45% </w:t>
      </w:r>
      <w:r w:rsidR="00255F82">
        <w:rPr>
          <w:rFonts w:ascii="Times New Roman" w:eastAsiaTheme="minorEastAsia" w:hAnsi="Times New Roman"/>
          <w:color w:val="auto"/>
          <w:sz w:val="26"/>
          <w:szCs w:val="26"/>
          <w:lang w:eastAsia="ru-RU"/>
        </w:rPr>
        <w:br/>
      </w:r>
      <w:r w:rsidRPr="00255F82">
        <w:rPr>
          <w:rFonts w:ascii="Times New Roman" w:eastAsiaTheme="minorEastAsia" w:hAnsi="Times New Roman"/>
          <w:color w:val="auto"/>
          <w:sz w:val="26"/>
          <w:szCs w:val="26"/>
          <w:lang w:eastAsia="ru-RU"/>
        </w:rPr>
        <w:t>к 2020 году). Основной вклад в выпуск сельскохозяйственной продукции вносят предприятия животноводства (более 70%).</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Томская область является лидером в Сибирском федеральном округе по молочной продуктивности коров в сельхозорганизациях (кроме микропредприятий) </w:t>
      </w:r>
      <w:r w:rsidR="00255F82">
        <w:rPr>
          <w:rFonts w:ascii="Times New Roman" w:hAnsi="Times New Roman"/>
          <w:color w:val="auto"/>
          <w:sz w:val="26"/>
          <w:szCs w:val="26"/>
        </w:rPr>
        <w:t>–</w:t>
      </w:r>
      <w:r w:rsidRPr="00255F82">
        <w:rPr>
          <w:rFonts w:ascii="Times New Roman" w:hAnsi="Times New Roman"/>
          <w:color w:val="auto"/>
          <w:sz w:val="26"/>
          <w:szCs w:val="26"/>
        </w:rPr>
        <w:t xml:space="preserve"> 8 212 кг на корову, что на 14,7% больше средней продуктивности в Сибирском федеральном округе. В 2025 году введен в эксплуатацию новый животноводческий комплекс молочного направления на 1 999 коров с автоматизированным кормоцентром ООО «Большедороховское молоко». Реализация этого инвестиционного проекта позволит ежегодно увеличивать производство молока </w:t>
      </w:r>
      <w:r w:rsidR="00255F82">
        <w:rPr>
          <w:rFonts w:ascii="Times New Roman" w:hAnsi="Times New Roman"/>
          <w:color w:val="auto"/>
          <w:sz w:val="26"/>
          <w:szCs w:val="26"/>
        </w:rPr>
        <w:t>–</w:t>
      </w:r>
      <w:r w:rsidRPr="00255F82">
        <w:rPr>
          <w:rFonts w:ascii="Times New Roman" w:hAnsi="Times New Roman"/>
          <w:color w:val="auto"/>
          <w:sz w:val="26"/>
          <w:szCs w:val="26"/>
        </w:rPr>
        <w:t xml:space="preserve"> сырья, дозагрузить производственные мощности молокоперерабатывающих предприятий и обеспечивать жителей региона качественной молочной продукцией.</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Регион полностью обеспечивает себя мясом птицы и свининой (коэффициент самообеспеченности мясом и мясопродуктами составил </w:t>
      </w:r>
      <w:r w:rsidR="00255F82">
        <w:rPr>
          <w:rFonts w:ascii="Times New Roman" w:hAnsi="Times New Roman"/>
          <w:color w:val="auto"/>
          <w:sz w:val="26"/>
          <w:szCs w:val="26"/>
        </w:rPr>
        <w:t>в 2024 году –</w:t>
      </w:r>
      <w:r w:rsidRPr="00255F82">
        <w:rPr>
          <w:rFonts w:ascii="Times New Roman" w:hAnsi="Times New Roman"/>
          <w:color w:val="auto"/>
          <w:sz w:val="26"/>
          <w:szCs w:val="26"/>
        </w:rPr>
        <w:t xml:space="preserve"> 150,3%, что </w:t>
      </w:r>
      <w:r w:rsidRPr="00255F82">
        <w:rPr>
          <w:rFonts w:ascii="Times New Roman" w:hAnsi="Times New Roman"/>
          <w:color w:val="auto"/>
          <w:sz w:val="26"/>
          <w:szCs w:val="26"/>
        </w:rPr>
        <w:lastRenderedPageBreak/>
        <w:t xml:space="preserve">существенно превышает внутренние потребности населения). В 2025 году производство скота и птица на убой (в живом весе) составило 155,3 тыс. тонн. </w:t>
      </w:r>
      <w:r w:rsidR="00255F82">
        <w:rPr>
          <w:rFonts w:ascii="Times New Roman" w:hAnsi="Times New Roman"/>
          <w:color w:val="auto"/>
          <w:sz w:val="26"/>
          <w:szCs w:val="26"/>
        </w:rPr>
        <w:br/>
      </w:r>
      <w:r w:rsidRPr="00255F82">
        <w:rPr>
          <w:rFonts w:ascii="Times New Roman" w:hAnsi="Times New Roman"/>
          <w:color w:val="auto"/>
          <w:sz w:val="26"/>
          <w:szCs w:val="26"/>
        </w:rPr>
        <w:t xml:space="preserve">В процентном соотношении 54% приходится на мясо птицы и 40% на свинину. </w:t>
      </w:r>
      <w:r w:rsidR="00255F82">
        <w:rPr>
          <w:rFonts w:ascii="Times New Roman" w:hAnsi="Times New Roman"/>
          <w:color w:val="auto"/>
          <w:sz w:val="26"/>
          <w:szCs w:val="26"/>
        </w:rPr>
        <w:br/>
      </w:r>
      <w:r w:rsidRPr="00255F82">
        <w:rPr>
          <w:rFonts w:ascii="Times New Roman" w:hAnsi="Times New Roman"/>
          <w:color w:val="auto"/>
          <w:sz w:val="26"/>
          <w:szCs w:val="26"/>
        </w:rPr>
        <w:t xml:space="preserve">На территории Томской области ведут хозяйственную деятельность 2 крупных производителя мясной продукции — ООО «Межениновская птицефабрика» </w:t>
      </w:r>
      <w:r w:rsidR="00255F82">
        <w:rPr>
          <w:rFonts w:ascii="Times New Roman" w:hAnsi="Times New Roman"/>
          <w:color w:val="auto"/>
          <w:sz w:val="26"/>
          <w:szCs w:val="26"/>
        </w:rPr>
        <w:br/>
      </w:r>
      <w:r w:rsidRPr="00255F82">
        <w:rPr>
          <w:rFonts w:ascii="Times New Roman" w:hAnsi="Times New Roman"/>
          <w:color w:val="auto"/>
          <w:sz w:val="26"/>
          <w:szCs w:val="26"/>
        </w:rPr>
        <w:t>и АО «Сибагро».</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Подотрасль растениеводства в Томской области из-за сложных климатических условий ориентирована на выращивание зерновых и зернобобовых культур для целей кормопроизводства, технических культур, картофеля и овощей. </w:t>
      </w:r>
      <w:r w:rsidR="00255F82">
        <w:rPr>
          <w:rFonts w:ascii="Times New Roman" w:hAnsi="Times New Roman"/>
          <w:color w:val="auto"/>
          <w:sz w:val="26"/>
          <w:szCs w:val="26"/>
        </w:rPr>
        <w:br/>
      </w:r>
      <w:r w:rsidRPr="00255F82">
        <w:rPr>
          <w:rFonts w:ascii="Times New Roman" w:hAnsi="Times New Roman"/>
          <w:color w:val="auto"/>
          <w:sz w:val="26"/>
          <w:szCs w:val="26"/>
        </w:rPr>
        <w:t xml:space="preserve">В растениеводстве за период 2020 – 2025 годов реализованы инвестиционные проекты </w:t>
      </w:r>
      <w:r w:rsidR="00255F82">
        <w:rPr>
          <w:rFonts w:ascii="Times New Roman" w:hAnsi="Times New Roman"/>
          <w:color w:val="auto"/>
          <w:sz w:val="26"/>
          <w:szCs w:val="26"/>
        </w:rPr>
        <w:t>–</w:t>
      </w:r>
      <w:r w:rsidRPr="00255F82">
        <w:rPr>
          <w:rFonts w:ascii="Times New Roman" w:hAnsi="Times New Roman"/>
          <w:color w:val="auto"/>
          <w:sz w:val="26"/>
          <w:szCs w:val="26"/>
        </w:rPr>
        <w:t xml:space="preserve"> строительство семеноводческого центра ООО «Агрофирма «Межениновская» и строительство логистического центра ООО «Трубачево». Ежегодно обновляется парк сельскохозяйственной техники для проведения посевной и уборочной кампаний.</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В 2025 году в сельскохозяйственной отрасли осуществлялись инвестиционные проекты ООО «Трубачево» (строительство новых теплиц площадью 4,7 га), ООО «Сибирское зерно» (закладка 60 га многолетних насаждений), ООО СП «Северный Сад» (создание комплекса по первичной переработке ягоды с холодильным оборудованием, закладка сада облепихи), </w:t>
      </w:r>
      <w:r w:rsidR="00255F82">
        <w:rPr>
          <w:rFonts w:ascii="Times New Roman" w:hAnsi="Times New Roman"/>
          <w:color w:val="auto"/>
          <w:sz w:val="26"/>
          <w:szCs w:val="26"/>
        </w:rPr>
        <w:br/>
      </w:r>
      <w:r w:rsidRPr="00255F82">
        <w:rPr>
          <w:rFonts w:ascii="Times New Roman" w:hAnsi="Times New Roman"/>
          <w:color w:val="auto"/>
          <w:sz w:val="26"/>
          <w:szCs w:val="26"/>
        </w:rPr>
        <w:t xml:space="preserve">АО «Сибагро» (модернизация цеха убоя на птицефабрике «Томская»; модернизация производственных площадей для увеличения объемов производства столового яйца; переработка и утилизация побочных продуктов животноводства), </w:t>
      </w:r>
      <w:r w:rsidR="00255F82">
        <w:rPr>
          <w:rFonts w:ascii="Times New Roman" w:hAnsi="Times New Roman"/>
          <w:color w:val="auto"/>
          <w:sz w:val="26"/>
          <w:szCs w:val="26"/>
        </w:rPr>
        <w:br/>
      </w:r>
      <w:r w:rsidRPr="00255F82">
        <w:rPr>
          <w:rFonts w:ascii="Times New Roman" w:hAnsi="Times New Roman"/>
          <w:color w:val="auto"/>
          <w:sz w:val="26"/>
          <w:szCs w:val="26"/>
        </w:rPr>
        <w:t>ИП КФХ Зинцова Е. Н. (создание семеноводческого центра).</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Аграрный сектор демонстрирует инвестиционную активность. Ежегодно объем инвестиций в сельскохозяйственную отрасль составляет 3 млрд рублей. Ежегодно растет заработная плата работников сельского хозяйства. В 2025 году заработная плата в отрасли увеличилась на 64% к уровню 2020 году и составила 78% по отношению к среднемесячной заработной плате в регионе. Достижение показателя обусловлено ростом эффективности и производительности сельскохозяйственной отрасли.</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Использование высокопроизводительной техники, систем точного земледелия, автоматизированных комплексов в животноводстве позволило существенно сократить трудозатраты и повысить эффективность производства. Важным фактором повышения производительности труда в сельскохозяйственной отрасли стало развитие человеческого капитала: повышение квалификации кадров, привлечение молодых специалистов и создание оптимальных условий труда. </w:t>
      </w:r>
      <w:r w:rsidR="000938FD">
        <w:rPr>
          <w:rFonts w:ascii="Times New Roman" w:hAnsi="Times New Roman"/>
          <w:color w:val="auto"/>
          <w:sz w:val="26"/>
          <w:szCs w:val="26"/>
        </w:rPr>
        <w:br/>
      </w:r>
      <w:r w:rsidRPr="00255F82">
        <w:rPr>
          <w:rFonts w:ascii="Times New Roman" w:hAnsi="Times New Roman"/>
          <w:color w:val="auto"/>
          <w:sz w:val="26"/>
          <w:szCs w:val="26"/>
        </w:rPr>
        <w:t xml:space="preserve">Для достижения национальной цели «Устойчивая и динамичная экономика» </w:t>
      </w:r>
      <w:r w:rsidR="000938FD">
        <w:rPr>
          <w:rFonts w:ascii="Times New Roman" w:hAnsi="Times New Roman"/>
          <w:color w:val="auto"/>
          <w:sz w:val="26"/>
          <w:szCs w:val="26"/>
        </w:rPr>
        <w:br/>
      </w:r>
      <w:r w:rsidRPr="00255F82">
        <w:rPr>
          <w:rFonts w:ascii="Times New Roman" w:hAnsi="Times New Roman"/>
          <w:color w:val="auto"/>
          <w:sz w:val="26"/>
          <w:szCs w:val="26"/>
        </w:rPr>
        <w:t xml:space="preserve">в Томской области реализуется региональный проект «Экспорт продукции АПК». </w:t>
      </w:r>
      <w:r w:rsidR="000938FD">
        <w:rPr>
          <w:rFonts w:ascii="Times New Roman" w:hAnsi="Times New Roman"/>
          <w:color w:val="auto"/>
          <w:sz w:val="26"/>
          <w:szCs w:val="26"/>
        </w:rPr>
        <w:br/>
      </w:r>
      <w:r w:rsidRPr="00255F82">
        <w:rPr>
          <w:rFonts w:ascii="Times New Roman" w:hAnsi="Times New Roman"/>
          <w:color w:val="auto"/>
          <w:sz w:val="26"/>
          <w:szCs w:val="26"/>
        </w:rPr>
        <w:t>В 2025 году предприятиями Томской области на экспорт поставлено 74,8 тыс. тонн продукции АПК на сумму 62,5 мл</w:t>
      </w:r>
      <w:r w:rsidR="000938FD">
        <w:rPr>
          <w:rFonts w:ascii="Times New Roman" w:hAnsi="Times New Roman"/>
          <w:color w:val="auto"/>
          <w:sz w:val="26"/>
          <w:szCs w:val="26"/>
        </w:rPr>
        <w:t>н долларов США, из которой 37% –</w:t>
      </w:r>
      <w:r w:rsidRPr="00255F82">
        <w:rPr>
          <w:rFonts w:ascii="Times New Roman" w:hAnsi="Times New Roman"/>
          <w:color w:val="auto"/>
          <w:sz w:val="26"/>
          <w:szCs w:val="26"/>
        </w:rPr>
        <w:t xml:space="preserve"> мясная продук</w:t>
      </w:r>
      <w:r w:rsidR="000938FD">
        <w:rPr>
          <w:rFonts w:ascii="Times New Roman" w:hAnsi="Times New Roman"/>
          <w:color w:val="auto"/>
          <w:sz w:val="26"/>
          <w:szCs w:val="26"/>
        </w:rPr>
        <w:t>ция (свинина, мясо птицы), 28% –</w:t>
      </w:r>
      <w:r w:rsidRPr="00255F82">
        <w:rPr>
          <w:rFonts w:ascii="Times New Roman" w:hAnsi="Times New Roman"/>
          <w:color w:val="auto"/>
          <w:sz w:val="26"/>
          <w:szCs w:val="26"/>
        </w:rPr>
        <w:t xml:space="preserve"> продукция пищевой и перерабатывающей промышленности (напитки, дикоросы, му</w:t>
      </w:r>
      <w:r w:rsidR="000938FD">
        <w:rPr>
          <w:rFonts w:ascii="Times New Roman" w:hAnsi="Times New Roman"/>
          <w:color w:val="auto"/>
          <w:sz w:val="26"/>
          <w:szCs w:val="26"/>
        </w:rPr>
        <w:t xml:space="preserve">ка, кондитерские изделия), </w:t>
      </w:r>
      <w:r w:rsidR="000938FD">
        <w:rPr>
          <w:rFonts w:ascii="Times New Roman" w:hAnsi="Times New Roman"/>
          <w:color w:val="auto"/>
          <w:sz w:val="26"/>
          <w:szCs w:val="26"/>
        </w:rPr>
        <w:br/>
        <w:t>25% –</w:t>
      </w:r>
      <w:r w:rsidRPr="00255F82">
        <w:rPr>
          <w:rFonts w:ascii="Times New Roman" w:hAnsi="Times New Roman"/>
          <w:color w:val="auto"/>
          <w:sz w:val="26"/>
          <w:szCs w:val="26"/>
        </w:rPr>
        <w:t xml:space="preserve"> продукция масложировой промышленност</w:t>
      </w:r>
      <w:r w:rsidR="000938FD">
        <w:rPr>
          <w:rFonts w:ascii="Times New Roman" w:hAnsi="Times New Roman"/>
          <w:color w:val="auto"/>
          <w:sz w:val="26"/>
          <w:szCs w:val="26"/>
        </w:rPr>
        <w:t>и (рапсовое масло, жмыхи), 10% –</w:t>
      </w:r>
      <w:r w:rsidRPr="00255F82">
        <w:rPr>
          <w:rFonts w:ascii="Times New Roman" w:hAnsi="Times New Roman"/>
          <w:color w:val="auto"/>
          <w:sz w:val="26"/>
          <w:szCs w:val="26"/>
        </w:rPr>
        <w:t xml:space="preserve"> прочее (отруби, переработка овощей, орехов, мед, джемы). </w:t>
      </w:r>
    </w:p>
    <w:p w:rsidR="00E618FE" w:rsidRPr="00255F82" w:rsidRDefault="00800098">
      <w:pPr>
        <w:pStyle w:val="a4"/>
        <w:rPr>
          <w:rFonts w:ascii="Times New Roman" w:hAnsi="Times New Roman"/>
          <w:b/>
          <w:bCs/>
          <w:color w:val="auto"/>
          <w:sz w:val="26"/>
          <w:szCs w:val="26"/>
        </w:rPr>
      </w:pPr>
      <w:r w:rsidRPr="00255F82">
        <w:rPr>
          <w:rFonts w:ascii="Times New Roman" w:hAnsi="Times New Roman"/>
          <w:color w:val="auto"/>
          <w:sz w:val="26"/>
          <w:szCs w:val="26"/>
        </w:rPr>
        <w:t xml:space="preserve">Основными направлениями экспорта являются Китай, Монголия </w:t>
      </w:r>
      <w:r w:rsidRPr="00255F82">
        <w:rPr>
          <w:rFonts w:ascii="Times New Roman" w:hAnsi="Times New Roman"/>
          <w:color w:val="auto"/>
          <w:sz w:val="26"/>
          <w:szCs w:val="26"/>
        </w:rPr>
        <w:br/>
        <w:t>и Казахстан. Ключевыми предприятиями-экспортерами региона остаются компании АО «Сибагро», ООО «Сибирская Олива», ООО «Межениновская птицефабрика», ООО ТПК «Сава», АО «Томские Мельницы».</w:t>
      </w:r>
    </w:p>
    <w:p w:rsidR="00E618FE" w:rsidRPr="00255F82" w:rsidRDefault="00800098">
      <w:pPr>
        <w:pStyle w:val="a4"/>
        <w:rPr>
          <w:rFonts w:ascii="Times New Roman" w:eastAsiaTheme="majorEastAsia" w:hAnsi="Times New Roman"/>
          <w:color w:val="auto"/>
          <w:sz w:val="26"/>
          <w:szCs w:val="26"/>
        </w:rPr>
      </w:pPr>
      <w:r w:rsidRPr="00FE40FE">
        <w:rPr>
          <w:rFonts w:ascii="Times New Roman" w:eastAsiaTheme="majorEastAsia" w:hAnsi="Times New Roman"/>
          <w:b/>
          <w:bCs/>
          <w:color w:val="auto"/>
        </w:rPr>
        <w:lastRenderedPageBreak/>
        <w:t>Производство пищевых продуктов и напитков.</w:t>
      </w:r>
      <w:r w:rsidRPr="00255F82">
        <w:rPr>
          <w:rFonts w:ascii="Times New Roman" w:eastAsiaTheme="majorEastAsia" w:hAnsi="Times New Roman"/>
          <w:b/>
          <w:bCs/>
          <w:color w:val="auto"/>
          <w:sz w:val="26"/>
          <w:szCs w:val="26"/>
        </w:rPr>
        <w:t xml:space="preserve"> </w:t>
      </w:r>
      <w:r w:rsidRPr="00255F82">
        <w:rPr>
          <w:rFonts w:ascii="Times New Roman" w:eastAsiaTheme="majorEastAsia" w:hAnsi="Times New Roman"/>
          <w:color w:val="auto"/>
          <w:sz w:val="26"/>
          <w:szCs w:val="26"/>
        </w:rPr>
        <w:t xml:space="preserve">Пищевая промышленность является одним из наиболее успешных секторов АПК Томской области. Производство пищевых продуктов занимает заметное место в структуре обрабатывающих производств, доля этого вида деятельности превышает 20%. </w:t>
      </w:r>
    </w:p>
    <w:p w:rsidR="00E618FE" w:rsidRPr="00255F82" w:rsidRDefault="00800098">
      <w:pPr>
        <w:pStyle w:val="a4"/>
        <w:rPr>
          <w:rFonts w:ascii="Times New Roman" w:hAnsi="Times New Roman"/>
          <w:color w:val="auto"/>
          <w:sz w:val="26"/>
          <w:szCs w:val="26"/>
        </w:rPr>
      </w:pPr>
      <w:r w:rsidRPr="00255F82">
        <w:rPr>
          <w:rFonts w:ascii="Times New Roman" w:eastAsiaTheme="majorEastAsia" w:hAnsi="Times New Roman"/>
          <w:color w:val="auto"/>
          <w:sz w:val="26"/>
          <w:szCs w:val="26"/>
        </w:rPr>
        <w:t xml:space="preserve">Целевой показатель индекса производства по виду экономической деятельности «производство пищевых продуктов» (в сопоставимых ценах </w:t>
      </w:r>
      <w:r w:rsidR="000938FD">
        <w:rPr>
          <w:rFonts w:ascii="Times New Roman" w:eastAsiaTheme="majorEastAsia" w:hAnsi="Times New Roman"/>
          <w:color w:val="auto"/>
          <w:sz w:val="26"/>
          <w:szCs w:val="26"/>
        </w:rPr>
        <w:br/>
      </w:r>
      <w:r w:rsidRPr="00255F82">
        <w:rPr>
          <w:rFonts w:ascii="Times New Roman" w:eastAsiaTheme="majorEastAsia" w:hAnsi="Times New Roman"/>
          <w:color w:val="auto"/>
          <w:sz w:val="26"/>
          <w:szCs w:val="26"/>
        </w:rPr>
        <w:t xml:space="preserve">к 2020 году) на 2024 год был установлен на уровне 110,8%. Фактически значение этого показателя составило 112,1%. По итогам 2025 года этот показатель увеличился до 114,5%. Перевыполнение планового значения показателя связано, главным образом, с увеличением объемов производства масло–жировой и молочной продукции, хлеба и хлебобулочных изделий. </w:t>
      </w:r>
      <w:r w:rsidRPr="00255F82">
        <w:rPr>
          <w:rFonts w:ascii="Times New Roman" w:hAnsi="Times New Roman"/>
          <w:color w:val="auto"/>
          <w:sz w:val="26"/>
          <w:szCs w:val="26"/>
        </w:rPr>
        <w:t xml:space="preserve"> </w:t>
      </w:r>
      <w:r w:rsidRPr="00255F82">
        <w:rPr>
          <w:rFonts w:ascii="Times New Roman" w:eastAsiaTheme="majorEastAsia" w:hAnsi="Times New Roman"/>
          <w:color w:val="auto"/>
          <w:sz w:val="26"/>
          <w:szCs w:val="26"/>
        </w:rPr>
        <w:t>Рост</w:t>
      </w:r>
      <w:r w:rsidRPr="00255F82">
        <w:rPr>
          <w:rFonts w:ascii="Times New Roman" w:hAnsi="Times New Roman"/>
          <w:color w:val="auto"/>
          <w:sz w:val="26"/>
          <w:szCs w:val="26"/>
        </w:rPr>
        <w:t xml:space="preserve"> объемов производства в </w:t>
      </w:r>
      <w:r w:rsidRPr="00255F82">
        <w:rPr>
          <w:rFonts w:ascii="Times New Roman" w:eastAsiaTheme="majorEastAsia" w:hAnsi="Times New Roman"/>
          <w:color w:val="auto"/>
          <w:sz w:val="26"/>
          <w:szCs w:val="26"/>
        </w:rPr>
        <w:t xml:space="preserve">пищевой промышленности стал одним из базовых факторов перевыполнения плана </w:t>
      </w:r>
      <w:r w:rsidR="000938FD">
        <w:rPr>
          <w:rFonts w:ascii="Times New Roman" w:eastAsiaTheme="majorEastAsia" w:hAnsi="Times New Roman"/>
          <w:color w:val="auto"/>
          <w:sz w:val="26"/>
          <w:szCs w:val="26"/>
        </w:rPr>
        <w:br/>
      </w:r>
      <w:r w:rsidRPr="00255F82">
        <w:rPr>
          <w:rFonts w:ascii="Times New Roman" w:eastAsiaTheme="majorEastAsia" w:hAnsi="Times New Roman"/>
          <w:color w:val="auto"/>
          <w:sz w:val="26"/>
          <w:szCs w:val="26"/>
        </w:rPr>
        <w:t>по экспорту продукции АПК.</w:t>
      </w:r>
      <w:bookmarkStart w:id="22" w:name="X4e93a7851f0235b59ad2d69402ba5394945d08c"/>
      <w:bookmarkStart w:id="23" w:name="_Toc227617449"/>
      <w:bookmarkEnd w:id="22"/>
      <w:bookmarkEnd w:id="23"/>
      <w:r w:rsidRPr="00255F82">
        <w:rPr>
          <w:rFonts w:ascii="Times New Roman" w:eastAsiaTheme="majorEastAsia" w:hAnsi="Times New Roman"/>
          <w:color w:val="auto"/>
          <w:sz w:val="26"/>
          <w:szCs w:val="26"/>
        </w:rPr>
        <w:t xml:space="preserve"> </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Томская область располагает значительными ресурсами дикоросов: грибов, орехов, ягод. На территории Томской области продуктивные кедровники занимают 2 952,9 тыс. га. В число важнейших ресурсов также входят ягоды (брусника, клюква, черника, голубика) и грибы.</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 xml:space="preserve">В 2024 году с применением дикорастущего пищевого сырья произведено </w:t>
      </w:r>
      <w:r w:rsidR="000938FD">
        <w:rPr>
          <w:rFonts w:ascii="Times New Roman" w:eastAsiaTheme="majorEastAsia" w:hAnsi="Times New Roman"/>
          <w:color w:val="auto"/>
          <w:sz w:val="26"/>
          <w:szCs w:val="26"/>
        </w:rPr>
        <w:br/>
      </w:r>
      <w:r w:rsidRPr="00255F82">
        <w:rPr>
          <w:rFonts w:ascii="Times New Roman" w:eastAsiaTheme="majorEastAsia" w:hAnsi="Times New Roman"/>
          <w:color w:val="auto"/>
          <w:sz w:val="26"/>
          <w:szCs w:val="26"/>
        </w:rPr>
        <w:t>27,1 тыс. тонн пищевой продукции. Плановое значение показателя превышено</w:t>
      </w:r>
      <w:r w:rsidRPr="00255F82">
        <w:rPr>
          <w:rFonts w:ascii="Times New Roman" w:hAnsi="Times New Roman"/>
          <w:color w:val="auto"/>
          <w:sz w:val="26"/>
          <w:szCs w:val="26"/>
        </w:rPr>
        <w:t xml:space="preserve"> </w:t>
      </w:r>
      <w:r w:rsidR="000938FD">
        <w:rPr>
          <w:rFonts w:ascii="Times New Roman" w:hAnsi="Times New Roman"/>
          <w:color w:val="auto"/>
          <w:sz w:val="26"/>
          <w:szCs w:val="26"/>
        </w:rPr>
        <w:br/>
      </w:r>
      <w:r w:rsidRPr="00255F82">
        <w:rPr>
          <w:rFonts w:ascii="Times New Roman" w:hAnsi="Times New Roman"/>
          <w:color w:val="auto"/>
          <w:sz w:val="26"/>
          <w:szCs w:val="26"/>
        </w:rPr>
        <w:t xml:space="preserve">на 1,1%. Умеренный, но стабильный рост производства обеспечивается функционированием системы сбора дикоросов с их последующей промышленной переработкой. </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 xml:space="preserve">Однако в 2025 году наблюдалось снижение объемов производства до 23,6 тыс. тонн пищевой продукции, что на 12,9% меньше, чем в 2024 году. Риски неустойчивости показателей связаны с возможной низкой урожайностью дикоросов, в том числе кедрового ореха, имеющего наибольший удельный вес в общей структуре заготовок, а также проблемами в сфере арендных отношений. </w:t>
      </w:r>
    </w:p>
    <w:p w:rsidR="00E618FE" w:rsidRPr="00255F82" w:rsidRDefault="00800098">
      <w:pPr>
        <w:pStyle w:val="a4"/>
        <w:rPr>
          <w:rFonts w:ascii="Times New Roman" w:hAnsi="Times New Roman"/>
          <w:color w:val="auto"/>
          <w:sz w:val="26"/>
          <w:szCs w:val="26"/>
        </w:rPr>
      </w:pPr>
      <w:r w:rsidRPr="00255F82">
        <w:rPr>
          <w:rFonts w:ascii="Times New Roman" w:hAnsi="Times New Roman"/>
          <w:color w:val="auto"/>
          <w:sz w:val="26"/>
          <w:szCs w:val="26"/>
        </w:rPr>
        <w:t xml:space="preserve">Сектору сбора и переработки дикоросов оказывается государственная поддержка. Из областного бюджета организациям предоставляются субсидии на приобретение нового производственного оборудования, оказывается содействие в организации участия в торгово-экономических миссиях, выставках, конференциях и других общероссийских и зарубежных мероприятиях. </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 xml:space="preserve">Рыбохозяйственный комплекс Томской области является отраслью, обеспечивающей трудовую занятость населения в сельской местности </w:t>
      </w:r>
      <w:r w:rsidRPr="00255F82">
        <w:rPr>
          <w:rFonts w:ascii="Times New Roman" w:eastAsiaTheme="majorEastAsia" w:hAnsi="Times New Roman"/>
          <w:color w:val="auto"/>
          <w:sz w:val="26"/>
          <w:szCs w:val="26"/>
        </w:rPr>
        <w:br/>
        <w:t xml:space="preserve">и влияющей на продовольственную безопасность региона. </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Объем переработки рыбо- и морепродуктов в 2024 году составил 4,1 тыс. Плановое значение 4,2 тыс. тонн не достигнуто. Недостижение планового значения определилось дефицитом морской и речной рыбы, значительным повышением закупочной стоимости, снижением платежеспособного потребительского спроса.</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 xml:space="preserve">В 2025 году объем переработки рыбо- и морепродуктов еще сократился </w:t>
      </w:r>
      <w:r w:rsidR="000938FD">
        <w:rPr>
          <w:rFonts w:ascii="Times New Roman" w:eastAsiaTheme="majorEastAsia" w:hAnsi="Times New Roman"/>
          <w:color w:val="auto"/>
          <w:sz w:val="26"/>
          <w:szCs w:val="26"/>
        </w:rPr>
        <w:br/>
      </w:r>
      <w:r w:rsidRPr="00255F82">
        <w:rPr>
          <w:rFonts w:ascii="Times New Roman" w:eastAsiaTheme="majorEastAsia" w:hAnsi="Times New Roman"/>
          <w:color w:val="auto"/>
          <w:sz w:val="26"/>
          <w:szCs w:val="26"/>
        </w:rPr>
        <w:t>до 4 тыс. тонн.</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 xml:space="preserve"> Риски устойчивого развития отрасли определяются ростом себестоимости продукции, снижением платежеспособного покупательского спроса на продукцию рыбопереработки, нарушением логистических цепочек и нехваткой сырья.</w:t>
      </w:r>
    </w:p>
    <w:p w:rsidR="00E618FE" w:rsidRPr="00255F82" w:rsidRDefault="00800098">
      <w:pPr>
        <w:pStyle w:val="a4"/>
        <w:rPr>
          <w:rFonts w:ascii="Times New Roman" w:eastAsiaTheme="majorEastAsia" w:hAnsi="Times New Roman"/>
          <w:color w:val="auto"/>
          <w:sz w:val="26"/>
          <w:szCs w:val="26"/>
        </w:rPr>
      </w:pPr>
      <w:r w:rsidRPr="00255F82">
        <w:rPr>
          <w:rFonts w:ascii="Times New Roman" w:eastAsiaTheme="majorEastAsia" w:hAnsi="Times New Roman"/>
          <w:color w:val="auto"/>
          <w:sz w:val="26"/>
          <w:szCs w:val="26"/>
        </w:rPr>
        <w:t xml:space="preserve">В целом цель «Рациональное использование природного капитала </w:t>
      </w:r>
      <w:r w:rsidRPr="00255F82">
        <w:rPr>
          <w:rFonts w:ascii="Times New Roman" w:eastAsiaTheme="majorEastAsia" w:hAnsi="Times New Roman"/>
          <w:color w:val="auto"/>
          <w:sz w:val="26"/>
          <w:szCs w:val="26"/>
        </w:rPr>
        <w:br/>
        <w:t>и экологическая безопасность» по состоянию на 2024 год (с учетом предварительных данных за 2025 год) может быть оценена как достигнутая частично. К числу </w:t>
      </w:r>
      <w:r w:rsidRPr="00255F82">
        <w:rPr>
          <w:rFonts w:ascii="Times New Roman" w:eastAsiaTheme="majorEastAsia" w:hAnsi="Times New Roman"/>
          <w:b/>
          <w:bCs/>
          <w:color w:val="auto"/>
          <w:sz w:val="26"/>
          <w:szCs w:val="26"/>
        </w:rPr>
        <w:t>основных достижений</w:t>
      </w:r>
      <w:r w:rsidRPr="00255F82">
        <w:rPr>
          <w:rFonts w:ascii="Times New Roman" w:eastAsiaTheme="majorEastAsia" w:hAnsi="Times New Roman"/>
          <w:color w:val="auto"/>
          <w:sz w:val="26"/>
          <w:szCs w:val="26"/>
        </w:rPr>
        <w:t> можно отнести:</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eastAsiaTheme="majorEastAsia" w:hAnsi="Times New Roman" w:cs="Times New Roman"/>
          <w:color w:val="auto"/>
          <w:szCs w:val="26"/>
        </w:rPr>
        <w:lastRenderedPageBreak/>
        <w:t>–</w:t>
      </w:r>
      <w:r w:rsidR="00800098" w:rsidRPr="00255F82">
        <w:rPr>
          <w:rFonts w:ascii="Times New Roman" w:eastAsiaTheme="majorEastAsia" w:hAnsi="Times New Roman" w:cs="Times New Roman"/>
          <w:color w:val="auto"/>
          <w:szCs w:val="26"/>
        </w:rPr>
        <w:t> перевыполнение плана по индексу производства пищевых продуктов (112,1% при плане 110,8% в 2024 году и 114,5% в 2025 году);</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eastAsiaTheme="majorEastAsia" w:hAnsi="Times New Roman" w:cs="Times New Roman"/>
          <w:color w:val="auto"/>
          <w:szCs w:val="26"/>
        </w:rPr>
        <w:t>–</w:t>
      </w:r>
      <w:r w:rsidR="00800098" w:rsidRPr="00255F82">
        <w:rPr>
          <w:rFonts w:ascii="Times New Roman" w:eastAsiaTheme="majorEastAsia" w:hAnsi="Times New Roman" w:cs="Times New Roman"/>
          <w:color w:val="auto"/>
          <w:szCs w:val="26"/>
        </w:rPr>
        <w:t> перевыполнение плана по экспорту продукции АПК (63 млн долларов США при плане 58,8 млн долларов США);</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eastAsiaTheme="majorEastAsia" w:hAnsi="Times New Roman" w:cs="Times New Roman"/>
          <w:color w:val="auto"/>
          <w:szCs w:val="26"/>
        </w:rPr>
        <w:t>–</w:t>
      </w:r>
      <w:r w:rsidR="00800098" w:rsidRPr="00255F82">
        <w:rPr>
          <w:rFonts w:ascii="Times New Roman" w:eastAsiaTheme="majorEastAsia" w:hAnsi="Times New Roman" w:cs="Times New Roman"/>
          <w:color w:val="auto"/>
          <w:szCs w:val="26"/>
        </w:rPr>
        <w:t xml:space="preserve"> перевыполнение целевого ориентира по производству пищевой продукции с использованием дикорастущего сырья в 2024 году (27,1 тыс. тонн при плане </w:t>
      </w:r>
      <w:r>
        <w:rPr>
          <w:rFonts w:ascii="Times New Roman" w:eastAsiaTheme="majorEastAsia" w:hAnsi="Times New Roman" w:cs="Times New Roman"/>
          <w:color w:val="auto"/>
          <w:szCs w:val="26"/>
        </w:rPr>
        <w:br/>
      </w:r>
      <w:r w:rsidR="00800098" w:rsidRPr="00255F82">
        <w:rPr>
          <w:rFonts w:ascii="Times New Roman" w:eastAsiaTheme="majorEastAsia" w:hAnsi="Times New Roman" w:cs="Times New Roman"/>
          <w:color w:val="auto"/>
          <w:szCs w:val="26"/>
        </w:rPr>
        <w:t>26,8 тыс. тонн);</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eastAsiaTheme="majorEastAsia" w:hAnsi="Times New Roman" w:cs="Times New Roman"/>
          <w:color w:val="auto"/>
          <w:szCs w:val="26"/>
        </w:rPr>
        <w:t>–</w:t>
      </w:r>
      <w:r w:rsidR="00800098" w:rsidRPr="00255F82">
        <w:rPr>
          <w:rFonts w:ascii="Times New Roman" w:eastAsiaTheme="majorEastAsia" w:hAnsi="Times New Roman" w:cs="Times New Roman"/>
          <w:color w:val="auto"/>
          <w:szCs w:val="26"/>
        </w:rPr>
        <w:t xml:space="preserve"> устойчивый баланс лесовосстановления (125,4% в 2024 году и 100,2% </w:t>
      </w:r>
      <w:r>
        <w:rPr>
          <w:rFonts w:ascii="Times New Roman" w:eastAsiaTheme="majorEastAsia" w:hAnsi="Times New Roman" w:cs="Times New Roman"/>
          <w:color w:val="auto"/>
          <w:szCs w:val="26"/>
        </w:rPr>
        <w:br/>
      </w:r>
      <w:r w:rsidR="00800098" w:rsidRPr="00255F82">
        <w:rPr>
          <w:rFonts w:ascii="Times New Roman" w:eastAsiaTheme="majorEastAsia" w:hAnsi="Times New Roman" w:cs="Times New Roman"/>
          <w:color w:val="auto"/>
          <w:szCs w:val="26"/>
        </w:rPr>
        <w:t>в 2025 году к площади выбытия);</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eastAsiaTheme="majorEastAsia" w:hAnsi="Times New Roman" w:cs="Times New Roman"/>
          <w:color w:val="auto"/>
          <w:szCs w:val="26"/>
        </w:rPr>
        <w:t>–</w:t>
      </w:r>
      <w:r w:rsidR="00800098" w:rsidRPr="00255F82">
        <w:rPr>
          <w:rFonts w:ascii="Times New Roman" w:eastAsiaTheme="majorEastAsia" w:hAnsi="Times New Roman" w:cs="Times New Roman"/>
          <w:color w:val="auto"/>
          <w:szCs w:val="26"/>
        </w:rPr>
        <w:t> существенное сокращение валовых выбросов в атмосферу и сбросов загрязненных сточных вод;</w:t>
      </w:r>
      <w:bookmarkEnd w:id="21"/>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eastAsiaTheme="majorEastAsia" w:hAnsi="Times New Roman" w:cs="Times New Roman"/>
          <w:color w:val="auto"/>
          <w:szCs w:val="26"/>
        </w:rPr>
        <w:t>–</w:t>
      </w:r>
      <w:r w:rsidR="00800098" w:rsidRPr="00255F82">
        <w:rPr>
          <w:rFonts w:ascii="Times New Roman" w:eastAsiaTheme="majorEastAsia" w:hAnsi="Times New Roman" w:cs="Times New Roman"/>
          <w:color w:val="auto"/>
          <w:szCs w:val="26"/>
        </w:rPr>
        <w:t> запуск автоматизированного мусоросортировочного комплекса (рост доли ТКО, направленных на обработку с 8,6% в 2024 году до 19,0% в 2025 году).</w:t>
      </w:r>
    </w:p>
    <w:p w:rsidR="00E618FE" w:rsidRPr="00255F82" w:rsidRDefault="00800098">
      <w:pPr>
        <w:pStyle w:val="affffff8"/>
        <w:spacing w:before="0" w:after="0"/>
        <w:rPr>
          <w:rFonts w:ascii="Times New Roman" w:eastAsiaTheme="majorEastAsia" w:hAnsi="Times New Roman" w:cs="Times New Roman"/>
          <w:color w:val="auto"/>
          <w:szCs w:val="26"/>
        </w:rPr>
      </w:pPr>
      <w:r w:rsidRPr="00255F82">
        <w:rPr>
          <w:rFonts w:ascii="Times New Roman" w:eastAsiaTheme="majorEastAsia" w:hAnsi="Times New Roman" w:cs="Times New Roman"/>
          <w:color w:val="auto"/>
          <w:szCs w:val="26"/>
        </w:rPr>
        <w:t xml:space="preserve">К числу </w:t>
      </w:r>
      <w:r w:rsidRPr="00255F82">
        <w:rPr>
          <w:rFonts w:ascii="Times New Roman" w:eastAsiaTheme="majorEastAsia" w:hAnsi="Times New Roman" w:cs="Times New Roman"/>
          <w:b/>
          <w:bCs/>
          <w:color w:val="auto"/>
          <w:szCs w:val="26"/>
        </w:rPr>
        <w:t>основных ограничений</w:t>
      </w:r>
      <w:r w:rsidRPr="00255F82">
        <w:rPr>
          <w:rFonts w:ascii="Times New Roman" w:eastAsiaTheme="majorEastAsia" w:hAnsi="Times New Roman" w:cs="Times New Roman"/>
          <w:color w:val="auto"/>
          <w:szCs w:val="26"/>
        </w:rPr>
        <w:t xml:space="preserve"> относятся:</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hAnsi="Times New Roman"/>
          <w:color w:val="auto"/>
          <w:szCs w:val="26"/>
        </w:rPr>
        <w:t>–</w:t>
      </w:r>
      <w:r w:rsidR="00800098" w:rsidRPr="00255F82">
        <w:rPr>
          <w:rFonts w:ascii="Times New Roman" w:eastAsiaTheme="majorEastAsia" w:hAnsi="Times New Roman" w:cs="Times New Roman"/>
          <w:color w:val="auto"/>
          <w:szCs w:val="26"/>
        </w:rPr>
        <w:t> сохраняющийся разрыв между фактическим и целевым значением доли ТКО, направленных на обработку (19% против 30%);</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hAnsi="Times New Roman"/>
          <w:color w:val="auto"/>
          <w:szCs w:val="26"/>
        </w:rPr>
        <w:t>–</w:t>
      </w:r>
      <w:r w:rsidR="00800098" w:rsidRPr="00255F82">
        <w:rPr>
          <w:rFonts w:ascii="Times New Roman" w:eastAsiaTheme="majorEastAsia" w:hAnsi="Times New Roman" w:cs="Times New Roman"/>
          <w:color w:val="auto"/>
          <w:szCs w:val="26"/>
        </w:rPr>
        <w:t> двукратное снижение доли уловленных и обезвреженных загрязняющих веществ при одновременном росте расходов на охрану окружающей среды;</w:t>
      </w:r>
    </w:p>
    <w:p w:rsidR="00E618FE" w:rsidRPr="00255F82" w:rsidRDefault="000938FD">
      <w:pPr>
        <w:pStyle w:val="affffff8"/>
        <w:spacing w:before="0" w:after="0"/>
        <w:rPr>
          <w:rFonts w:ascii="Times New Roman" w:hAnsi="Times New Roman" w:cs="Times New Roman"/>
          <w:color w:val="auto"/>
          <w:szCs w:val="26"/>
        </w:rPr>
      </w:pPr>
      <w:r>
        <w:rPr>
          <w:rFonts w:ascii="Times New Roman" w:hAnsi="Times New Roman"/>
          <w:color w:val="auto"/>
          <w:szCs w:val="26"/>
        </w:rPr>
        <w:t>–</w:t>
      </w:r>
      <w:r w:rsidR="00800098" w:rsidRPr="00255F82">
        <w:rPr>
          <w:rFonts w:ascii="Times New Roman" w:hAnsi="Times New Roman" w:cs="Times New Roman"/>
          <w:color w:val="auto"/>
          <w:szCs w:val="26"/>
        </w:rPr>
        <w:t> недостаточность мощностей хранения и переработки сельскохозяйственного сырья;</w:t>
      </w:r>
    </w:p>
    <w:p w:rsidR="00E618FE" w:rsidRPr="00255F82" w:rsidRDefault="000938FD">
      <w:pPr>
        <w:pStyle w:val="affffff8"/>
        <w:spacing w:before="0" w:after="0"/>
        <w:rPr>
          <w:rFonts w:ascii="Times New Roman" w:eastAsiaTheme="minorEastAsia" w:hAnsi="Times New Roman" w:cs="Times New Roman"/>
          <w:color w:val="auto"/>
          <w:szCs w:val="26"/>
          <w:lang w:eastAsia="ru-RU"/>
        </w:rPr>
      </w:pPr>
      <w:r>
        <w:rPr>
          <w:rFonts w:ascii="Times New Roman" w:hAnsi="Times New Roman"/>
          <w:color w:val="auto"/>
          <w:szCs w:val="26"/>
        </w:rPr>
        <w:t>–</w:t>
      </w:r>
      <w:r w:rsidR="00800098" w:rsidRPr="00255F82">
        <w:rPr>
          <w:rFonts w:ascii="Times New Roman" w:eastAsiaTheme="majorEastAsia" w:hAnsi="Times New Roman" w:cs="Times New Roman"/>
          <w:color w:val="auto"/>
          <w:szCs w:val="26"/>
        </w:rPr>
        <w:t xml:space="preserve"> дефицит </w:t>
      </w:r>
      <w:r w:rsidR="00800098" w:rsidRPr="00255F82">
        <w:rPr>
          <w:rFonts w:ascii="Times New Roman" w:eastAsiaTheme="minorEastAsia" w:hAnsi="Times New Roman" w:cs="Times New Roman"/>
          <w:color w:val="auto"/>
          <w:szCs w:val="26"/>
          <w:lang w:eastAsia="ru-RU"/>
        </w:rPr>
        <w:t>высококвалифицированных кадров в сельском хозяйстве;</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hAnsi="Times New Roman"/>
          <w:color w:val="auto"/>
          <w:szCs w:val="26"/>
        </w:rPr>
        <w:t>–</w:t>
      </w:r>
      <w:r w:rsidR="00800098" w:rsidRPr="00255F82">
        <w:rPr>
          <w:rFonts w:ascii="Times New Roman" w:eastAsiaTheme="majorEastAsia" w:hAnsi="Times New Roman" w:cs="Times New Roman"/>
          <w:color w:val="auto"/>
          <w:szCs w:val="26"/>
        </w:rPr>
        <w:t> глубокое отставание сельскохозяйственного производства от целевой траектории (90,1% в 2024 году против плана 102,82%);</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eastAsiaTheme="majorEastAsia" w:hAnsi="Times New Roman" w:cs="Times New Roman"/>
          <w:color w:val="auto"/>
          <w:szCs w:val="26"/>
        </w:rPr>
        <w:t>–</w:t>
      </w:r>
      <w:r w:rsidR="00800098" w:rsidRPr="00255F82">
        <w:rPr>
          <w:rFonts w:ascii="Times New Roman" w:eastAsiaTheme="majorEastAsia" w:hAnsi="Times New Roman" w:cs="Times New Roman"/>
          <w:color w:val="auto"/>
          <w:szCs w:val="26"/>
        </w:rPr>
        <w:t> недостижение плана по переработке водных биоресурсов и падение объемов переработки дикорастущего сырья в 2025 году;</w:t>
      </w:r>
    </w:p>
    <w:p w:rsidR="00E618FE" w:rsidRPr="00255F82" w:rsidRDefault="000938FD">
      <w:pPr>
        <w:pStyle w:val="affffff8"/>
        <w:spacing w:before="0" w:after="0"/>
        <w:rPr>
          <w:rFonts w:ascii="Times New Roman" w:eastAsiaTheme="majorEastAsia" w:hAnsi="Times New Roman" w:cs="Times New Roman"/>
          <w:color w:val="auto"/>
          <w:szCs w:val="26"/>
        </w:rPr>
      </w:pPr>
      <w:r>
        <w:rPr>
          <w:rFonts w:ascii="Times New Roman" w:hAnsi="Times New Roman"/>
          <w:color w:val="auto"/>
          <w:szCs w:val="26"/>
        </w:rPr>
        <w:t>–</w:t>
      </w:r>
      <w:r w:rsidR="00800098" w:rsidRPr="00255F82">
        <w:rPr>
          <w:rFonts w:ascii="Times New Roman" w:eastAsiaTheme="majorEastAsia" w:hAnsi="Times New Roman" w:cs="Times New Roman"/>
          <w:color w:val="auto"/>
          <w:szCs w:val="26"/>
        </w:rPr>
        <w:t> сохранение структурных ограничений в лесопромышленном комплексе и недостаточное развитие лесной инфраструктуры.</w:t>
      </w:r>
    </w:p>
    <w:p w:rsidR="00E618FE" w:rsidRPr="00255F82" w:rsidRDefault="00800098">
      <w:pPr>
        <w:pStyle w:val="affffff8"/>
        <w:spacing w:before="0" w:after="0"/>
        <w:rPr>
          <w:rFonts w:ascii="Times New Roman" w:eastAsiaTheme="majorEastAsia" w:hAnsi="Times New Roman" w:cs="Times New Roman"/>
          <w:color w:val="auto"/>
          <w:szCs w:val="26"/>
        </w:rPr>
      </w:pPr>
      <w:r w:rsidRPr="00255F82">
        <w:rPr>
          <w:rFonts w:ascii="Times New Roman" w:eastAsiaTheme="majorEastAsia" w:hAnsi="Times New Roman" w:cs="Times New Roman"/>
          <w:color w:val="auto"/>
          <w:szCs w:val="26"/>
        </w:rPr>
        <w:t xml:space="preserve">Для улучшения ситуации в сфере </w:t>
      </w:r>
      <w:r w:rsidRPr="00255F82">
        <w:rPr>
          <w:rFonts w:ascii="Times New Roman" w:hAnsi="Times New Roman" w:cs="Times New Roman"/>
          <w:color w:val="auto"/>
          <w:szCs w:val="26"/>
        </w:rPr>
        <w:t>рационального использования природного капитала и устойчивого развития АПК</w:t>
      </w:r>
      <w:r w:rsidRPr="00255F82">
        <w:rPr>
          <w:rFonts w:ascii="Times New Roman" w:eastAsiaTheme="majorEastAsia" w:hAnsi="Times New Roman" w:cs="Times New Roman"/>
          <w:color w:val="auto"/>
          <w:szCs w:val="26"/>
        </w:rPr>
        <w:t xml:space="preserve"> необходимы ускоренное развитие инфраструктуры обращения с ТКО и систем очистки выбросов, системная поддержка сельского хозяйства в условиях климатических рисков, а также модернизация лесной инфраструктуры и диверсификация рынков сбыта продукции лесопереработки. </w:t>
      </w:r>
    </w:p>
    <w:p w:rsidR="00E618FE" w:rsidRPr="00255F82" w:rsidRDefault="00E618FE">
      <w:pPr>
        <w:pStyle w:val="a4"/>
        <w:rPr>
          <w:rFonts w:ascii="Times New Roman" w:hAnsi="Times New Roman"/>
          <w:color w:val="auto"/>
          <w:sz w:val="26"/>
          <w:szCs w:val="26"/>
        </w:rPr>
      </w:pPr>
    </w:p>
    <w:p w:rsidR="00E618FE" w:rsidRPr="00535A4B" w:rsidRDefault="00800098">
      <w:pPr>
        <w:pStyle w:val="21"/>
        <w:rPr>
          <w:rFonts w:ascii="Times New Roman" w:eastAsia="PT Astra Serif" w:hAnsi="Times New Roman" w:cs="Times New Roman"/>
        </w:rPr>
      </w:pPr>
      <w:bookmarkStart w:id="24" w:name="_Toc228496282"/>
      <w:bookmarkStart w:id="25" w:name="_Toc235810130"/>
      <w:bookmarkStart w:id="26" w:name="_Toc238554518"/>
      <w:r w:rsidRPr="00535A4B">
        <w:rPr>
          <w:rFonts w:ascii="Times New Roman" w:eastAsia="PT Astra Serif" w:hAnsi="Times New Roman" w:cs="Times New Roman"/>
        </w:rPr>
        <w:t>Цель 3. Повышение уровня и качества жизни населения на всей территории Томской области, накопление человеческого капитала</w:t>
      </w:r>
      <w:bookmarkEnd w:id="24"/>
      <w:bookmarkEnd w:id="25"/>
      <w:bookmarkEnd w:id="26"/>
    </w:p>
    <w:p w:rsidR="00E618FE" w:rsidRPr="00535A4B" w:rsidRDefault="00E618FE">
      <w:pPr>
        <w:pStyle w:val="a4"/>
        <w:rPr>
          <w:rFonts w:ascii="Times New Roman" w:hAnsi="Times New Roman"/>
          <w:color w:val="auto"/>
        </w:rPr>
      </w:pP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В 2020 – 2025 годах реализация Цели 3 шла в условиях устойчивого роста доходов и снижения бедности, ускоренного развития социальной инфраструктуры, а также усиления демографических вызовов, роста смертности и территориальных различий в доступе к услугам. Общий результат: по образованию, физической культуре, доходам, добровольчеству, городской среде показатели перевыполнены, тогда как по демографии, общественной безопасности и адресности социальной поддержки сохраняются существенные отставания от целевых ориентиров Стратегии до 2030 года.</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Демографическая динамика</w:t>
      </w:r>
      <w:r w:rsidRPr="00FE40FE">
        <w:rPr>
          <w:rFonts w:ascii="Times New Roman" w:hAnsi="Times New Roman"/>
          <w:color w:val="auto"/>
        </w:rPr>
        <w:t>.</w:t>
      </w:r>
      <w:r w:rsidRPr="000938FD">
        <w:rPr>
          <w:rFonts w:ascii="Times New Roman" w:hAnsi="Times New Roman"/>
          <w:color w:val="auto"/>
          <w:sz w:val="26"/>
          <w:szCs w:val="26"/>
        </w:rPr>
        <w:t xml:space="preserve"> В 2020 – 2024 годах в регионе сохранялась устойчивая депопуляция: численность населения сократилась на 34,9 тыс. человек (–3,3%). В 2024 году убыль составила –</w:t>
      </w:r>
      <w:r w:rsidR="000938FD">
        <w:rPr>
          <w:rFonts w:ascii="Times New Roman" w:hAnsi="Times New Roman"/>
          <w:color w:val="auto"/>
          <w:sz w:val="26"/>
          <w:szCs w:val="26"/>
        </w:rPr>
        <w:t xml:space="preserve"> </w:t>
      </w:r>
      <w:r w:rsidRPr="000938FD">
        <w:rPr>
          <w:rFonts w:ascii="Times New Roman" w:hAnsi="Times New Roman"/>
          <w:color w:val="auto"/>
          <w:sz w:val="26"/>
          <w:szCs w:val="26"/>
        </w:rPr>
        <w:t>3,7 тыс. человек, что на –</w:t>
      </w:r>
      <w:r w:rsidR="000938FD">
        <w:rPr>
          <w:rFonts w:ascii="Times New Roman" w:hAnsi="Times New Roman"/>
          <w:color w:val="auto"/>
          <w:sz w:val="26"/>
          <w:szCs w:val="26"/>
        </w:rPr>
        <w:t xml:space="preserve"> </w:t>
      </w:r>
      <w:r w:rsidRPr="000938FD">
        <w:rPr>
          <w:rFonts w:ascii="Times New Roman" w:hAnsi="Times New Roman"/>
          <w:color w:val="auto"/>
          <w:sz w:val="26"/>
          <w:szCs w:val="26"/>
        </w:rPr>
        <w:t xml:space="preserve">1,9 тыс. человек </w:t>
      </w:r>
      <w:r w:rsidRPr="000938FD">
        <w:rPr>
          <w:rFonts w:ascii="Times New Roman" w:hAnsi="Times New Roman"/>
          <w:color w:val="auto"/>
          <w:sz w:val="26"/>
          <w:szCs w:val="26"/>
        </w:rPr>
        <w:lastRenderedPageBreak/>
        <w:t>выше планового значения (показатель не выполнен)</w:t>
      </w:r>
      <w:r w:rsidRPr="000938FD">
        <w:rPr>
          <w:rStyle w:val="af3"/>
          <w:rFonts w:ascii="Times New Roman" w:hAnsi="Times New Roman"/>
          <w:color w:val="auto"/>
          <w:sz w:val="26"/>
          <w:szCs w:val="26"/>
        </w:rPr>
        <w:footnoteReference w:id="1"/>
      </w:r>
      <w:r w:rsidRPr="000938FD">
        <w:rPr>
          <w:rFonts w:ascii="Times New Roman" w:hAnsi="Times New Roman"/>
          <w:color w:val="auto"/>
          <w:sz w:val="26"/>
          <w:szCs w:val="26"/>
        </w:rPr>
        <w:t>. Это можно объяснить проявлением общероссийских трендов снижения рождаемости (сокращение доли женщин репродуктивного возраста), изменения миграционных потоков и последствий пандемии COVID</w:t>
      </w:r>
      <w:r w:rsidRPr="000938FD">
        <w:rPr>
          <w:rFonts w:ascii="Times New Roman" w:hAnsi="Times New Roman"/>
          <w:color w:val="auto"/>
          <w:sz w:val="26"/>
          <w:szCs w:val="26"/>
        </w:rPr>
        <w:noBreakHyphen/>
        <w:t>19.</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Ожидаемая продолжительность жизни выросла с 71,29 до 71,57 лет за 2020</w:t>
      </w:r>
      <w:r w:rsidR="000938FD">
        <w:rPr>
          <w:rFonts w:ascii="Times New Roman" w:hAnsi="Times New Roman"/>
          <w:color w:val="auto"/>
          <w:sz w:val="26"/>
          <w:szCs w:val="26"/>
        </w:rPr>
        <w:t xml:space="preserve"> </w:t>
      </w:r>
      <w:r w:rsidRPr="000938FD">
        <w:rPr>
          <w:rFonts w:ascii="Times New Roman" w:hAnsi="Times New Roman"/>
          <w:color w:val="auto"/>
          <w:sz w:val="26"/>
          <w:szCs w:val="26"/>
        </w:rPr>
        <w:t>–2024 годы, но пока достигла 97,46% от планового значения на 2024 год (73,43 года), т.е. показатель не выполнен</w:t>
      </w:r>
      <w:r w:rsidRPr="000938FD">
        <w:rPr>
          <w:rStyle w:val="af3"/>
          <w:rFonts w:ascii="Times New Roman" w:hAnsi="Times New Roman"/>
          <w:color w:val="auto"/>
          <w:sz w:val="26"/>
          <w:szCs w:val="26"/>
        </w:rPr>
        <w:footnoteReference w:id="2"/>
      </w:r>
      <w:r w:rsidRPr="000938FD">
        <w:rPr>
          <w:rFonts w:ascii="Times New Roman" w:hAnsi="Times New Roman"/>
          <w:color w:val="auto"/>
          <w:sz w:val="26"/>
          <w:szCs w:val="26"/>
        </w:rPr>
        <w:t xml:space="preserve">. В то же время по продолжительности жизни </w:t>
      </w:r>
      <w:r w:rsidR="000938FD">
        <w:rPr>
          <w:rFonts w:ascii="Times New Roman" w:hAnsi="Times New Roman"/>
          <w:color w:val="auto"/>
          <w:sz w:val="26"/>
          <w:szCs w:val="26"/>
        </w:rPr>
        <w:br/>
      </w:r>
      <w:r w:rsidRPr="000938FD">
        <w:rPr>
          <w:rFonts w:ascii="Times New Roman" w:hAnsi="Times New Roman"/>
          <w:color w:val="auto"/>
          <w:sz w:val="26"/>
          <w:szCs w:val="26"/>
        </w:rPr>
        <w:t>при рождении и здоровой жизни Томская область стабильно занимала первое место среди субъектов Сибирского федерального округа в течение всего рассматриваемого периода.</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2020 – 2024 годах коэффициент смертности на 1 тыс. населения в регионе сократился с 13,4 до 12,3. В Томской области данный показатель ниже средних показателей по России и Сибирскому федеральному округу, при этом разрыв сокращается. Регион стабильно входит в тройку лидеров с самыми низкими значениями в Сибирском федеральном округе. Плановое значение показателя (10,9) по итогам 2024 года не достигнуто, уровень выполнения </w:t>
      </w:r>
      <w:r w:rsidR="000938FD">
        <w:rPr>
          <w:rFonts w:ascii="Times New Roman" w:hAnsi="Times New Roman"/>
          <w:color w:val="auto"/>
          <w:sz w:val="26"/>
          <w:szCs w:val="26"/>
        </w:rPr>
        <w:t>–</w:t>
      </w:r>
      <w:r w:rsidRPr="000938FD">
        <w:rPr>
          <w:rFonts w:ascii="Times New Roman" w:hAnsi="Times New Roman"/>
          <w:color w:val="auto"/>
          <w:sz w:val="26"/>
          <w:szCs w:val="26"/>
        </w:rPr>
        <w:t xml:space="preserve"> 88,6%</w:t>
      </w:r>
      <w:r w:rsidRPr="000938FD">
        <w:rPr>
          <w:rStyle w:val="af3"/>
          <w:rFonts w:ascii="Times New Roman" w:hAnsi="Times New Roman"/>
          <w:color w:val="auto"/>
          <w:sz w:val="26"/>
          <w:szCs w:val="26"/>
        </w:rPr>
        <w:footnoteReference w:id="3"/>
      </w:r>
      <w:r w:rsidRPr="000938FD">
        <w:rPr>
          <w:rFonts w:ascii="Times New Roman" w:hAnsi="Times New Roman"/>
          <w:color w:val="auto"/>
          <w:sz w:val="26"/>
          <w:szCs w:val="26"/>
        </w:rPr>
        <w:t xml:space="preserve">. Причиной недостижения планового значения показателя является рост смертности </w:t>
      </w:r>
      <w:r w:rsidR="000938FD">
        <w:rPr>
          <w:rFonts w:ascii="Times New Roman" w:hAnsi="Times New Roman"/>
          <w:color w:val="auto"/>
          <w:sz w:val="26"/>
          <w:szCs w:val="26"/>
        </w:rPr>
        <w:br/>
      </w:r>
      <w:r w:rsidRPr="000938FD">
        <w:rPr>
          <w:rFonts w:ascii="Times New Roman" w:hAnsi="Times New Roman"/>
          <w:color w:val="auto"/>
          <w:sz w:val="26"/>
          <w:szCs w:val="26"/>
        </w:rPr>
        <w:t>от заболеваний и внешних причин. Рост смертности в 2024 году отмечается по всем основным классам болезней</w:t>
      </w:r>
      <w:r w:rsidR="000938FD">
        <w:rPr>
          <w:rFonts w:ascii="Times New Roman" w:hAnsi="Times New Roman"/>
          <w:color w:val="auto"/>
          <w:sz w:val="26"/>
          <w:szCs w:val="26"/>
        </w:rPr>
        <w:t>: максимальный рост смертности –</w:t>
      </w:r>
      <w:r w:rsidRPr="000938FD">
        <w:rPr>
          <w:rFonts w:ascii="Times New Roman" w:hAnsi="Times New Roman"/>
          <w:color w:val="auto"/>
          <w:sz w:val="26"/>
          <w:szCs w:val="26"/>
        </w:rPr>
        <w:t xml:space="preserve"> от внешних причин (37,2%), в абсолютном выражении число умерших от травм и отравлений увеличилось на 451 человека, что составляет 52% от общего прироста числа умерших в 2024 году (867 человек).</w:t>
      </w:r>
    </w:p>
    <w:p w:rsidR="00E618FE" w:rsidRPr="000938FD" w:rsidRDefault="00800098">
      <w:pPr>
        <w:pStyle w:val="a4"/>
        <w:rPr>
          <w:rFonts w:ascii="Times New Roman" w:hAnsi="Times New Roman"/>
          <w:color w:val="auto"/>
          <w:sz w:val="26"/>
          <w:szCs w:val="26"/>
        </w:rPr>
      </w:pPr>
      <w:r w:rsidRPr="00FE40FE">
        <w:rPr>
          <w:rStyle w:val="s2"/>
          <w:rFonts w:ascii="Times New Roman" w:eastAsiaTheme="majorEastAsia" w:hAnsi="Times New Roman"/>
          <w:b/>
          <w:bCs/>
          <w:color w:val="auto"/>
        </w:rPr>
        <w:t>Система здравоохранения.</w:t>
      </w:r>
      <w:r w:rsidRPr="000938FD">
        <w:rPr>
          <w:rStyle w:val="s2"/>
          <w:rFonts w:ascii="Times New Roman" w:eastAsiaTheme="majorEastAsia" w:hAnsi="Times New Roman"/>
          <w:b/>
          <w:bCs/>
          <w:color w:val="auto"/>
          <w:sz w:val="26"/>
          <w:szCs w:val="26"/>
        </w:rPr>
        <w:t xml:space="preserve"> </w:t>
      </w:r>
      <w:r w:rsidRPr="000938FD">
        <w:rPr>
          <w:rFonts w:ascii="Times New Roman" w:hAnsi="Times New Roman"/>
          <w:color w:val="auto"/>
          <w:sz w:val="26"/>
          <w:szCs w:val="26"/>
        </w:rPr>
        <w:t xml:space="preserve">Томская область имеет относительно низкие </w:t>
      </w:r>
      <w:r w:rsidR="000938FD">
        <w:rPr>
          <w:rFonts w:ascii="Times New Roman" w:hAnsi="Times New Roman"/>
          <w:color w:val="auto"/>
          <w:sz w:val="26"/>
          <w:szCs w:val="26"/>
        </w:rPr>
        <w:br/>
      </w:r>
      <w:r w:rsidRPr="000938FD">
        <w:rPr>
          <w:rFonts w:ascii="Times New Roman" w:hAnsi="Times New Roman"/>
          <w:color w:val="auto"/>
          <w:sz w:val="26"/>
          <w:szCs w:val="26"/>
        </w:rPr>
        <w:t>(в сравнении со средними значениями по Российской Федерации, регионам Сибирского федерального округа) з</w:t>
      </w:r>
      <w:r w:rsidR="000938FD">
        <w:rPr>
          <w:rFonts w:ascii="Times New Roman" w:hAnsi="Times New Roman"/>
          <w:color w:val="auto"/>
          <w:sz w:val="26"/>
          <w:szCs w:val="26"/>
        </w:rPr>
        <w:t>начения показателей смертности –</w:t>
      </w:r>
      <w:r w:rsidRPr="000938FD">
        <w:rPr>
          <w:rFonts w:ascii="Times New Roman" w:hAnsi="Times New Roman"/>
          <w:color w:val="auto"/>
          <w:sz w:val="26"/>
          <w:szCs w:val="26"/>
        </w:rPr>
        <w:t xml:space="preserve"> общего коэффициента смертности, смертности населения в трудоспособном возрасте, смертности от болезней системы кровообращения, но относительно высокие значения показателя смертности от новообразований, в том числе злокачественных.</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целях повышения доступности и качества оказания медицинской помощи, обеспечения комфортных условий пребывания пациентов в медицинских организациях реализуются мероприятия по приобретению модульных конструкций для организации работы фельдшерско-акушерских пунктов (ФАП) и общей врачебной практики, строительству и капитальному ремонту объектов, приобретению автотранспортных средств и медицинского оборудования. </w:t>
      </w:r>
      <w:r w:rsidR="000938FD">
        <w:rPr>
          <w:rFonts w:ascii="Times New Roman" w:hAnsi="Times New Roman"/>
          <w:color w:val="auto"/>
          <w:sz w:val="26"/>
          <w:szCs w:val="26"/>
        </w:rPr>
        <w:br/>
      </w:r>
      <w:r w:rsidRPr="000938FD">
        <w:rPr>
          <w:rFonts w:ascii="Times New Roman" w:hAnsi="Times New Roman"/>
          <w:color w:val="auto"/>
          <w:sz w:val="26"/>
          <w:szCs w:val="26"/>
        </w:rPr>
        <w:t xml:space="preserve">В 2023 году открылся новый хирургический корпус Томского онкологического диспансера; в декабре 2025 года завершилось строительство поликлиники </w:t>
      </w:r>
      <w:r w:rsidR="000938FD">
        <w:rPr>
          <w:rFonts w:ascii="Times New Roman" w:hAnsi="Times New Roman"/>
          <w:color w:val="auto"/>
          <w:sz w:val="26"/>
          <w:szCs w:val="26"/>
        </w:rPr>
        <w:br/>
      </w:r>
      <w:r w:rsidRPr="000938FD">
        <w:rPr>
          <w:rFonts w:ascii="Times New Roman" w:hAnsi="Times New Roman"/>
          <w:color w:val="auto"/>
          <w:sz w:val="26"/>
          <w:szCs w:val="26"/>
        </w:rPr>
        <w:t xml:space="preserve">на 400 посещений в смену в микрорайоне Южные Ворота для обслуживания взрослого и детского населения Южных Ворот, поселков Зональная станция и Лоскутово. Регион имеет относительно высокий уровень обеспеченности больничными койками на 10 тыс. человек населения, но относительно низкие значения показателей по мощности амбулаторно-поликлинических организаций </w:t>
      </w:r>
      <w:r w:rsidR="000938FD">
        <w:rPr>
          <w:rFonts w:ascii="Times New Roman" w:hAnsi="Times New Roman"/>
          <w:color w:val="auto"/>
          <w:sz w:val="26"/>
          <w:szCs w:val="26"/>
        </w:rPr>
        <w:br/>
      </w:r>
      <w:r w:rsidRPr="000938FD">
        <w:rPr>
          <w:rFonts w:ascii="Times New Roman" w:hAnsi="Times New Roman"/>
          <w:color w:val="auto"/>
          <w:sz w:val="26"/>
          <w:szCs w:val="26"/>
        </w:rPr>
        <w:lastRenderedPageBreak/>
        <w:t xml:space="preserve">на 10 тыс. человек населения (в сравнении со средними значениями по Российской Федерации, регионами Сибирского федерального округа), несмотря на наличие разветвленной сети фельдшерско-акушерских пунктов (ФАП) и амбулаторий. Наблюдается высокий удельный вес от общей площади зданий, находящихся </w:t>
      </w:r>
      <w:r w:rsidR="000938FD">
        <w:rPr>
          <w:rFonts w:ascii="Times New Roman" w:hAnsi="Times New Roman"/>
          <w:color w:val="auto"/>
          <w:sz w:val="26"/>
          <w:szCs w:val="26"/>
        </w:rPr>
        <w:br/>
      </w:r>
      <w:r w:rsidRPr="000938FD">
        <w:rPr>
          <w:rFonts w:ascii="Times New Roman" w:hAnsi="Times New Roman"/>
          <w:color w:val="auto"/>
          <w:sz w:val="26"/>
          <w:szCs w:val="26"/>
        </w:rPr>
        <w:t xml:space="preserve">в аварийном состоянии или требующих сноса, реконструкции и капитального ремонта, подразделений, оказывающих медицинскую помощь в амбулаторных условиях (71,1%), стационарных условиях (65,1%), патологоанатомических отделений (64,2%), что создает риски для доступности и качества помощи. Доступность медицинской помощи существенно отличается в разных муниципальных образованиях. Особенно остро эта проблема проявляется </w:t>
      </w:r>
      <w:r w:rsidR="000938FD">
        <w:rPr>
          <w:rFonts w:ascii="Times New Roman" w:hAnsi="Times New Roman"/>
          <w:color w:val="auto"/>
          <w:sz w:val="26"/>
          <w:szCs w:val="26"/>
        </w:rPr>
        <w:br/>
      </w:r>
      <w:r w:rsidRPr="000938FD">
        <w:rPr>
          <w:rFonts w:ascii="Times New Roman" w:hAnsi="Times New Roman"/>
          <w:color w:val="auto"/>
          <w:sz w:val="26"/>
          <w:szCs w:val="26"/>
        </w:rPr>
        <w:t xml:space="preserve">в муниципальных образованиях северных и труднодоступных районов, а также сельской местности на юге Томской области. </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Продолжается цифровизация здравоохранения, однако существует ряд факторов пространственного (протяженность территории), экономического (высокая стоимость технологий) и организационного (отсутствие единой системы оперативного мониторинга данных, низкая аналитическая зрелость) характера, ограничивающих эффективность цифровой трансформации отрасли.</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Томская область сохраняет лидерство в Сибирском федеральном округе </w:t>
      </w:r>
      <w:r w:rsidR="000938FD">
        <w:rPr>
          <w:rFonts w:ascii="Times New Roman" w:hAnsi="Times New Roman"/>
          <w:color w:val="auto"/>
          <w:sz w:val="26"/>
          <w:szCs w:val="26"/>
        </w:rPr>
        <w:br/>
      </w:r>
      <w:r w:rsidRPr="000938FD">
        <w:rPr>
          <w:rFonts w:ascii="Times New Roman" w:hAnsi="Times New Roman"/>
          <w:color w:val="auto"/>
          <w:sz w:val="26"/>
          <w:szCs w:val="26"/>
        </w:rPr>
        <w:t xml:space="preserve">по обеспеченности врачами, за отчетный период наблюдается рост численности врачей и среднего медперсонала на 10 тыс. человек населения. Число врачей, работающих в государственных и муниципальных медицинских организациях, осуществляющих медицинскую деятельность на территории Томской области, по состоянию на 31 декабря 2025 года, составляло 4 881 человек; </w:t>
      </w:r>
      <w:r w:rsidR="000938FD">
        <w:rPr>
          <w:rFonts w:ascii="Times New Roman" w:hAnsi="Times New Roman"/>
          <w:color w:val="auto"/>
          <w:sz w:val="26"/>
          <w:szCs w:val="26"/>
        </w:rPr>
        <w:t xml:space="preserve">средних медицинских работников – </w:t>
      </w:r>
      <w:r w:rsidRPr="000938FD">
        <w:rPr>
          <w:rFonts w:ascii="Times New Roman" w:hAnsi="Times New Roman"/>
          <w:color w:val="auto"/>
          <w:sz w:val="26"/>
          <w:szCs w:val="26"/>
        </w:rPr>
        <w:t>8 467 человек</w:t>
      </w:r>
      <w:r w:rsidRPr="000938FD">
        <w:rPr>
          <w:rStyle w:val="af3"/>
          <w:rFonts w:ascii="Times New Roman" w:hAnsi="Times New Roman"/>
          <w:color w:val="auto"/>
          <w:sz w:val="26"/>
          <w:szCs w:val="26"/>
        </w:rPr>
        <w:footnoteReference w:id="4"/>
      </w:r>
      <w:r w:rsidR="00510082">
        <w:rPr>
          <w:rFonts w:ascii="Times New Roman" w:hAnsi="Times New Roman"/>
          <w:color w:val="auto"/>
          <w:sz w:val="26"/>
          <w:szCs w:val="26"/>
        </w:rPr>
        <w:t>.</w:t>
      </w:r>
      <w:r w:rsidRPr="000938FD">
        <w:rPr>
          <w:rFonts w:ascii="Times New Roman" w:hAnsi="Times New Roman"/>
          <w:color w:val="auto"/>
          <w:sz w:val="26"/>
          <w:szCs w:val="26"/>
          <w:vertAlign w:val="superscript"/>
        </w:rPr>
        <w:t>.</w:t>
      </w:r>
      <w:r w:rsidRPr="000938FD">
        <w:rPr>
          <w:rFonts w:ascii="Times New Roman" w:hAnsi="Times New Roman"/>
          <w:color w:val="auto"/>
          <w:sz w:val="26"/>
          <w:szCs w:val="26"/>
        </w:rPr>
        <w:t xml:space="preserve"> Обеспеченность населения врачами, работающими </w:t>
      </w:r>
      <w:r w:rsidRPr="000938FD">
        <w:rPr>
          <w:rFonts w:ascii="Times New Roman" w:hAnsi="Times New Roman"/>
          <w:color w:val="auto"/>
          <w:sz w:val="26"/>
          <w:szCs w:val="26"/>
        </w:rPr>
        <w:br/>
        <w:t xml:space="preserve">в государственных и муниципальных медицинских организациях, по состоянию </w:t>
      </w:r>
      <w:r w:rsidR="000938FD">
        <w:rPr>
          <w:rFonts w:ascii="Times New Roman" w:hAnsi="Times New Roman"/>
          <w:color w:val="auto"/>
          <w:sz w:val="26"/>
          <w:szCs w:val="26"/>
        </w:rPr>
        <w:br/>
      </w:r>
      <w:r w:rsidRPr="000938FD">
        <w:rPr>
          <w:rFonts w:ascii="Times New Roman" w:hAnsi="Times New Roman"/>
          <w:color w:val="auto"/>
          <w:sz w:val="26"/>
          <w:szCs w:val="26"/>
        </w:rPr>
        <w:t xml:space="preserve">на 31 декабря 2025 года, составляет 46,94 человек на 10 тыс. населения; средними медицинскими работниками </w:t>
      </w:r>
      <w:r w:rsidR="000938FD">
        <w:rPr>
          <w:rFonts w:ascii="Times New Roman" w:hAnsi="Times New Roman"/>
          <w:color w:val="auto"/>
          <w:sz w:val="26"/>
          <w:szCs w:val="26"/>
        </w:rPr>
        <w:t>–</w:t>
      </w:r>
      <w:r w:rsidRPr="000938FD">
        <w:rPr>
          <w:rFonts w:ascii="Times New Roman" w:hAnsi="Times New Roman"/>
          <w:color w:val="auto"/>
          <w:sz w:val="26"/>
          <w:szCs w:val="26"/>
        </w:rPr>
        <w:t xml:space="preserve"> 83,17 человек на 10 тыс. населения</w:t>
      </w:r>
      <w:r w:rsidRPr="000938FD">
        <w:rPr>
          <w:rStyle w:val="af3"/>
          <w:rFonts w:ascii="Times New Roman" w:hAnsi="Times New Roman"/>
          <w:color w:val="auto"/>
          <w:sz w:val="26"/>
          <w:szCs w:val="26"/>
        </w:rPr>
        <w:footnoteReference w:id="5"/>
      </w:r>
      <w:r w:rsidRPr="000938FD">
        <w:rPr>
          <w:rFonts w:ascii="Times New Roman" w:hAnsi="Times New Roman"/>
          <w:color w:val="auto"/>
          <w:sz w:val="26"/>
          <w:szCs w:val="26"/>
        </w:rPr>
        <w:t>.</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Реализуются программы «Земский доктор» и «Земский фельдшер», однако сохраняется недостаточная укомплектованность персоналом, особенно в северных и труднодоступных районах. Укомплектованность государственных и муниципальных медицинских организаций</w:t>
      </w:r>
      <w:r w:rsidRPr="000938FD">
        <w:rPr>
          <w:rStyle w:val="af3"/>
          <w:rFonts w:ascii="Times New Roman" w:hAnsi="Times New Roman"/>
          <w:color w:val="auto"/>
          <w:sz w:val="26"/>
          <w:szCs w:val="26"/>
        </w:rPr>
        <w:footnoteReference w:id="6"/>
      </w:r>
      <w:r w:rsidRPr="000938FD">
        <w:rPr>
          <w:rFonts w:ascii="Times New Roman" w:hAnsi="Times New Roman"/>
          <w:color w:val="auto"/>
          <w:sz w:val="26"/>
          <w:szCs w:val="26"/>
        </w:rPr>
        <w:t xml:space="preserve"> врачами по состоянию на 31 декабря 2025 года составляло 86,30%; сре</w:t>
      </w:r>
      <w:r w:rsidR="00510082">
        <w:rPr>
          <w:rFonts w:ascii="Times New Roman" w:hAnsi="Times New Roman"/>
          <w:color w:val="auto"/>
          <w:sz w:val="26"/>
          <w:szCs w:val="26"/>
        </w:rPr>
        <w:t>дними медицинскими работниками –</w:t>
      </w:r>
      <w:r w:rsidRPr="000938FD">
        <w:rPr>
          <w:rFonts w:ascii="Times New Roman" w:hAnsi="Times New Roman"/>
          <w:color w:val="auto"/>
          <w:sz w:val="26"/>
          <w:szCs w:val="26"/>
        </w:rPr>
        <w:t xml:space="preserve"> 87,37%</w:t>
      </w:r>
      <w:r w:rsidRPr="000938FD">
        <w:rPr>
          <w:rStyle w:val="af3"/>
          <w:rFonts w:ascii="Times New Roman" w:hAnsi="Times New Roman"/>
          <w:color w:val="auto"/>
          <w:sz w:val="26"/>
          <w:szCs w:val="26"/>
        </w:rPr>
        <w:footnoteReference w:id="7"/>
      </w:r>
      <w:r w:rsidRPr="000938FD">
        <w:rPr>
          <w:rFonts w:ascii="Times New Roman" w:hAnsi="Times New Roman"/>
          <w:color w:val="auto"/>
          <w:sz w:val="26"/>
          <w:szCs w:val="26"/>
        </w:rPr>
        <w:t>.</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По уровню смертности наблюдается негативный тренд, поэтому региону важно усилить кадровое, инфраструктурное и финансовое обеспечение здравоохран</w:t>
      </w:r>
      <w:r w:rsidR="00510082">
        <w:rPr>
          <w:rFonts w:ascii="Times New Roman" w:hAnsi="Times New Roman"/>
          <w:color w:val="auto"/>
          <w:sz w:val="26"/>
          <w:szCs w:val="26"/>
        </w:rPr>
        <w:t>ения. Управленческий приоритет –</w:t>
      </w:r>
      <w:r w:rsidRPr="000938FD">
        <w:rPr>
          <w:rFonts w:ascii="Times New Roman" w:hAnsi="Times New Roman"/>
          <w:color w:val="auto"/>
          <w:sz w:val="26"/>
          <w:szCs w:val="26"/>
        </w:rPr>
        <w:t xml:space="preserve"> сфокусировать усилия и ресурсы </w:t>
      </w:r>
      <w:r w:rsidR="00510082">
        <w:rPr>
          <w:rFonts w:ascii="Times New Roman" w:hAnsi="Times New Roman"/>
          <w:color w:val="auto"/>
          <w:sz w:val="26"/>
          <w:szCs w:val="26"/>
        </w:rPr>
        <w:br/>
      </w:r>
      <w:r w:rsidRPr="000938FD">
        <w:rPr>
          <w:rFonts w:ascii="Times New Roman" w:hAnsi="Times New Roman"/>
          <w:color w:val="auto"/>
          <w:sz w:val="26"/>
          <w:szCs w:val="26"/>
        </w:rPr>
        <w:t>на снижении смертности, выравнивании доступности медицины и повышении эффективности уже созданной инфраструктуры.</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Образование.</w:t>
      </w:r>
      <w:r w:rsidRPr="00FE40FE">
        <w:rPr>
          <w:rFonts w:ascii="Times New Roman" w:hAnsi="Times New Roman"/>
          <w:color w:val="auto"/>
        </w:rPr>
        <w:t xml:space="preserve"> </w:t>
      </w:r>
      <w:r w:rsidRPr="000938FD">
        <w:rPr>
          <w:rFonts w:ascii="Times New Roman" w:hAnsi="Times New Roman"/>
          <w:color w:val="auto"/>
          <w:sz w:val="26"/>
          <w:szCs w:val="26"/>
        </w:rPr>
        <w:t>Сфера образования демонстрирует стабильно высокие результаты, являясь одним из ключевых конкурентных преимуществ региона.</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Дошкольное образование:</w:t>
      </w:r>
      <w:r w:rsidR="00510082">
        <w:rPr>
          <w:rFonts w:ascii="Times New Roman" w:hAnsi="Times New Roman"/>
          <w:color w:val="auto"/>
          <w:sz w:val="26"/>
          <w:szCs w:val="26"/>
        </w:rPr>
        <w:t xml:space="preserve"> </w:t>
      </w:r>
      <w:r w:rsidRPr="000938FD">
        <w:rPr>
          <w:rFonts w:ascii="Times New Roman" w:hAnsi="Times New Roman"/>
          <w:color w:val="auto"/>
          <w:sz w:val="26"/>
          <w:szCs w:val="26"/>
        </w:rPr>
        <w:t xml:space="preserve">обеспеченность местами в дошкольных образовательных организациях в расчете на 1 тыс. детей 0 – 7 лет постоянно </w:t>
      </w:r>
      <w:r w:rsidRPr="000938FD">
        <w:rPr>
          <w:rFonts w:ascii="Times New Roman" w:hAnsi="Times New Roman"/>
          <w:color w:val="auto"/>
          <w:sz w:val="26"/>
          <w:szCs w:val="26"/>
        </w:rPr>
        <w:lastRenderedPageBreak/>
        <w:t>увеличивалась и составила в 2024 году 833 места, что соответствует выполнению целевого значения на 110,9%.</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На начало 2025/2026 учебного года в Томской области действовало:</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289 общеобразовательных организаций, общая численность обучающихся составляла 126 082 человека;</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27 профессиональных образовательных организаций (ПОО) и 10</w:t>
      </w:r>
      <w:r w:rsidR="00800098" w:rsidRPr="000938FD">
        <w:rPr>
          <w:rFonts w:ascii="Times New Roman" w:hAnsi="Times New Roman"/>
          <w:color w:val="auto"/>
          <w:sz w:val="26"/>
          <w:szCs w:val="26"/>
          <w:lang w:val="en-US"/>
        </w:rPr>
        <w:t> </w:t>
      </w:r>
      <w:r w:rsidR="00800098" w:rsidRPr="000938FD">
        <w:rPr>
          <w:rFonts w:ascii="Times New Roman" w:hAnsi="Times New Roman"/>
          <w:color w:val="auto"/>
          <w:sz w:val="26"/>
          <w:szCs w:val="26"/>
        </w:rPr>
        <w:t xml:space="preserve">филиалов ПОО, а также 3 образовательные организации высшего образования (далее </w:t>
      </w:r>
      <w:r>
        <w:rPr>
          <w:rFonts w:ascii="Times New Roman" w:hAnsi="Times New Roman"/>
          <w:color w:val="auto"/>
          <w:sz w:val="26"/>
          <w:szCs w:val="26"/>
        </w:rPr>
        <w:t>–</w:t>
      </w:r>
      <w:r w:rsidR="00800098" w:rsidRPr="000938FD">
        <w:rPr>
          <w:rFonts w:ascii="Times New Roman" w:hAnsi="Times New Roman"/>
          <w:color w:val="auto"/>
          <w:sz w:val="26"/>
          <w:szCs w:val="26"/>
        </w:rPr>
        <w:t xml:space="preserve"> ОО ВО) и 2 филиала ОО ВО; общая численность студентов </w:t>
      </w:r>
      <w:r>
        <w:rPr>
          <w:rFonts w:ascii="Times New Roman" w:hAnsi="Times New Roman"/>
          <w:color w:val="auto"/>
          <w:sz w:val="26"/>
          <w:szCs w:val="26"/>
        </w:rPr>
        <w:t>–</w:t>
      </w:r>
      <w:r w:rsidR="00800098" w:rsidRPr="000938FD">
        <w:rPr>
          <w:rFonts w:ascii="Times New Roman" w:hAnsi="Times New Roman"/>
          <w:color w:val="auto"/>
          <w:sz w:val="26"/>
          <w:szCs w:val="26"/>
        </w:rPr>
        <w:t xml:space="preserve"> 27</w:t>
      </w:r>
      <w:r w:rsidR="00800098" w:rsidRPr="000938FD">
        <w:rPr>
          <w:rFonts w:ascii="Times New Roman" w:hAnsi="Times New Roman"/>
          <w:color w:val="auto"/>
          <w:sz w:val="26"/>
          <w:szCs w:val="26"/>
          <w:lang w:val="en-US"/>
        </w:rPr>
        <w:t> </w:t>
      </w:r>
      <w:r w:rsidR="00800098" w:rsidRPr="000938FD">
        <w:rPr>
          <w:rFonts w:ascii="Times New Roman" w:hAnsi="Times New Roman"/>
          <w:color w:val="auto"/>
          <w:sz w:val="26"/>
          <w:szCs w:val="26"/>
        </w:rPr>
        <w:t>490</w:t>
      </w:r>
      <w:r w:rsidR="00800098" w:rsidRPr="000938FD">
        <w:rPr>
          <w:rFonts w:ascii="Times New Roman" w:hAnsi="Times New Roman"/>
          <w:color w:val="auto"/>
          <w:sz w:val="26"/>
          <w:szCs w:val="26"/>
          <w:lang w:val="en-US"/>
        </w:rPr>
        <w:t> </w:t>
      </w:r>
      <w:r w:rsidR="00800098" w:rsidRPr="000938FD">
        <w:rPr>
          <w:rFonts w:ascii="Times New Roman" w:hAnsi="Times New Roman"/>
          <w:color w:val="auto"/>
          <w:sz w:val="26"/>
          <w:szCs w:val="26"/>
        </w:rPr>
        <w:t>человек.</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Дополнительное образование: охват обучающихся дополнительным образованием в 2024 году составил 137 353 человека (80,5%) при плане 80%, </w:t>
      </w:r>
      <w:r w:rsidR="00510082">
        <w:rPr>
          <w:rFonts w:ascii="Times New Roman" w:hAnsi="Times New Roman"/>
          <w:color w:val="auto"/>
          <w:sz w:val="26"/>
          <w:szCs w:val="26"/>
        </w:rPr>
        <w:br/>
      </w:r>
      <w:r w:rsidRPr="000938FD">
        <w:rPr>
          <w:rFonts w:ascii="Times New Roman" w:hAnsi="Times New Roman"/>
          <w:color w:val="auto"/>
          <w:sz w:val="26"/>
          <w:szCs w:val="26"/>
        </w:rPr>
        <w:t xml:space="preserve">в 2025 году </w:t>
      </w:r>
      <w:r w:rsidR="00510082">
        <w:rPr>
          <w:rFonts w:ascii="Times New Roman" w:hAnsi="Times New Roman"/>
          <w:color w:val="auto"/>
          <w:sz w:val="26"/>
          <w:szCs w:val="26"/>
        </w:rPr>
        <w:t>–</w:t>
      </w:r>
      <w:r w:rsidRPr="000938FD">
        <w:rPr>
          <w:rFonts w:ascii="Times New Roman" w:hAnsi="Times New Roman"/>
          <w:color w:val="auto"/>
          <w:sz w:val="26"/>
          <w:szCs w:val="26"/>
        </w:rPr>
        <w:t xml:space="preserve"> 81,8% (139 197 человек). Успешному выполнению поставленной цели способствовали наличие широких возможностей дополнительного образования, предоставляемого 641 образовательной организацией (2025 год), деятельность томского детского технопарка «Кванториум», создание системы выявления и поддержки детей и молодежи, проявивших выдающиеся способности, центральным элементом которой является Региональный центр развития талантов «Пульсар». </w:t>
      </w:r>
      <w:r w:rsidR="00510082">
        <w:rPr>
          <w:rFonts w:ascii="Times New Roman" w:hAnsi="Times New Roman"/>
          <w:color w:val="auto"/>
          <w:sz w:val="26"/>
          <w:szCs w:val="26"/>
        </w:rPr>
        <w:br/>
      </w:r>
      <w:r w:rsidRPr="000938FD">
        <w:rPr>
          <w:rFonts w:ascii="Times New Roman" w:hAnsi="Times New Roman"/>
          <w:color w:val="auto"/>
          <w:sz w:val="26"/>
          <w:szCs w:val="26"/>
        </w:rPr>
        <w:t>В то же время следует отметить низкий уровень участия обучающихся образовательных организаций Томской области в мероприятиях Всероссийской олимпиады по искусственному интеллекту с возможностью участия иностранных обучающихся. С 2021 по 2025 год в олимпиаде приняли участие всего 497</w:t>
      </w:r>
      <w:r w:rsidRPr="000938FD">
        <w:rPr>
          <w:rFonts w:ascii="Times New Roman" w:hAnsi="Times New Roman"/>
          <w:color w:val="auto"/>
          <w:sz w:val="26"/>
          <w:szCs w:val="26"/>
          <w:lang w:val="en-US"/>
        </w:rPr>
        <w:t> </w:t>
      </w:r>
      <w:r w:rsidRPr="000938FD">
        <w:rPr>
          <w:rFonts w:ascii="Times New Roman" w:hAnsi="Times New Roman"/>
          <w:color w:val="auto"/>
          <w:sz w:val="26"/>
          <w:szCs w:val="26"/>
        </w:rPr>
        <w:t>учащихся из Томской области. Это отставание должно быть преодолено на следующем этапе стратегического планирования.</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Высшее образование</w:t>
      </w:r>
      <w:r w:rsidRPr="00FE40FE">
        <w:rPr>
          <w:rFonts w:ascii="Times New Roman" w:hAnsi="Times New Roman"/>
          <w:color w:val="auto"/>
        </w:rPr>
        <w:t>.</w:t>
      </w:r>
      <w:r w:rsidRPr="000938FD">
        <w:rPr>
          <w:rFonts w:ascii="Times New Roman" w:hAnsi="Times New Roman"/>
          <w:color w:val="auto"/>
          <w:sz w:val="26"/>
          <w:szCs w:val="26"/>
        </w:rPr>
        <w:t xml:space="preserve"> В рамках реализации Стратегии</w:t>
      </w:r>
      <w:r w:rsidRPr="000938FD">
        <w:rPr>
          <w:rFonts w:ascii="Times New Roman" w:hAnsi="Times New Roman"/>
          <w:color w:val="auto"/>
          <w:sz w:val="26"/>
          <w:szCs w:val="26"/>
        </w:rPr>
        <w:noBreakHyphen/>
        <w:t xml:space="preserve">2030 в Томской области обеспечено внедрение новых федеральных государственных образовательных стандартов и сформирована система высшего образования </w:t>
      </w:r>
      <w:r w:rsidRPr="000938FD">
        <w:rPr>
          <w:rFonts w:ascii="Times New Roman" w:hAnsi="Times New Roman"/>
          <w:color w:val="auto"/>
          <w:sz w:val="26"/>
          <w:szCs w:val="26"/>
        </w:rPr>
        <w:br/>
        <w:t xml:space="preserve">с выраженной инженерной направленностью: доля инженерных направлений </w:t>
      </w:r>
      <w:r w:rsidR="00510082">
        <w:rPr>
          <w:rFonts w:ascii="Times New Roman" w:hAnsi="Times New Roman"/>
          <w:color w:val="auto"/>
          <w:sz w:val="26"/>
          <w:szCs w:val="26"/>
        </w:rPr>
        <w:br/>
      </w:r>
      <w:r w:rsidRPr="000938FD">
        <w:rPr>
          <w:rFonts w:ascii="Times New Roman" w:hAnsi="Times New Roman"/>
          <w:color w:val="auto"/>
          <w:sz w:val="26"/>
          <w:szCs w:val="26"/>
        </w:rPr>
        <w:t>в структуре бюджетного приема достигла 60% (6 047 мест из 12 223), что является одним из самых высоких показателей в Сибирском федеральном округе. На базе томских университетов создана профильная инфраструктура подготовки кадров для приоритетных отра</w:t>
      </w:r>
      <w:r w:rsidR="00510082">
        <w:rPr>
          <w:rFonts w:ascii="Times New Roman" w:hAnsi="Times New Roman"/>
          <w:color w:val="auto"/>
          <w:sz w:val="26"/>
          <w:szCs w:val="26"/>
        </w:rPr>
        <w:t>слей –</w:t>
      </w:r>
      <w:r w:rsidRPr="000938FD">
        <w:rPr>
          <w:rFonts w:ascii="Times New Roman" w:hAnsi="Times New Roman"/>
          <w:color w:val="auto"/>
          <w:sz w:val="26"/>
          <w:szCs w:val="26"/>
        </w:rPr>
        <w:t xml:space="preserve"> химии и новых материалов, микро</w:t>
      </w:r>
      <w:r w:rsidRPr="000938FD">
        <w:rPr>
          <w:rFonts w:ascii="Times New Roman" w:hAnsi="Times New Roman"/>
          <w:color w:val="auto"/>
          <w:sz w:val="26"/>
          <w:szCs w:val="26"/>
        </w:rPr>
        <w:noBreakHyphen/>
        <w:t xml:space="preserve"> и наноэлектроники, ядерных и водородных технологий, агробиотехнологий, беспилотных систем и цифровой экономики, включающая Центр опережающей профессиональной подготовки НИ ТГУ по новым материалам и химии, Центр ГК «Росатом» в НИ ТПУ, центры промышленной робототехники и СВЧ</w:t>
      </w:r>
      <w:r w:rsidRPr="000938FD">
        <w:rPr>
          <w:rFonts w:ascii="Times New Roman" w:hAnsi="Times New Roman"/>
          <w:color w:val="auto"/>
          <w:sz w:val="26"/>
          <w:szCs w:val="26"/>
        </w:rPr>
        <w:noBreakHyphen/>
        <w:t xml:space="preserve">электроники, а также три передовые инженерные школы («Агробиотек», «Электронное приборостроение </w:t>
      </w:r>
      <w:r w:rsidRPr="000938FD">
        <w:rPr>
          <w:rFonts w:ascii="Times New Roman" w:hAnsi="Times New Roman"/>
          <w:color w:val="auto"/>
          <w:sz w:val="26"/>
          <w:szCs w:val="26"/>
        </w:rPr>
        <w:br/>
        <w:t>и системы связи», «Интеллектуальные энергетические системы»), обеспечивающие реализацию десятков новых образовательных программ и подготовку тысяч специалистов под запросы крупной промышленности и инвестиционных проектов региона. Успешно развивается модель территориальной интеграции научно</w:t>
      </w:r>
      <w:r w:rsidRPr="000938FD">
        <w:rPr>
          <w:rFonts w:ascii="Times New Roman" w:hAnsi="Times New Roman"/>
          <w:color w:val="auto"/>
          <w:sz w:val="26"/>
          <w:szCs w:val="26"/>
        </w:rPr>
        <w:noBreakHyphen/>
        <w:t>образовательного комплекса «Большой Томский университет», начата реализация проекта Межуниверситетского многофункционального студенческого кампуса, расширены практики инклюзивного образования, формирующие доступную образовательную среду для всех обучающихся.</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Подготовку кадров по образовательным программам бакалавриата, специалитета, магистратуры на территории Томской области осуществляют 9</w:t>
      </w:r>
      <w:r w:rsidRPr="000938FD">
        <w:rPr>
          <w:rFonts w:ascii="Times New Roman" w:hAnsi="Times New Roman"/>
          <w:color w:val="auto"/>
          <w:sz w:val="26"/>
          <w:szCs w:val="26"/>
          <w:lang w:val="en-US"/>
        </w:rPr>
        <w:t> </w:t>
      </w:r>
      <w:r w:rsidRPr="000938FD">
        <w:rPr>
          <w:rFonts w:ascii="Times New Roman" w:hAnsi="Times New Roman"/>
          <w:color w:val="auto"/>
          <w:sz w:val="26"/>
          <w:szCs w:val="26"/>
        </w:rPr>
        <w:t>образовательных организаций высшего образования, в том числе 7</w:t>
      </w:r>
      <w:r w:rsidRPr="000938FD">
        <w:rPr>
          <w:rFonts w:ascii="Times New Roman" w:hAnsi="Times New Roman"/>
          <w:color w:val="auto"/>
          <w:sz w:val="26"/>
          <w:szCs w:val="26"/>
          <w:lang w:val="en-US"/>
        </w:rPr>
        <w:t> </w:t>
      </w:r>
      <w:r w:rsidRPr="000938FD">
        <w:rPr>
          <w:rFonts w:ascii="Times New Roman" w:hAnsi="Times New Roman"/>
          <w:color w:val="auto"/>
          <w:sz w:val="26"/>
          <w:szCs w:val="26"/>
        </w:rPr>
        <w:t>самостоятельных организаций и 2 филиала. Томская область занимает 2-е</w:t>
      </w:r>
      <w:r w:rsidRPr="000938FD">
        <w:rPr>
          <w:rFonts w:ascii="Times New Roman" w:hAnsi="Times New Roman"/>
          <w:color w:val="auto"/>
          <w:sz w:val="26"/>
          <w:szCs w:val="26"/>
          <w:lang w:val="en-US"/>
        </w:rPr>
        <w:t> </w:t>
      </w:r>
      <w:r w:rsidRPr="000938FD">
        <w:rPr>
          <w:rFonts w:ascii="Times New Roman" w:hAnsi="Times New Roman"/>
          <w:color w:val="auto"/>
          <w:sz w:val="26"/>
          <w:szCs w:val="26"/>
        </w:rPr>
        <w:t xml:space="preserve">место </w:t>
      </w:r>
      <w:r w:rsidR="00510082">
        <w:rPr>
          <w:rFonts w:ascii="Times New Roman" w:hAnsi="Times New Roman"/>
          <w:color w:val="auto"/>
          <w:sz w:val="26"/>
          <w:szCs w:val="26"/>
        </w:rPr>
        <w:br/>
      </w:r>
      <w:r w:rsidRPr="000938FD">
        <w:rPr>
          <w:rFonts w:ascii="Times New Roman" w:hAnsi="Times New Roman"/>
          <w:color w:val="auto"/>
          <w:sz w:val="26"/>
          <w:szCs w:val="26"/>
        </w:rPr>
        <w:t xml:space="preserve">в Российской Федерации по числу студентов вузов на 10 тыс. жителей. </w:t>
      </w:r>
      <w:r w:rsidR="00510082">
        <w:rPr>
          <w:rFonts w:ascii="Times New Roman" w:hAnsi="Times New Roman"/>
          <w:color w:val="auto"/>
          <w:sz w:val="26"/>
          <w:szCs w:val="26"/>
        </w:rPr>
        <w:br/>
      </w:r>
      <w:r w:rsidRPr="000938FD">
        <w:rPr>
          <w:rFonts w:ascii="Times New Roman" w:hAnsi="Times New Roman"/>
          <w:color w:val="auto"/>
          <w:sz w:val="26"/>
          <w:szCs w:val="26"/>
        </w:rPr>
        <w:lastRenderedPageBreak/>
        <w:t xml:space="preserve">В 2025/2026 учебном году численность студентов увеличилась до 69 280 человек, при этом на бюджетной основе высшее образование получают 59% студентов. </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настоящее время подготовка специалистов осуществляется </w:t>
      </w:r>
      <w:r w:rsidR="00510082">
        <w:rPr>
          <w:rFonts w:ascii="Times New Roman" w:hAnsi="Times New Roman"/>
          <w:color w:val="auto"/>
          <w:sz w:val="26"/>
          <w:szCs w:val="26"/>
        </w:rPr>
        <w:br/>
      </w:r>
      <w:r w:rsidRPr="000938FD">
        <w:rPr>
          <w:rFonts w:ascii="Times New Roman" w:hAnsi="Times New Roman"/>
          <w:color w:val="auto"/>
          <w:sz w:val="26"/>
          <w:szCs w:val="26"/>
        </w:rPr>
        <w:t xml:space="preserve">по 49 укрупненным группам специальностей и направлений (УГСН), среди которых преобладают «Информатика и вычислительная техника» (10,7%), «Экономика и управление» (9,8%), «Образование и педагогические науки» (8,9%), «Клиническая медицина» (8,3%). Предстоящая диверсификация экономики, предполагающая переход на глубокую переработку ресурсов, рост высокотехнологичных и наукоемких отраслей, потребует изменения структуры подготовки специалистов </w:t>
      </w:r>
      <w:r w:rsidR="00510082">
        <w:rPr>
          <w:rFonts w:ascii="Times New Roman" w:hAnsi="Times New Roman"/>
          <w:color w:val="auto"/>
          <w:sz w:val="26"/>
          <w:szCs w:val="26"/>
        </w:rPr>
        <w:br/>
      </w:r>
      <w:r w:rsidRPr="000938FD">
        <w:rPr>
          <w:rFonts w:ascii="Times New Roman" w:hAnsi="Times New Roman"/>
          <w:color w:val="auto"/>
          <w:sz w:val="26"/>
          <w:szCs w:val="26"/>
        </w:rPr>
        <w:t xml:space="preserve">в системе высшего образования. Если подготовка инженерных кадров осуществляется по 20 УГСН, относящихся к области наук «Инженерное дело, технологии и технические науки», и охватывает 45,4% контингента обучающихся, то по направлениям, связанным информационными технологиями </w:t>
      </w:r>
      <w:r w:rsidR="00510082">
        <w:rPr>
          <w:rFonts w:ascii="Times New Roman" w:hAnsi="Times New Roman"/>
          <w:color w:val="auto"/>
          <w:sz w:val="26"/>
          <w:szCs w:val="26"/>
        </w:rPr>
        <w:t>–</w:t>
      </w:r>
      <w:r w:rsidRPr="000938FD">
        <w:rPr>
          <w:rFonts w:ascii="Times New Roman" w:hAnsi="Times New Roman"/>
          <w:color w:val="auto"/>
          <w:sz w:val="26"/>
          <w:szCs w:val="26"/>
        </w:rPr>
        <w:t xml:space="preserve"> 12,7%, </w:t>
      </w:r>
      <w:r w:rsidR="00510082">
        <w:rPr>
          <w:rFonts w:ascii="Times New Roman" w:hAnsi="Times New Roman"/>
          <w:color w:val="auto"/>
          <w:sz w:val="26"/>
          <w:szCs w:val="26"/>
        </w:rPr>
        <w:br/>
      </w:r>
      <w:r w:rsidRPr="000938FD">
        <w:rPr>
          <w:rFonts w:ascii="Times New Roman" w:hAnsi="Times New Roman"/>
          <w:color w:val="auto"/>
          <w:sz w:val="26"/>
          <w:szCs w:val="26"/>
        </w:rPr>
        <w:t xml:space="preserve">а по направлениям экологического профиля </w:t>
      </w:r>
      <w:r w:rsidR="00510082">
        <w:rPr>
          <w:rFonts w:ascii="Times New Roman" w:hAnsi="Times New Roman"/>
          <w:color w:val="auto"/>
          <w:sz w:val="26"/>
          <w:szCs w:val="26"/>
        </w:rPr>
        <w:t>–</w:t>
      </w:r>
      <w:r w:rsidRPr="000938FD">
        <w:rPr>
          <w:rFonts w:ascii="Times New Roman" w:hAnsi="Times New Roman"/>
          <w:color w:val="auto"/>
          <w:sz w:val="26"/>
          <w:szCs w:val="26"/>
        </w:rPr>
        <w:t xml:space="preserve"> только 3,3%.</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2025 году профессорско-преподавательский состав вузов насчитывал </w:t>
      </w:r>
      <w:r w:rsidR="00510082">
        <w:rPr>
          <w:rFonts w:ascii="Times New Roman" w:hAnsi="Times New Roman"/>
          <w:color w:val="auto"/>
          <w:sz w:val="26"/>
          <w:szCs w:val="26"/>
        </w:rPr>
        <w:br/>
      </w:r>
      <w:r w:rsidRPr="000938FD">
        <w:rPr>
          <w:rFonts w:ascii="Times New Roman" w:hAnsi="Times New Roman"/>
          <w:color w:val="auto"/>
          <w:sz w:val="26"/>
          <w:szCs w:val="26"/>
        </w:rPr>
        <w:t xml:space="preserve">3 494 специалиста, из них 70,6% имели ученые степени доктора наук и кандидата наук. Программы подготовки научных и научно-педагогических кадров в 2024 году охватывали 2 466 человек. Данный показатель в период 2020 </w:t>
      </w:r>
      <w:r w:rsidR="000C50E8">
        <w:rPr>
          <w:rFonts w:ascii="Times New Roman" w:hAnsi="Times New Roman"/>
          <w:color w:val="auto"/>
          <w:sz w:val="26"/>
          <w:szCs w:val="26"/>
        </w:rPr>
        <w:t>–</w:t>
      </w:r>
      <w:r w:rsidRPr="000938FD">
        <w:rPr>
          <w:rFonts w:ascii="Times New Roman" w:hAnsi="Times New Roman"/>
          <w:color w:val="auto"/>
          <w:sz w:val="26"/>
          <w:szCs w:val="26"/>
        </w:rPr>
        <w:t xml:space="preserve"> 2024 годов показывал положительную динамику в отличие от показателя подготовки в докторантуре, который имел нестабильные значения от 5 до 26 человек (2024 год </w:t>
      </w:r>
      <w:r w:rsidR="00510082">
        <w:rPr>
          <w:rFonts w:ascii="Times New Roman" w:hAnsi="Times New Roman"/>
          <w:color w:val="auto"/>
          <w:sz w:val="26"/>
          <w:szCs w:val="26"/>
        </w:rPr>
        <w:t>–</w:t>
      </w:r>
      <w:r w:rsidRPr="000938FD">
        <w:rPr>
          <w:rFonts w:ascii="Times New Roman" w:hAnsi="Times New Roman"/>
          <w:color w:val="auto"/>
          <w:sz w:val="26"/>
          <w:szCs w:val="26"/>
        </w:rPr>
        <w:t xml:space="preserve"> 19).</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Индекс уровня образования в 2024 году достиг 80,6% при плановом значении 61,8%, что отражает высокий человеческий потенциал региона. Изменения методики расчета в 2025 году привели к некоторому снижению индекса (70,5%), </w:t>
      </w:r>
      <w:r w:rsidR="00510082">
        <w:rPr>
          <w:rFonts w:ascii="Times New Roman" w:hAnsi="Times New Roman"/>
          <w:color w:val="auto"/>
          <w:sz w:val="26"/>
          <w:szCs w:val="26"/>
        </w:rPr>
        <w:br/>
      </w:r>
      <w:r w:rsidRPr="000938FD">
        <w:rPr>
          <w:rFonts w:ascii="Times New Roman" w:hAnsi="Times New Roman"/>
          <w:color w:val="auto"/>
          <w:sz w:val="26"/>
          <w:szCs w:val="26"/>
        </w:rPr>
        <w:t>что требует корректной интерпретации показателя, но не меняет общей позитивной картины.</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Сфера образования является зоной опережающ</w:t>
      </w:r>
      <w:r w:rsidR="00510082">
        <w:rPr>
          <w:rFonts w:ascii="Times New Roman" w:hAnsi="Times New Roman"/>
          <w:color w:val="auto"/>
          <w:sz w:val="26"/>
          <w:szCs w:val="26"/>
        </w:rPr>
        <w:t>его достижения целей Стратегии –</w:t>
      </w:r>
      <w:r w:rsidRPr="000938FD">
        <w:rPr>
          <w:rFonts w:ascii="Times New Roman" w:hAnsi="Times New Roman"/>
          <w:color w:val="auto"/>
          <w:sz w:val="26"/>
          <w:szCs w:val="26"/>
        </w:rPr>
        <w:t xml:space="preserve"> 2030. Образование вносит решающий вклад в подготовку квалифицированных кадров для предприятий и организаций как Томской области</w:t>
      </w:r>
      <w:r w:rsidR="000C50E8">
        <w:rPr>
          <w:rFonts w:ascii="Times New Roman" w:hAnsi="Times New Roman"/>
          <w:color w:val="auto"/>
          <w:sz w:val="26"/>
          <w:szCs w:val="26"/>
        </w:rPr>
        <w:t>,</w:t>
      </w:r>
      <w:r w:rsidRPr="000938FD">
        <w:rPr>
          <w:rFonts w:ascii="Times New Roman" w:hAnsi="Times New Roman"/>
          <w:color w:val="auto"/>
          <w:sz w:val="26"/>
          <w:szCs w:val="26"/>
        </w:rPr>
        <w:t xml:space="preserve"> так и других российских регионов. Велика роль образования в формировании высоких параметров человеческого капитала Томской области.</w:t>
      </w:r>
    </w:p>
    <w:p w:rsidR="00E618FE" w:rsidRPr="000938FD" w:rsidRDefault="00E618FE">
      <w:pPr>
        <w:pStyle w:val="a4"/>
        <w:rPr>
          <w:rFonts w:ascii="Times New Roman" w:hAnsi="Times New Roman"/>
          <w:color w:val="auto"/>
          <w:sz w:val="26"/>
          <w:szCs w:val="26"/>
        </w:rPr>
      </w:pP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Физическая культура и спорт.</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 xml:space="preserve">В сфере физической культуры </w:t>
      </w:r>
      <w:r w:rsidRPr="000938FD">
        <w:rPr>
          <w:rFonts w:ascii="Times New Roman" w:hAnsi="Times New Roman"/>
          <w:color w:val="auto"/>
          <w:sz w:val="26"/>
          <w:szCs w:val="26"/>
        </w:rPr>
        <w:br/>
        <w:t>и спорта достигнуты существенные успехи. Доля граждан, систематически занимающихся спортом, выросла с 41,8% в 2020 году до 59,9% в 2024 году, досрочно превысив целевое значение 55%. В 2025 году показатель составил 58,6%; небольшое снижение связано не с падением вовлеченности, а с изменением методики, направленной на минимизацию риска двойного учета. Рост обеспечен как развитием спортивной инфраструктуры, так и повышением качества работы с населением. Это позволяет региону приблизиться к общероссийскому среднему уровню и использовать спорт как инструмент профилактики заболеваний и укрепления здоровья.</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Культура.</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Культурная политика региона обеспечила существенный прирост качества инфраструктуры и вовлеченности населения.</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В 2018 – 2024 годах</w:t>
      </w:r>
      <w:r w:rsidRPr="000938FD">
        <w:rPr>
          <w:rStyle w:val="af3"/>
          <w:rFonts w:ascii="Times New Roman" w:hAnsi="Times New Roman"/>
          <w:color w:val="auto"/>
          <w:sz w:val="26"/>
          <w:szCs w:val="26"/>
        </w:rPr>
        <w:footnoteReference w:id="8"/>
      </w:r>
      <w:r w:rsidRPr="000938FD">
        <w:rPr>
          <w:rFonts w:ascii="Times New Roman" w:hAnsi="Times New Roman"/>
          <w:color w:val="auto"/>
          <w:sz w:val="26"/>
          <w:szCs w:val="26"/>
        </w:rPr>
        <w:t xml:space="preserve"> в рамках национального проекта «Культура» </w:t>
      </w:r>
      <w:r w:rsidRPr="000938FD">
        <w:rPr>
          <w:rFonts w:ascii="Times New Roman" w:hAnsi="Times New Roman"/>
          <w:color w:val="auto"/>
          <w:sz w:val="26"/>
          <w:szCs w:val="26"/>
        </w:rPr>
        <w:br/>
        <w:t xml:space="preserve">и регионального проекта «Культурная среда» капитально отремонтировано </w:t>
      </w:r>
      <w:r w:rsidR="00510082">
        <w:rPr>
          <w:rFonts w:ascii="Times New Roman" w:hAnsi="Times New Roman"/>
          <w:color w:val="auto"/>
          <w:sz w:val="26"/>
          <w:szCs w:val="26"/>
        </w:rPr>
        <w:br/>
      </w:r>
      <w:r w:rsidRPr="000938FD">
        <w:rPr>
          <w:rFonts w:ascii="Times New Roman" w:hAnsi="Times New Roman"/>
          <w:color w:val="auto"/>
          <w:sz w:val="26"/>
          <w:szCs w:val="26"/>
        </w:rPr>
        <w:lastRenderedPageBreak/>
        <w:t xml:space="preserve">38 объектов (плановое значение на 2024 год </w:t>
      </w:r>
      <w:r w:rsidR="00510082">
        <w:rPr>
          <w:rFonts w:ascii="Times New Roman" w:hAnsi="Times New Roman"/>
          <w:color w:val="auto"/>
          <w:sz w:val="26"/>
          <w:szCs w:val="26"/>
        </w:rPr>
        <w:t>–</w:t>
      </w:r>
      <w:r w:rsidRPr="000938FD">
        <w:rPr>
          <w:rFonts w:ascii="Times New Roman" w:hAnsi="Times New Roman"/>
          <w:color w:val="auto"/>
          <w:sz w:val="26"/>
          <w:szCs w:val="26"/>
        </w:rPr>
        <w:t xml:space="preserve"> 22). Целевой показатель выполнен </w:t>
      </w:r>
      <w:r w:rsidR="00510082">
        <w:rPr>
          <w:rFonts w:ascii="Times New Roman" w:hAnsi="Times New Roman"/>
          <w:color w:val="auto"/>
          <w:sz w:val="26"/>
          <w:szCs w:val="26"/>
        </w:rPr>
        <w:br/>
      </w:r>
      <w:r w:rsidRPr="000938FD">
        <w:rPr>
          <w:rFonts w:ascii="Times New Roman" w:hAnsi="Times New Roman"/>
          <w:color w:val="auto"/>
          <w:sz w:val="26"/>
          <w:szCs w:val="26"/>
        </w:rPr>
        <w:t xml:space="preserve">на 172%. В 2025 году </w:t>
      </w:r>
      <w:r w:rsidR="00510082">
        <w:rPr>
          <w:rFonts w:ascii="Times New Roman" w:hAnsi="Times New Roman"/>
          <w:color w:val="auto"/>
          <w:sz w:val="26"/>
          <w:szCs w:val="26"/>
        </w:rPr>
        <w:t>–</w:t>
      </w:r>
      <w:r w:rsidRPr="000938FD">
        <w:rPr>
          <w:rFonts w:ascii="Times New Roman" w:hAnsi="Times New Roman"/>
          <w:color w:val="auto"/>
          <w:sz w:val="26"/>
          <w:szCs w:val="26"/>
        </w:rPr>
        <w:t xml:space="preserve"> нарастающим итогом уже 40 отремонтированных объектов. Несмотря на превышение целевого значения, проблема неудовлетворительного состояния объектов сферы культуры остается достаточно значимой, особенно остро она проявляется в муниципальных районах.</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Посещаемость культурных мероприятий выросла на 70% с 2021</w:t>
      </w:r>
      <w:r w:rsidRPr="000938FD">
        <w:rPr>
          <w:rStyle w:val="af3"/>
          <w:rFonts w:ascii="Times New Roman" w:hAnsi="Times New Roman"/>
          <w:color w:val="auto"/>
          <w:sz w:val="26"/>
          <w:szCs w:val="26"/>
        </w:rPr>
        <w:footnoteReference w:id="9"/>
      </w:r>
      <w:r w:rsidRPr="000938FD">
        <w:rPr>
          <w:rFonts w:ascii="Times New Roman" w:hAnsi="Times New Roman"/>
          <w:color w:val="auto"/>
          <w:sz w:val="26"/>
          <w:szCs w:val="26"/>
        </w:rPr>
        <w:t xml:space="preserve"> </w:t>
      </w:r>
      <w:r w:rsidRPr="000938FD">
        <w:rPr>
          <w:rFonts w:ascii="Times New Roman" w:hAnsi="Times New Roman"/>
          <w:color w:val="auto"/>
          <w:sz w:val="26"/>
          <w:szCs w:val="26"/>
        </w:rPr>
        <w:br/>
        <w:t xml:space="preserve">по 2024 год, достигнув 18,5 млн посещений при плане 16,2 млн (целевое значение достигнуто); в 2025 году </w:t>
      </w:r>
      <w:r w:rsidR="00510082">
        <w:rPr>
          <w:rFonts w:ascii="Times New Roman" w:hAnsi="Times New Roman"/>
          <w:color w:val="auto"/>
          <w:sz w:val="26"/>
          <w:szCs w:val="26"/>
        </w:rPr>
        <w:t>–</w:t>
      </w:r>
      <w:r w:rsidRPr="000938FD">
        <w:rPr>
          <w:rFonts w:ascii="Times New Roman" w:hAnsi="Times New Roman"/>
          <w:color w:val="auto"/>
          <w:sz w:val="26"/>
          <w:szCs w:val="26"/>
        </w:rPr>
        <w:t xml:space="preserve"> 19,2 млн посещений.</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Рост обеспечен не только традиционными культурными форматами, но и новыми практиками:</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системой виртуальных концертных залов во всех городах;</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проведением всероссийских и международных фестивалей;</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проектам</w:t>
      </w:r>
      <w:r>
        <w:rPr>
          <w:rFonts w:ascii="Times New Roman" w:hAnsi="Times New Roman"/>
          <w:color w:val="auto"/>
          <w:sz w:val="26"/>
          <w:szCs w:val="26"/>
        </w:rPr>
        <w:t>и «новой культурной географии» –</w:t>
      </w:r>
      <w:r w:rsidR="00800098" w:rsidRPr="000938FD">
        <w:rPr>
          <w:rFonts w:ascii="Times New Roman" w:hAnsi="Times New Roman"/>
          <w:color w:val="auto"/>
          <w:sz w:val="26"/>
          <w:szCs w:val="26"/>
        </w:rPr>
        <w:t xml:space="preserve"> общедоступные мероприятия </w:t>
      </w:r>
      <w:r>
        <w:rPr>
          <w:rFonts w:ascii="Times New Roman" w:hAnsi="Times New Roman"/>
          <w:color w:val="auto"/>
          <w:sz w:val="26"/>
          <w:szCs w:val="26"/>
        </w:rPr>
        <w:br/>
      </w:r>
      <w:r w:rsidR="00800098" w:rsidRPr="000938FD">
        <w:rPr>
          <w:rFonts w:ascii="Times New Roman" w:hAnsi="Times New Roman"/>
          <w:color w:val="auto"/>
          <w:sz w:val="26"/>
          <w:szCs w:val="26"/>
        </w:rPr>
        <w:t>в городских пространствах.</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Молодежная политика и добровольчество.</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 xml:space="preserve">Томская область выстроила современную инфраструктуру поддержки молодежи и добровольчества. В рамках Президентской программы «Регион для молодых» национального проекта «Молодежь и дети» открыты 4 современных молодежных центра (г. Томск, </w:t>
      </w:r>
      <w:r w:rsidR="00510082">
        <w:rPr>
          <w:rFonts w:ascii="Times New Roman" w:hAnsi="Times New Roman"/>
          <w:color w:val="auto"/>
          <w:sz w:val="26"/>
          <w:szCs w:val="26"/>
        </w:rPr>
        <w:br/>
      </w:r>
      <w:r w:rsidRPr="000938FD">
        <w:rPr>
          <w:rFonts w:ascii="Times New Roman" w:hAnsi="Times New Roman"/>
          <w:color w:val="auto"/>
          <w:sz w:val="26"/>
          <w:szCs w:val="26"/>
        </w:rPr>
        <w:t>г. Колпашево, г. Стрежевой, р.п. Белый яр).</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Ведется деятельность молодежного объединения сообществ Томской области («МОСТ»), проектного офиса по сопровождению грантов, Ресурсного центра добровольчества и др.</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С целью предупреждения деструктивных проявлений в молодежной среде </w:t>
      </w:r>
      <w:r w:rsidR="00510082">
        <w:rPr>
          <w:rFonts w:ascii="Times New Roman" w:hAnsi="Times New Roman"/>
          <w:color w:val="auto"/>
          <w:sz w:val="26"/>
          <w:szCs w:val="26"/>
        </w:rPr>
        <w:br/>
      </w:r>
      <w:r w:rsidRPr="000938FD">
        <w:rPr>
          <w:rFonts w:ascii="Times New Roman" w:hAnsi="Times New Roman"/>
          <w:color w:val="auto"/>
          <w:sz w:val="26"/>
          <w:szCs w:val="26"/>
        </w:rPr>
        <w:t>в июне 2025 года открыт региональный Центр информационной безопасности молодежи Томской области, который занимается как комплексным мониторингом интернет-пространства, так и выстраиванием новой системы профилактики совместно со всем правоохранительным блоком Томской области.</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Индикатор «Доля молодежи 14 – 35 лет, положительно оценивающей возможности для самореализации в регио</w:t>
      </w:r>
      <w:r w:rsidR="00510082">
        <w:rPr>
          <w:rFonts w:ascii="Times New Roman" w:hAnsi="Times New Roman"/>
          <w:color w:val="auto"/>
          <w:sz w:val="26"/>
          <w:szCs w:val="26"/>
        </w:rPr>
        <w:t xml:space="preserve">не» в 2020 году составлял 47%, </w:t>
      </w:r>
      <w:r w:rsidR="00510082">
        <w:rPr>
          <w:rFonts w:ascii="Times New Roman" w:hAnsi="Times New Roman"/>
          <w:color w:val="auto"/>
          <w:sz w:val="26"/>
          <w:szCs w:val="26"/>
        </w:rPr>
        <w:br/>
      </w:r>
      <w:r w:rsidRPr="000938FD">
        <w:rPr>
          <w:rFonts w:ascii="Times New Roman" w:hAnsi="Times New Roman"/>
          <w:color w:val="auto"/>
          <w:sz w:val="26"/>
          <w:szCs w:val="26"/>
        </w:rPr>
        <w:t xml:space="preserve">а в 2024 году уже 65%. В 2025 году значение показателя несколько снизилось </w:t>
      </w:r>
      <w:r w:rsidR="00510082">
        <w:rPr>
          <w:rFonts w:ascii="Times New Roman" w:hAnsi="Times New Roman"/>
          <w:color w:val="auto"/>
          <w:sz w:val="26"/>
          <w:szCs w:val="26"/>
        </w:rPr>
        <w:br/>
      </w:r>
      <w:r w:rsidRPr="000938FD">
        <w:rPr>
          <w:rFonts w:ascii="Times New Roman" w:hAnsi="Times New Roman"/>
          <w:color w:val="auto"/>
          <w:sz w:val="26"/>
          <w:szCs w:val="26"/>
        </w:rPr>
        <w:t>до 55%, но тем не менее привесило значение 2020 года.</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Добровольчество</w:t>
      </w:r>
      <w:r w:rsidRPr="000938FD">
        <w:rPr>
          <w:rFonts w:ascii="Times New Roman" w:hAnsi="Times New Roman"/>
          <w:color w:val="auto"/>
          <w:sz w:val="26"/>
          <w:szCs w:val="26"/>
        </w:rPr>
        <w:t xml:space="preserve"> стало одной из сильных сторон региона: численность граждан, вовлеченных в добровольческую деятельность, выросла с 36,4 тыс. </w:t>
      </w:r>
      <w:r w:rsidR="00510082">
        <w:rPr>
          <w:rFonts w:ascii="Times New Roman" w:hAnsi="Times New Roman"/>
          <w:color w:val="auto"/>
          <w:sz w:val="26"/>
          <w:szCs w:val="26"/>
        </w:rPr>
        <w:br/>
      </w:r>
      <w:r w:rsidRPr="000938FD">
        <w:rPr>
          <w:rFonts w:ascii="Times New Roman" w:hAnsi="Times New Roman"/>
          <w:color w:val="auto"/>
          <w:sz w:val="26"/>
          <w:szCs w:val="26"/>
        </w:rPr>
        <w:t>в</w:t>
      </w:r>
      <w:r w:rsidRPr="000938FD">
        <w:rPr>
          <w:rFonts w:ascii="Times New Roman" w:hAnsi="Times New Roman"/>
          <w:color w:val="auto"/>
          <w:sz w:val="26"/>
          <w:szCs w:val="26"/>
          <w:lang w:val="en-US"/>
        </w:rPr>
        <w:t> </w:t>
      </w:r>
      <w:r w:rsidRPr="000938FD">
        <w:rPr>
          <w:rFonts w:ascii="Times New Roman" w:hAnsi="Times New Roman"/>
          <w:color w:val="auto"/>
          <w:sz w:val="26"/>
          <w:szCs w:val="26"/>
        </w:rPr>
        <w:t>2021 году</w:t>
      </w:r>
      <w:r w:rsidRPr="000938FD">
        <w:rPr>
          <w:rStyle w:val="af3"/>
          <w:rFonts w:ascii="Times New Roman" w:hAnsi="Times New Roman"/>
          <w:color w:val="auto"/>
          <w:sz w:val="26"/>
          <w:szCs w:val="26"/>
        </w:rPr>
        <w:footnoteReference w:id="10"/>
      </w:r>
      <w:r w:rsidRPr="000938FD">
        <w:rPr>
          <w:rFonts w:ascii="Times New Roman" w:hAnsi="Times New Roman"/>
          <w:color w:val="auto"/>
          <w:sz w:val="26"/>
          <w:szCs w:val="26"/>
        </w:rPr>
        <w:t xml:space="preserve"> до 71,98 тыс. в 2024 году при целевом значении показателя 72%, то есть фактически почти 100% выполнение. В 2025 году </w:t>
      </w:r>
      <w:r w:rsidR="00510082">
        <w:rPr>
          <w:rFonts w:ascii="Times New Roman" w:hAnsi="Times New Roman"/>
          <w:color w:val="auto"/>
          <w:sz w:val="26"/>
          <w:szCs w:val="26"/>
        </w:rPr>
        <w:t>–</w:t>
      </w:r>
      <w:r w:rsidRPr="000938FD">
        <w:rPr>
          <w:rFonts w:ascii="Times New Roman" w:hAnsi="Times New Roman"/>
          <w:color w:val="auto"/>
          <w:sz w:val="26"/>
          <w:szCs w:val="26"/>
        </w:rPr>
        <w:t xml:space="preserve"> уже 90 тыс. человек, регион занимает 1</w:t>
      </w:r>
      <w:r w:rsidRPr="000938FD">
        <w:rPr>
          <w:rFonts w:ascii="Times New Roman" w:hAnsi="Times New Roman"/>
          <w:color w:val="auto"/>
          <w:sz w:val="26"/>
          <w:szCs w:val="26"/>
        </w:rPr>
        <w:noBreakHyphen/>
        <w:t xml:space="preserve">е место в Сибирском федеральном округе по доле жителей, занятых </w:t>
      </w:r>
      <w:r w:rsidR="00510082">
        <w:rPr>
          <w:rFonts w:ascii="Times New Roman" w:hAnsi="Times New Roman"/>
          <w:color w:val="auto"/>
          <w:sz w:val="26"/>
          <w:szCs w:val="26"/>
        </w:rPr>
        <w:br/>
      </w:r>
      <w:r w:rsidRPr="000938FD">
        <w:rPr>
          <w:rFonts w:ascii="Times New Roman" w:hAnsi="Times New Roman"/>
          <w:color w:val="auto"/>
          <w:sz w:val="26"/>
          <w:szCs w:val="26"/>
        </w:rPr>
        <w:t>в добровольчестве.</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Это результат системной межведомственной работы органов власти, некоммерческих организаций, муниципалитетов и центра добровольчества.</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Занятость, рынок труда, доходы.</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Рынок труда и доходы населения демонстрируют выраженную позитивную динамику:</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безработица снизилась с 8,7% в 2020 году до 3,3% в 2024 году, что является рекордно низким уровнем и удерживается в 2025 году;</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lastRenderedPageBreak/>
        <w:t>–</w:t>
      </w:r>
      <w:r w:rsidR="00800098" w:rsidRPr="000938FD">
        <w:rPr>
          <w:rFonts w:ascii="Times New Roman" w:hAnsi="Times New Roman"/>
          <w:color w:val="auto"/>
          <w:sz w:val="26"/>
          <w:szCs w:val="26"/>
        </w:rPr>
        <w:t> среднемесячная номинальная начисленная заработная плата в период 2020–2024 годов выросла с 48 729,6 рубля до 78 524,3 рубля. В 2025 году среднемесячная номинальная начисленная зарплата составила 89 519 рублей;</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индекс реально</w:t>
      </w:r>
      <w:r>
        <w:rPr>
          <w:rFonts w:ascii="Times New Roman" w:hAnsi="Times New Roman"/>
          <w:color w:val="auto"/>
          <w:sz w:val="26"/>
          <w:szCs w:val="26"/>
        </w:rPr>
        <w:t>й заработной платы в 2024 году –</w:t>
      </w:r>
      <w:r w:rsidR="00800098" w:rsidRPr="000938FD">
        <w:rPr>
          <w:rFonts w:ascii="Times New Roman" w:hAnsi="Times New Roman"/>
          <w:color w:val="auto"/>
          <w:sz w:val="26"/>
          <w:szCs w:val="26"/>
        </w:rPr>
        <w:t xml:space="preserve"> 115,4% к 2020 году, что превышает плановое значение. Значение показателя </w:t>
      </w:r>
      <w:r>
        <w:rPr>
          <w:rFonts w:ascii="Times New Roman" w:hAnsi="Times New Roman"/>
          <w:color w:val="auto"/>
          <w:sz w:val="26"/>
          <w:szCs w:val="26"/>
        </w:rPr>
        <w:t>в 2025 году –</w:t>
      </w:r>
      <w:r w:rsidR="00800098" w:rsidRPr="000938FD">
        <w:rPr>
          <w:rFonts w:ascii="Times New Roman" w:hAnsi="Times New Roman"/>
          <w:color w:val="auto"/>
          <w:sz w:val="26"/>
          <w:szCs w:val="26"/>
        </w:rPr>
        <w:t xml:space="preserve"> 119,9%. </w:t>
      </w:r>
      <w:r>
        <w:rPr>
          <w:rFonts w:ascii="Times New Roman" w:hAnsi="Times New Roman"/>
          <w:color w:val="auto"/>
          <w:sz w:val="26"/>
          <w:szCs w:val="26"/>
        </w:rPr>
        <w:br/>
      </w:r>
      <w:r w:rsidR="00800098" w:rsidRPr="000938FD">
        <w:rPr>
          <w:rFonts w:ascii="Times New Roman" w:hAnsi="Times New Roman"/>
          <w:color w:val="auto"/>
          <w:sz w:val="26"/>
          <w:szCs w:val="26"/>
        </w:rPr>
        <w:t>В период 2021 – 2024 годов Томская область занимала четвертое место среди регионов Сибирского федерального округа по соотношению среднемесячной начисленной заработной платы работников организаций с величиной прожиточного минимума.</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Реальные располагаемые денежные доходы населения в 2024 году превысили плановое значение (106,1%) и составили 114,4% к уровню 2020 года. В период </w:t>
      </w:r>
      <w:r w:rsidR="00510082">
        <w:rPr>
          <w:rFonts w:ascii="Times New Roman" w:hAnsi="Times New Roman"/>
          <w:color w:val="auto"/>
          <w:sz w:val="26"/>
          <w:szCs w:val="26"/>
        </w:rPr>
        <w:br/>
      </w:r>
      <w:r w:rsidRPr="000938FD">
        <w:rPr>
          <w:rFonts w:ascii="Times New Roman" w:hAnsi="Times New Roman"/>
          <w:color w:val="auto"/>
          <w:sz w:val="26"/>
          <w:szCs w:val="26"/>
        </w:rPr>
        <w:t>2020 – 2023 годов Томская область занимала 3-е место среди регионов Сибирского феде</w:t>
      </w:r>
      <w:r w:rsidR="00510082">
        <w:rPr>
          <w:rFonts w:ascii="Times New Roman" w:hAnsi="Times New Roman"/>
          <w:color w:val="auto"/>
          <w:sz w:val="26"/>
          <w:szCs w:val="26"/>
        </w:rPr>
        <w:t>рального округа, а в 2024 году –</w:t>
      </w:r>
      <w:r w:rsidRPr="000938FD">
        <w:rPr>
          <w:rFonts w:ascii="Times New Roman" w:hAnsi="Times New Roman"/>
          <w:color w:val="auto"/>
          <w:sz w:val="26"/>
          <w:szCs w:val="26"/>
        </w:rPr>
        <w:t xml:space="preserve"> 4-е по соотношению среднедушевых денежных доходов населения со стоимостью минимального продуктового набора. Плановое значение показателя по итогам 2024 года достигнуто, уровень выполнения </w:t>
      </w:r>
      <w:r w:rsidR="00510082">
        <w:rPr>
          <w:rFonts w:ascii="Times New Roman" w:hAnsi="Times New Roman"/>
          <w:color w:val="auto"/>
          <w:sz w:val="26"/>
          <w:szCs w:val="26"/>
        </w:rPr>
        <w:t>–</w:t>
      </w:r>
      <w:r w:rsidRPr="000938FD">
        <w:rPr>
          <w:rFonts w:ascii="Times New Roman" w:hAnsi="Times New Roman"/>
          <w:color w:val="auto"/>
          <w:sz w:val="26"/>
          <w:szCs w:val="26"/>
        </w:rPr>
        <w:t xml:space="preserve"> 107,8%. Значение показателя в 2025 году </w:t>
      </w:r>
      <w:r w:rsidR="00510082">
        <w:rPr>
          <w:rFonts w:ascii="Times New Roman" w:hAnsi="Times New Roman"/>
          <w:color w:val="auto"/>
          <w:sz w:val="26"/>
          <w:szCs w:val="26"/>
        </w:rPr>
        <w:t>–</w:t>
      </w:r>
      <w:r w:rsidRPr="000938FD">
        <w:rPr>
          <w:rFonts w:ascii="Times New Roman" w:hAnsi="Times New Roman"/>
          <w:color w:val="auto"/>
          <w:sz w:val="26"/>
          <w:szCs w:val="26"/>
        </w:rPr>
        <w:t xml:space="preserve"> 123,4%. </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Социальная защита и поддержка семьи.</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В социальной сфере зафиксировано существенное снижение бедности и усиление поддержки семей.</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Уровень бедности снизился с 14,4% до 9,6% (2020 – 2024 годы) за счет реализации мер государственной поддержки граждан и развития сектора бизнеса, повышения уровня заработной платы. </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системе социальной защиты населения Томской области реализуются </w:t>
      </w:r>
      <w:r w:rsidR="00510082">
        <w:rPr>
          <w:rFonts w:ascii="Times New Roman" w:hAnsi="Times New Roman"/>
          <w:color w:val="auto"/>
          <w:sz w:val="26"/>
          <w:szCs w:val="26"/>
        </w:rPr>
        <w:br/>
      </w:r>
      <w:r w:rsidRPr="000938FD">
        <w:rPr>
          <w:rFonts w:ascii="Times New Roman" w:hAnsi="Times New Roman"/>
          <w:color w:val="auto"/>
          <w:sz w:val="26"/>
          <w:szCs w:val="26"/>
        </w:rPr>
        <w:t xml:space="preserve">59 мер социальной поддержки отдельных категорий граждан и социально значимые программы. В течение всего рассматриваемого периода этот показатель выше среднероссийского, среди регионов Сибирского федерального округа Томская область на 4-м месте. Плановое значение показателя (12,8%) по итогам 2024 года достигнуто, уровень выполнения </w:t>
      </w:r>
      <w:r w:rsidR="00510082">
        <w:rPr>
          <w:rFonts w:ascii="Times New Roman" w:hAnsi="Times New Roman"/>
          <w:color w:val="auto"/>
          <w:sz w:val="26"/>
          <w:szCs w:val="26"/>
        </w:rPr>
        <w:t>–</w:t>
      </w:r>
      <w:r w:rsidRPr="000938FD">
        <w:rPr>
          <w:rFonts w:ascii="Times New Roman" w:hAnsi="Times New Roman"/>
          <w:color w:val="auto"/>
          <w:sz w:val="26"/>
          <w:szCs w:val="26"/>
        </w:rPr>
        <w:t xml:space="preserve"> 130,6%. В 2025 году значение показателя уменьшилось по сравнению с 2024 годом и составило 8,7%.</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Доля детей</w:t>
      </w:r>
      <w:r w:rsidRPr="000938FD">
        <w:rPr>
          <w:rFonts w:ascii="Times New Roman" w:hAnsi="Times New Roman"/>
          <w:color w:val="auto"/>
          <w:sz w:val="26"/>
          <w:szCs w:val="26"/>
        </w:rPr>
        <w:noBreakHyphen/>
        <w:t xml:space="preserve">сирот и детей, оставшихся без попечения родителей, </w:t>
      </w:r>
      <w:r w:rsidRPr="000938FD">
        <w:rPr>
          <w:rFonts w:ascii="Times New Roman" w:hAnsi="Times New Roman"/>
          <w:color w:val="auto"/>
          <w:sz w:val="26"/>
          <w:szCs w:val="26"/>
        </w:rPr>
        <w:br/>
        <w:t xml:space="preserve">в период 2020 – 2024 годов сократилась с 1,97% до 1,7%. Плановое значение показателя (1,82%) по итогам 2024 года достигнуто, уровень выполнения </w:t>
      </w:r>
      <w:r w:rsidR="00510082">
        <w:rPr>
          <w:rFonts w:ascii="Times New Roman" w:hAnsi="Times New Roman"/>
          <w:color w:val="auto"/>
          <w:sz w:val="26"/>
          <w:szCs w:val="26"/>
        </w:rPr>
        <w:t>–</w:t>
      </w:r>
      <w:r w:rsidRPr="000938FD">
        <w:rPr>
          <w:rFonts w:ascii="Times New Roman" w:hAnsi="Times New Roman"/>
          <w:color w:val="auto"/>
          <w:sz w:val="26"/>
          <w:szCs w:val="26"/>
        </w:rPr>
        <w:t xml:space="preserve"> 107,1%. В 2025 году значение показателя еще улучшилось и составило 1,5%. </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Доля мер социальной поддержки, предоставляемых с учетом критериев нуждаемости, в период 2020 – 2024 годов сократилась с 36,7% до 35%. Плановое значение показателя (40,2%) по итогам 2024 года не достигнуто, уровень выполнения </w:t>
      </w:r>
      <w:r w:rsidR="00510082">
        <w:rPr>
          <w:rFonts w:ascii="Times New Roman" w:hAnsi="Times New Roman"/>
          <w:color w:val="auto"/>
          <w:sz w:val="26"/>
          <w:szCs w:val="26"/>
        </w:rPr>
        <w:t>–</w:t>
      </w:r>
      <w:r w:rsidRPr="000938FD">
        <w:rPr>
          <w:rFonts w:ascii="Times New Roman" w:hAnsi="Times New Roman"/>
          <w:color w:val="auto"/>
          <w:sz w:val="26"/>
          <w:szCs w:val="26"/>
        </w:rPr>
        <w:t xml:space="preserve"> 87,1%. Невыполнение планового значения показателя в 2024 году связано с передачей полномочий по предоставлению отдельных мер поддержки семьям с детьми Фонду пенсионного и социального страхования Российской Федерации. С 1 января 2023 года комплексная мера социальной поддержки </w:t>
      </w:r>
      <w:r w:rsidR="00510082">
        <w:rPr>
          <w:rFonts w:ascii="Times New Roman" w:hAnsi="Times New Roman"/>
          <w:color w:val="auto"/>
          <w:sz w:val="26"/>
          <w:szCs w:val="26"/>
        </w:rPr>
        <w:br/>
      </w:r>
      <w:r w:rsidRPr="000938FD">
        <w:rPr>
          <w:rFonts w:ascii="Times New Roman" w:hAnsi="Times New Roman"/>
          <w:color w:val="auto"/>
          <w:sz w:val="26"/>
          <w:szCs w:val="26"/>
        </w:rPr>
        <w:t xml:space="preserve">для нуждающихся семей </w:t>
      </w:r>
      <w:r w:rsidR="00510082">
        <w:rPr>
          <w:rFonts w:ascii="Times New Roman" w:hAnsi="Times New Roman"/>
          <w:color w:val="auto"/>
          <w:sz w:val="26"/>
          <w:szCs w:val="26"/>
        </w:rPr>
        <w:t>–</w:t>
      </w:r>
      <w:r w:rsidRPr="000938FD">
        <w:rPr>
          <w:rFonts w:ascii="Times New Roman" w:hAnsi="Times New Roman"/>
          <w:color w:val="auto"/>
          <w:sz w:val="26"/>
          <w:szCs w:val="26"/>
        </w:rPr>
        <w:t xml:space="preserve"> единое пособие на детей и беременных женщин (ежемесячная денежная выплата в связи с рождением и воспитанием детей) предоставляется Социальным фондом России. Помимо этого, отменены критерии нуждаемости при предоставлении мер поддержки участникам Специальной военной операции (СВО) и членам их семей. В 2025 году значение показателя уменьшилось до 34%.</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Обеспечение доступности жилья и качество жилищных условий, развитие строительного комплекса.</w:t>
      </w:r>
      <w:r w:rsidRPr="000938FD">
        <w:rPr>
          <w:rFonts w:ascii="Times New Roman" w:hAnsi="Times New Roman"/>
          <w:b/>
          <w:bCs/>
          <w:color w:val="auto"/>
          <w:sz w:val="26"/>
          <w:szCs w:val="26"/>
        </w:rPr>
        <w:t xml:space="preserve"> </w:t>
      </w:r>
      <w:r w:rsidRPr="000938FD">
        <w:rPr>
          <w:rFonts w:ascii="Times New Roman" w:hAnsi="Times New Roman"/>
          <w:bCs/>
          <w:color w:val="auto"/>
          <w:sz w:val="26"/>
          <w:szCs w:val="26"/>
        </w:rPr>
        <w:t>Ситуация</w:t>
      </w:r>
      <w:r w:rsidRPr="000938FD">
        <w:rPr>
          <w:rFonts w:ascii="Times New Roman" w:hAnsi="Times New Roman"/>
          <w:color w:val="auto"/>
          <w:sz w:val="26"/>
          <w:szCs w:val="26"/>
        </w:rPr>
        <w:t xml:space="preserve"> в жилищной сфере, сложившаяся в рассматриваемый период, имеет неоднозначный характер. </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lastRenderedPageBreak/>
        <w:t>С одной стороны:</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 xml:space="preserve">– </w:t>
      </w:r>
      <w:r w:rsidR="00800098" w:rsidRPr="000938FD">
        <w:rPr>
          <w:rFonts w:ascii="Times New Roman" w:hAnsi="Times New Roman"/>
          <w:color w:val="auto"/>
          <w:sz w:val="26"/>
          <w:szCs w:val="26"/>
        </w:rPr>
        <w:t>площадь жилых помещений на одного жителя выросла до 28,5 кв. м;</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объем жилищного строительства в 2024 году составил 0,548 млн кв. м, план по вводу жилья выполнен;</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реализуются крупные проекты («ЛетоПарк», «Ломоносов», «Новая Ялта» и другие), формируя современный жилой фонд;</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фактическое значение показателя «Количество семей, улучивших жилищные условия» за 2025 год в соответствии с данными, размещенными </w:t>
      </w:r>
      <w:r>
        <w:rPr>
          <w:rFonts w:ascii="Times New Roman" w:hAnsi="Times New Roman"/>
          <w:color w:val="auto"/>
          <w:sz w:val="26"/>
          <w:szCs w:val="26"/>
        </w:rPr>
        <w:br/>
      </w:r>
      <w:r w:rsidR="00800098" w:rsidRPr="000938FD">
        <w:rPr>
          <w:rFonts w:ascii="Times New Roman" w:hAnsi="Times New Roman"/>
          <w:color w:val="auto"/>
          <w:sz w:val="26"/>
          <w:szCs w:val="26"/>
        </w:rPr>
        <w:t>в ЕМИСС, для Томской области составляет 22,43 тыс. семей или 101,79 % от плана на 2025 год (22,04 тыс. семей).</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С другой стороны:</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в 2025 году объем ввода жилой недвижимости снизился </w:t>
      </w:r>
      <w:r>
        <w:rPr>
          <w:rFonts w:ascii="Times New Roman" w:hAnsi="Times New Roman"/>
          <w:color w:val="auto"/>
          <w:sz w:val="26"/>
          <w:szCs w:val="26"/>
        </w:rPr>
        <w:br/>
      </w:r>
      <w:r w:rsidR="00800098" w:rsidRPr="000938FD">
        <w:rPr>
          <w:rFonts w:ascii="Times New Roman" w:hAnsi="Times New Roman"/>
          <w:color w:val="auto"/>
          <w:sz w:val="26"/>
          <w:szCs w:val="26"/>
        </w:rPr>
        <w:t>до 0,388 млн кв. м (один из самых низких показателей в Сибирском федеральном округе);</w:t>
      </w:r>
    </w:p>
    <w:p w:rsidR="00E618FE" w:rsidRPr="000938FD" w:rsidRDefault="00510082">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рост стоимости 1 кв. м (индекс цен на первичном рынке жилья </w:t>
      </w:r>
      <w:r w:rsidR="00800098" w:rsidRPr="000938FD">
        <w:rPr>
          <w:rFonts w:ascii="Times New Roman" w:hAnsi="Times New Roman"/>
          <w:color w:val="auto"/>
          <w:sz w:val="26"/>
          <w:szCs w:val="26"/>
        </w:rPr>
        <w:br/>
        <w:t xml:space="preserve">на конец </w:t>
      </w:r>
      <w:r w:rsidR="00800098" w:rsidRPr="000938FD">
        <w:rPr>
          <w:rFonts w:ascii="Times New Roman" w:hAnsi="Times New Roman"/>
          <w:color w:val="auto"/>
          <w:sz w:val="26"/>
          <w:szCs w:val="26"/>
          <w:lang w:val="en-US"/>
        </w:rPr>
        <w:t>IV</w:t>
      </w:r>
      <w:r w:rsidR="00800098" w:rsidRPr="000938FD">
        <w:rPr>
          <w:rFonts w:ascii="Times New Roman" w:hAnsi="Times New Roman"/>
          <w:color w:val="auto"/>
          <w:sz w:val="26"/>
          <w:szCs w:val="26"/>
          <w:rtl/>
          <w:lang w:val="en-US" w:bidi="he-IL"/>
        </w:rPr>
        <w:t xml:space="preserve"> </w:t>
      </w:r>
      <w:r w:rsidR="00800098" w:rsidRPr="000938FD">
        <w:rPr>
          <w:rFonts w:ascii="Times New Roman" w:hAnsi="Times New Roman"/>
          <w:color w:val="auto"/>
          <w:sz w:val="26"/>
          <w:szCs w:val="26"/>
        </w:rPr>
        <w:t xml:space="preserve">квартала 2025 году к соответствующему кварталу предыдущего года </w:t>
      </w:r>
      <w:r w:rsidR="00800098" w:rsidRPr="000938FD">
        <w:rPr>
          <w:rFonts w:ascii="Times New Roman" w:hAnsi="Times New Roman"/>
          <w:color w:val="auto"/>
          <w:sz w:val="26"/>
          <w:szCs w:val="26"/>
          <w:lang w:bidi="he-IL"/>
        </w:rPr>
        <w:t>составил 106,99%</w:t>
      </w:r>
      <w:r w:rsidR="00800098" w:rsidRPr="000938FD">
        <w:rPr>
          <w:rFonts w:ascii="Times New Roman" w:hAnsi="Times New Roman"/>
          <w:color w:val="auto"/>
          <w:sz w:val="26"/>
          <w:szCs w:val="26"/>
        </w:rPr>
        <w:t xml:space="preserve"> на вторичном </w:t>
      </w:r>
      <w:r>
        <w:rPr>
          <w:rFonts w:ascii="Times New Roman" w:hAnsi="Times New Roman"/>
          <w:color w:val="auto"/>
          <w:sz w:val="26"/>
          <w:szCs w:val="26"/>
        </w:rPr>
        <w:t>–</w:t>
      </w:r>
      <w:r w:rsidR="00800098" w:rsidRPr="000938FD">
        <w:rPr>
          <w:rFonts w:ascii="Times New Roman" w:hAnsi="Times New Roman"/>
          <w:color w:val="auto"/>
          <w:sz w:val="26"/>
          <w:szCs w:val="26"/>
        </w:rPr>
        <w:t xml:space="preserve"> 101,88%) и сокращение льготных ипотечных программ снижает доступность жилья.</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 xml:space="preserve">Качество городской среды и общественная безопасность. </w:t>
      </w:r>
      <w:r w:rsidRPr="000938FD">
        <w:rPr>
          <w:rFonts w:ascii="Times New Roman" w:hAnsi="Times New Roman"/>
          <w:b/>
          <w:bCs/>
          <w:color w:val="auto"/>
          <w:sz w:val="26"/>
          <w:szCs w:val="26"/>
        </w:rPr>
        <w:br/>
      </w:r>
      <w:r w:rsidRPr="000938FD">
        <w:rPr>
          <w:rFonts w:ascii="Times New Roman" w:hAnsi="Times New Roman"/>
          <w:color w:val="auto"/>
          <w:sz w:val="26"/>
          <w:szCs w:val="26"/>
        </w:rPr>
        <w:t xml:space="preserve">В 2024 году индекс качества городской среды составил 212 баллов при плане 204, прирост к 2019 году </w:t>
      </w:r>
      <w:r w:rsidR="00E40A60">
        <w:rPr>
          <w:rFonts w:ascii="Times New Roman" w:hAnsi="Times New Roman"/>
          <w:color w:val="auto"/>
          <w:sz w:val="26"/>
          <w:szCs w:val="26"/>
        </w:rPr>
        <w:t>–</w:t>
      </w:r>
      <w:r w:rsidRPr="000938FD">
        <w:rPr>
          <w:rFonts w:ascii="Times New Roman" w:hAnsi="Times New Roman"/>
          <w:color w:val="auto"/>
          <w:sz w:val="26"/>
          <w:szCs w:val="26"/>
        </w:rPr>
        <w:t xml:space="preserve"> +27%, при плане +23%. Это подтверждает успешность проектов благоустройства и формирования комфортной среды</w:t>
      </w:r>
      <w:r w:rsidRPr="000938FD">
        <w:rPr>
          <w:rStyle w:val="af3"/>
          <w:rFonts w:ascii="Times New Roman" w:hAnsi="Times New Roman"/>
          <w:color w:val="auto"/>
          <w:sz w:val="26"/>
          <w:szCs w:val="26"/>
        </w:rPr>
        <w:footnoteReference w:id="11"/>
      </w:r>
      <w:r w:rsidRPr="000938FD">
        <w:rPr>
          <w:rFonts w:ascii="Times New Roman" w:hAnsi="Times New Roman"/>
          <w:color w:val="auto"/>
          <w:sz w:val="26"/>
          <w:szCs w:val="26"/>
        </w:rPr>
        <w:t>.</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2024 году задачи по снижению преступности не выполнены: количество зарегистрированных преступлений достигло 1 877 на 100 тыс. населения </w:t>
      </w:r>
      <w:r w:rsidR="00E40A60">
        <w:rPr>
          <w:rFonts w:ascii="Times New Roman" w:hAnsi="Times New Roman"/>
          <w:color w:val="auto"/>
          <w:sz w:val="26"/>
          <w:szCs w:val="26"/>
        </w:rPr>
        <w:br/>
      </w:r>
      <w:r w:rsidRPr="000938FD">
        <w:rPr>
          <w:rFonts w:ascii="Times New Roman" w:hAnsi="Times New Roman"/>
          <w:color w:val="auto"/>
          <w:sz w:val="26"/>
          <w:szCs w:val="26"/>
        </w:rPr>
        <w:t>при плановом значении 1 611, что связано c ростом киберпреступлений и преступлений против личности. В 2025 году показатель снизился до 1 560,8, что ниже и планового значения 2024 года, и фактического уровня 2024 года. Это может свидетельствовать о начале перелома негативной динамики, требуется закрепление и масштабирование этого тренда в последующие годы.</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Вывод по степени достижения Цели 3.</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 xml:space="preserve">Цель 3 «Повышение уровня </w:t>
      </w:r>
      <w:r w:rsidRPr="000938FD">
        <w:rPr>
          <w:rFonts w:ascii="Times New Roman" w:hAnsi="Times New Roman"/>
          <w:color w:val="auto"/>
          <w:sz w:val="26"/>
          <w:szCs w:val="26"/>
        </w:rPr>
        <w:br/>
        <w:t xml:space="preserve">и качества жизни населения» по состоянию на 2020 – 2025 годы может быть оценена как достигнутая частично. К числу </w:t>
      </w:r>
      <w:r w:rsidRPr="000938FD">
        <w:rPr>
          <w:rFonts w:ascii="Times New Roman" w:hAnsi="Times New Roman"/>
          <w:b/>
          <w:bCs/>
          <w:color w:val="auto"/>
          <w:sz w:val="26"/>
          <w:szCs w:val="26"/>
        </w:rPr>
        <w:t>основных достижений</w:t>
      </w:r>
      <w:r w:rsidRPr="000938FD">
        <w:rPr>
          <w:rFonts w:ascii="Times New Roman" w:hAnsi="Times New Roman"/>
          <w:color w:val="auto"/>
          <w:sz w:val="26"/>
          <w:szCs w:val="26"/>
        </w:rPr>
        <w:t xml:space="preserve"> относятся:</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рост реальных располагаемых доходов населения в 2024 году </w:t>
      </w:r>
      <w:r w:rsidR="00800098" w:rsidRPr="000938FD">
        <w:rPr>
          <w:rFonts w:ascii="Times New Roman" w:hAnsi="Times New Roman"/>
          <w:color w:val="auto"/>
          <w:sz w:val="26"/>
          <w:szCs w:val="26"/>
        </w:rPr>
        <w:br/>
        <w:t>до 114,4% и до 123,4% в 2025 году (к уровню 2020 года);</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рост индекса реальной заработной платы до 115,4% в 2024 году </w:t>
      </w:r>
      <w:r w:rsidR="00800098" w:rsidRPr="000938FD">
        <w:rPr>
          <w:rFonts w:ascii="Times New Roman" w:hAnsi="Times New Roman"/>
          <w:color w:val="auto"/>
          <w:sz w:val="26"/>
          <w:szCs w:val="26"/>
        </w:rPr>
        <w:br/>
        <w:t>и 119,9% в 2025 году;</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рекордно низкий уровень безработицы </w:t>
      </w:r>
      <w:r>
        <w:rPr>
          <w:rFonts w:ascii="Times New Roman" w:hAnsi="Times New Roman"/>
          <w:color w:val="auto"/>
          <w:sz w:val="26"/>
          <w:szCs w:val="26"/>
        </w:rPr>
        <w:t>–</w:t>
      </w:r>
      <w:r w:rsidR="00800098" w:rsidRPr="000938FD">
        <w:rPr>
          <w:rFonts w:ascii="Times New Roman" w:hAnsi="Times New Roman"/>
          <w:color w:val="auto"/>
          <w:sz w:val="26"/>
          <w:szCs w:val="26"/>
        </w:rPr>
        <w:t xml:space="preserve"> 3,3% в 2024 и 2025 годах;</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снижение уровня бедности с 14,4% до 8,7% и доли детей-сирот </w:t>
      </w:r>
      <w:r w:rsidR="00800098" w:rsidRPr="000938FD">
        <w:rPr>
          <w:rFonts w:ascii="Times New Roman" w:hAnsi="Times New Roman"/>
          <w:color w:val="auto"/>
          <w:sz w:val="26"/>
          <w:szCs w:val="26"/>
        </w:rPr>
        <w:br/>
        <w:t>с 1,97% до 1,5% в 2025 году;</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перевыполнение показателей по образованию: охв</w:t>
      </w:r>
      <w:r>
        <w:rPr>
          <w:rFonts w:ascii="Times New Roman" w:hAnsi="Times New Roman"/>
          <w:color w:val="auto"/>
          <w:sz w:val="26"/>
          <w:szCs w:val="26"/>
        </w:rPr>
        <w:t>ат дополнительным образованием –</w:t>
      </w:r>
      <w:r w:rsidR="00800098" w:rsidRPr="000938FD">
        <w:rPr>
          <w:rFonts w:ascii="Times New Roman" w:hAnsi="Times New Roman"/>
          <w:color w:val="auto"/>
          <w:sz w:val="26"/>
          <w:szCs w:val="26"/>
        </w:rPr>
        <w:t xml:space="preserve"> 80,5% при плане 80%, индекс уровня образования </w:t>
      </w:r>
      <w:r>
        <w:rPr>
          <w:rFonts w:ascii="Times New Roman" w:hAnsi="Times New Roman"/>
          <w:color w:val="auto"/>
          <w:sz w:val="26"/>
          <w:szCs w:val="26"/>
        </w:rPr>
        <w:t>–</w:t>
      </w:r>
      <w:r w:rsidR="00800098" w:rsidRPr="000938FD">
        <w:rPr>
          <w:rFonts w:ascii="Times New Roman" w:hAnsi="Times New Roman"/>
          <w:color w:val="auto"/>
          <w:sz w:val="26"/>
          <w:szCs w:val="26"/>
        </w:rPr>
        <w:t xml:space="preserve"> 80,6% при плане 61,8%;</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досрочное достижение планового уровня занятий физической культурой и спортом (59,9% в 2024 году и 58,6% в 2025 году при плане 55%);</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lastRenderedPageBreak/>
        <w:t>–</w:t>
      </w:r>
      <w:r w:rsidR="00800098" w:rsidRPr="000938FD">
        <w:rPr>
          <w:rFonts w:ascii="Times New Roman" w:hAnsi="Times New Roman"/>
          <w:color w:val="auto"/>
          <w:sz w:val="26"/>
          <w:szCs w:val="26"/>
        </w:rPr>
        <w:t xml:space="preserve"> ускоренное развитие добровольчества: численность волонтеров выросла </w:t>
      </w:r>
      <w:r>
        <w:rPr>
          <w:rFonts w:ascii="Times New Roman" w:hAnsi="Times New Roman"/>
          <w:color w:val="auto"/>
          <w:sz w:val="26"/>
          <w:szCs w:val="26"/>
        </w:rPr>
        <w:br/>
      </w:r>
      <w:r w:rsidR="00800098" w:rsidRPr="000938FD">
        <w:rPr>
          <w:rFonts w:ascii="Times New Roman" w:hAnsi="Times New Roman"/>
          <w:color w:val="auto"/>
          <w:sz w:val="26"/>
          <w:szCs w:val="26"/>
        </w:rPr>
        <w:t>с 36,4 тыс. в 2021 году до 71,98 тыс. в 2024 году (100% достижение целевого значения) и 90,4 тыс. человек в 2025 году;</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высокая посещаемость культурных мероприятий: за период </w:t>
      </w:r>
      <w:r>
        <w:rPr>
          <w:rFonts w:ascii="Times New Roman" w:hAnsi="Times New Roman"/>
          <w:color w:val="auto"/>
          <w:sz w:val="26"/>
          <w:szCs w:val="26"/>
        </w:rPr>
        <w:br/>
      </w:r>
      <w:r w:rsidR="00800098" w:rsidRPr="000938FD">
        <w:rPr>
          <w:rFonts w:ascii="Times New Roman" w:hAnsi="Times New Roman"/>
          <w:color w:val="auto"/>
          <w:sz w:val="26"/>
          <w:szCs w:val="26"/>
        </w:rPr>
        <w:t>2021</w:t>
      </w:r>
      <w:r>
        <w:rPr>
          <w:rFonts w:ascii="Times New Roman" w:hAnsi="Times New Roman"/>
          <w:color w:val="auto"/>
          <w:sz w:val="26"/>
          <w:szCs w:val="26"/>
        </w:rPr>
        <w:t xml:space="preserve"> </w:t>
      </w:r>
      <w:r w:rsidR="00800098" w:rsidRPr="000938FD">
        <w:rPr>
          <w:rFonts w:ascii="Times New Roman" w:hAnsi="Times New Roman"/>
          <w:color w:val="auto"/>
          <w:sz w:val="26"/>
          <w:szCs w:val="26"/>
        </w:rPr>
        <w:t>–</w:t>
      </w:r>
      <w:r>
        <w:rPr>
          <w:rFonts w:ascii="Times New Roman" w:hAnsi="Times New Roman"/>
          <w:color w:val="auto"/>
          <w:sz w:val="26"/>
          <w:szCs w:val="26"/>
        </w:rPr>
        <w:t xml:space="preserve"> </w:t>
      </w:r>
      <w:r w:rsidR="00800098" w:rsidRPr="000938FD">
        <w:rPr>
          <w:rFonts w:ascii="Times New Roman" w:hAnsi="Times New Roman"/>
          <w:color w:val="auto"/>
          <w:sz w:val="26"/>
          <w:szCs w:val="26"/>
        </w:rPr>
        <w:t>2025 годов рост на 78%;</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улучшение качества городской среды (+27% к 2019 году при плане +23%) </w:t>
      </w:r>
      <w:r>
        <w:rPr>
          <w:rFonts w:ascii="Times New Roman" w:hAnsi="Times New Roman"/>
          <w:color w:val="auto"/>
          <w:sz w:val="26"/>
          <w:szCs w:val="26"/>
        </w:rPr>
        <w:br/>
      </w:r>
      <w:r w:rsidR="00800098" w:rsidRPr="000938FD">
        <w:rPr>
          <w:rFonts w:ascii="Times New Roman" w:hAnsi="Times New Roman"/>
          <w:color w:val="auto"/>
          <w:sz w:val="26"/>
          <w:szCs w:val="26"/>
        </w:rPr>
        <w:t>и наращивание обеспеченности жильем (28,2 кв. м на человека);</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снижение преступности в 2025 году до 1 560,8 на 100 тыс. населения.</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Вместе с тем сохраняются </w:t>
      </w:r>
      <w:r w:rsidRPr="000938FD">
        <w:rPr>
          <w:rFonts w:ascii="Times New Roman" w:hAnsi="Times New Roman"/>
          <w:b/>
          <w:bCs/>
          <w:color w:val="auto"/>
          <w:sz w:val="26"/>
          <w:szCs w:val="26"/>
        </w:rPr>
        <w:t>критические ограничения</w:t>
      </w:r>
      <w:r w:rsidRPr="000938FD">
        <w:rPr>
          <w:rFonts w:ascii="Times New Roman" w:hAnsi="Times New Roman"/>
          <w:color w:val="auto"/>
          <w:sz w:val="26"/>
          <w:szCs w:val="26"/>
        </w:rPr>
        <w:t>:</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продолжающаяся депопуляция и отставание ожидаемой продолжительности жизни от целевых значений Стратегии;</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высокий коэффициент смертности и резкий рост смертности от внешних причин;</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недостаточная укомплектованность медицинских кадров </w:t>
      </w:r>
      <w:r>
        <w:rPr>
          <w:rFonts w:ascii="Times New Roman" w:hAnsi="Times New Roman"/>
          <w:color w:val="auto"/>
          <w:sz w:val="26"/>
          <w:szCs w:val="26"/>
        </w:rPr>
        <w:br/>
      </w:r>
      <w:r w:rsidR="00800098" w:rsidRPr="000938FD">
        <w:rPr>
          <w:rFonts w:ascii="Times New Roman" w:hAnsi="Times New Roman"/>
          <w:color w:val="auto"/>
          <w:sz w:val="26"/>
          <w:szCs w:val="26"/>
        </w:rPr>
        <w:t>и неудовлетворительное состояние значительной части зданий медицинских организаций, прежде всего в амбулаторном звене;</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недостаточная адресность социальной поддержки (34 – 35% при плановых 40,2%);</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структурные риски на рынке труда молодежи:</w:t>
      </w:r>
      <w:r w:rsidR="00800098" w:rsidRPr="000938FD">
        <w:rPr>
          <w:rFonts w:ascii="Times New Roman" w:hAnsi="Times New Roman"/>
          <w:sz w:val="26"/>
          <w:szCs w:val="26"/>
        </w:rPr>
        <w:t xml:space="preserve"> </w:t>
      </w:r>
      <w:r w:rsidR="00800098" w:rsidRPr="000938FD">
        <w:rPr>
          <w:rFonts w:ascii="Times New Roman" w:hAnsi="Times New Roman"/>
          <w:color w:val="auto"/>
          <w:sz w:val="26"/>
          <w:szCs w:val="26"/>
        </w:rPr>
        <w:t>недостаточное количество рабочих мест с высоким уровнем оплаты труда;</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снижение динамики числа семей, улучшивших жилищные условия;</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пространственная неравномерность доступа к социальной инфраструктуре </w:t>
      </w:r>
      <w:r>
        <w:rPr>
          <w:rFonts w:ascii="Times New Roman" w:hAnsi="Times New Roman"/>
          <w:color w:val="auto"/>
          <w:sz w:val="26"/>
          <w:szCs w:val="26"/>
        </w:rPr>
        <w:br/>
      </w:r>
      <w:r w:rsidR="00800098" w:rsidRPr="000938FD">
        <w:rPr>
          <w:rFonts w:ascii="Times New Roman" w:hAnsi="Times New Roman"/>
          <w:color w:val="auto"/>
          <w:sz w:val="26"/>
          <w:szCs w:val="26"/>
        </w:rPr>
        <w:t>в сельских и северных районах.</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Для комплексного достижения Цели 3 в горизонте до 2030 года необходимы приоритетное усиление демографической и медико-социальной политики, ускоренная модернизация инфраструктуры здравоохранения в амбулаторном звене, существенное повышение адресности социальной поддержки, развитие программ занятости молодежи и системное сокращение пространственных диспропорций </w:t>
      </w:r>
      <w:r w:rsidR="00E40A60">
        <w:rPr>
          <w:rFonts w:ascii="Times New Roman" w:hAnsi="Times New Roman"/>
          <w:color w:val="auto"/>
          <w:sz w:val="26"/>
          <w:szCs w:val="26"/>
        </w:rPr>
        <w:br/>
      </w:r>
      <w:r w:rsidRPr="000938FD">
        <w:rPr>
          <w:rFonts w:ascii="Times New Roman" w:hAnsi="Times New Roman"/>
          <w:color w:val="auto"/>
          <w:sz w:val="26"/>
          <w:szCs w:val="26"/>
        </w:rPr>
        <w:t>в доступности социальных услуг, опираясь на сильный образовательно-культурный потенциал региона.</w:t>
      </w:r>
    </w:p>
    <w:p w:rsidR="00E618FE" w:rsidRPr="000938FD" w:rsidRDefault="00E618FE">
      <w:pPr>
        <w:pStyle w:val="a4"/>
        <w:rPr>
          <w:rFonts w:ascii="Times New Roman" w:hAnsi="Times New Roman"/>
          <w:color w:val="auto"/>
          <w:sz w:val="26"/>
          <w:szCs w:val="26"/>
        </w:rPr>
      </w:pPr>
    </w:p>
    <w:p w:rsidR="00E618FE" w:rsidRPr="000938FD" w:rsidRDefault="00800098">
      <w:pPr>
        <w:pStyle w:val="21"/>
        <w:rPr>
          <w:rFonts w:ascii="Times New Roman" w:eastAsia="PT Astra Serif" w:hAnsi="Times New Roman" w:cs="Times New Roman"/>
          <w:szCs w:val="28"/>
        </w:rPr>
      </w:pPr>
      <w:bookmarkStart w:id="27" w:name="_Toc228496283"/>
      <w:bookmarkStart w:id="28" w:name="_Toc235810131"/>
      <w:bookmarkStart w:id="29" w:name="_Toc238554519"/>
      <w:r w:rsidRPr="000938FD">
        <w:rPr>
          <w:rFonts w:ascii="Times New Roman" w:eastAsia="PT Astra Serif" w:hAnsi="Times New Roman" w:cs="Times New Roman"/>
          <w:szCs w:val="28"/>
        </w:rPr>
        <w:t>Цель 4. Сбалансированное территориальное развитие, в том числе за счет развития инфраструктуры в Томской области</w:t>
      </w:r>
      <w:bookmarkEnd w:id="27"/>
      <w:bookmarkEnd w:id="28"/>
      <w:bookmarkEnd w:id="29"/>
    </w:p>
    <w:p w:rsidR="00E40A60" w:rsidRDefault="00E40A60">
      <w:pPr>
        <w:pStyle w:val="a4"/>
        <w:rPr>
          <w:rFonts w:ascii="Times New Roman" w:hAnsi="Times New Roman"/>
          <w:color w:val="auto"/>
          <w:sz w:val="26"/>
          <w:szCs w:val="26"/>
        </w:rPr>
      </w:pP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период 2020 – 2025 годов реализация Цели 4 сопровождалась развитием дорожной сети и инфраструктуры связи, заметным снижением аварийности и ростом газификации жилищного фонда, а также позитивной динамикой в сфере обращения с твердыми коммунальными отходами. Одновременно сохраняются системные ограничения пространственного развития региона </w:t>
      </w:r>
      <w:r w:rsidR="00E40A60">
        <w:rPr>
          <w:rFonts w:ascii="Times New Roman" w:hAnsi="Times New Roman"/>
          <w:color w:val="auto"/>
          <w:sz w:val="26"/>
          <w:szCs w:val="26"/>
        </w:rPr>
        <w:t>–</w:t>
      </w:r>
      <w:r w:rsidRPr="000938FD">
        <w:rPr>
          <w:rFonts w:ascii="Times New Roman" w:hAnsi="Times New Roman"/>
          <w:color w:val="auto"/>
          <w:sz w:val="26"/>
          <w:szCs w:val="26"/>
        </w:rPr>
        <w:t xml:space="preserve"> критический износ коммунальных сетей, энергодефицитность и недостаточное развитие внешних и внутренних транспортных связей, что создает значительные риски для достижения целевых параметров Стратегии до 2030 года.</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Система расселения.</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 xml:space="preserve">В системе расселения умеренными темпами продолжаются процессы концентрации населения в Томской агломерации, </w:t>
      </w:r>
      <w:r w:rsidRPr="000938FD">
        <w:rPr>
          <w:rFonts w:ascii="Times New Roman" w:hAnsi="Times New Roman"/>
          <w:color w:val="auto"/>
          <w:sz w:val="26"/>
          <w:szCs w:val="26"/>
        </w:rPr>
        <w:br/>
        <w:t xml:space="preserve">за 2020 – 2025 годы доля агломерации в численности населения области выросла </w:t>
      </w:r>
      <w:r w:rsidR="00E40A60">
        <w:rPr>
          <w:rFonts w:ascii="Times New Roman" w:hAnsi="Times New Roman"/>
          <w:color w:val="auto"/>
          <w:sz w:val="26"/>
          <w:szCs w:val="26"/>
        </w:rPr>
        <w:br/>
      </w:r>
      <w:r w:rsidRPr="000938FD">
        <w:rPr>
          <w:rFonts w:ascii="Times New Roman" w:hAnsi="Times New Roman"/>
          <w:color w:val="auto"/>
          <w:sz w:val="26"/>
          <w:szCs w:val="26"/>
        </w:rPr>
        <w:t xml:space="preserve">с 73,2 до 73,7%. Во всех муниципальных образованиях, кроме Томского района, наблюдается стабильное снижение численности населения, как за счет естественной убыли, так и в результате миграции. Наибольшее снижение отмечается </w:t>
      </w:r>
      <w:r w:rsidR="00E40A60">
        <w:rPr>
          <w:rFonts w:ascii="Times New Roman" w:hAnsi="Times New Roman"/>
          <w:color w:val="auto"/>
          <w:sz w:val="26"/>
          <w:szCs w:val="26"/>
        </w:rPr>
        <w:br/>
      </w:r>
      <w:r w:rsidRPr="000938FD">
        <w:rPr>
          <w:rFonts w:ascii="Times New Roman" w:hAnsi="Times New Roman"/>
          <w:color w:val="auto"/>
          <w:sz w:val="26"/>
          <w:szCs w:val="26"/>
        </w:rPr>
        <w:lastRenderedPageBreak/>
        <w:t xml:space="preserve">на слабоосвоенных территориях северной и западной частей области. Например, </w:t>
      </w:r>
      <w:r w:rsidR="00E40A60">
        <w:rPr>
          <w:rFonts w:ascii="Times New Roman" w:hAnsi="Times New Roman"/>
          <w:color w:val="auto"/>
          <w:sz w:val="26"/>
          <w:szCs w:val="26"/>
        </w:rPr>
        <w:br/>
      </w:r>
      <w:r w:rsidRPr="000938FD">
        <w:rPr>
          <w:rFonts w:ascii="Times New Roman" w:hAnsi="Times New Roman"/>
          <w:color w:val="auto"/>
          <w:sz w:val="26"/>
          <w:szCs w:val="26"/>
        </w:rPr>
        <w:t>в Колпашевском районе и г. Кедровом в период 2020 – 2025 годов убыль населения превысила 10%.</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В то же время соотношение городского и сельского населения остается стабильным: в период 2020</w:t>
      </w:r>
      <w:r w:rsidR="00E40A60">
        <w:rPr>
          <w:rFonts w:ascii="Times New Roman" w:hAnsi="Times New Roman"/>
          <w:color w:val="auto"/>
          <w:sz w:val="26"/>
          <w:szCs w:val="26"/>
        </w:rPr>
        <w:t xml:space="preserve"> </w:t>
      </w:r>
      <w:r w:rsidRPr="000938FD">
        <w:rPr>
          <w:rFonts w:ascii="Times New Roman" w:hAnsi="Times New Roman"/>
          <w:color w:val="auto"/>
          <w:sz w:val="26"/>
          <w:szCs w:val="26"/>
        </w:rPr>
        <w:t>–</w:t>
      </w:r>
      <w:r w:rsidR="00E40A60">
        <w:rPr>
          <w:rFonts w:ascii="Times New Roman" w:hAnsi="Times New Roman"/>
          <w:color w:val="auto"/>
          <w:sz w:val="26"/>
          <w:szCs w:val="26"/>
        </w:rPr>
        <w:t xml:space="preserve"> </w:t>
      </w:r>
      <w:r w:rsidRPr="000938FD">
        <w:rPr>
          <w:rFonts w:ascii="Times New Roman" w:hAnsi="Times New Roman"/>
          <w:color w:val="auto"/>
          <w:sz w:val="26"/>
          <w:szCs w:val="26"/>
        </w:rPr>
        <w:t>2025 годов доля сельского населения устойчиво сохранялась на уровне 28 – 29%. В 2024 году</w:t>
      </w:r>
      <w:r w:rsidRPr="000938FD">
        <w:rPr>
          <w:rStyle w:val="af3"/>
          <w:rFonts w:ascii="Times New Roman" w:hAnsi="Times New Roman"/>
          <w:color w:val="auto"/>
          <w:sz w:val="26"/>
          <w:szCs w:val="26"/>
        </w:rPr>
        <w:footnoteReference w:id="12"/>
      </w:r>
      <w:r w:rsidRPr="000938FD">
        <w:rPr>
          <w:rFonts w:ascii="Times New Roman" w:hAnsi="Times New Roman"/>
          <w:color w:val="auto"/>
          <w:sz w:val="26"/>
          <w:szCs w:val="26"/>
        </w:rPr>
        <w:t xml:space="preserve"> целевое значение данного показателя было достигнуто с перевыполнением 1,47 п. п. и составило 28,80%. Устойчивое развитие сельских территорий региона подтверждается динамикой показателя «Соотношение среднемесячных располагаемых ресурсов сельского и городского домохозяйств» от 79,07% в 2020 году до 91% в 2024 году</w:t>
      </w:r>
      <w:r w:rsidRPr="000938FD">
        <w:rPr>
          <w:rStyle w:val="af3"/>
          <w:rFonts w:ascii="Times New Roman" w:hAnsi="Times New Roman"/>
          <w:color w:val="auto"/>
          <w:sz w:val="26"/>
          <w:szCs w:val="26"/>
        </w:rPr>
        <w:footnoteReference w:id="13"/>
      </w:r>
      <w:r w:rsidRPr="000938FD">
        <w:rPr>
          <w:rFonts w:ascii="Times New Roman" w:hAnsi="Times New Roman"/>
          <w:color w:val="auto"/>
          <w:sz w:val="26"/>
          <w:szCs w:val="26"/>
        </w:rPr>
        <w:t xml:space="preserve"> (уровень достижения целевого значения 114,2%). </w:t>
      </w:r>
    </w:p>
    <w:p w:rsidR="00E618FE" w:rsidRPr="000938FD" w:rsidRDefault="00800098">
      <w:pPr>
        <w:ind w:firstLine="720"/>
        <w:jc w:val="both"/>
        <w:rPr>
          <w:sz w:val="26"/>
          <w:szCs w:val="26"/>
        </w:rPr>
      </w:pPr>
      <w:r w:rsidRPr="000938FD">
        <w:rPr>
          <w:sz w:val="26"/>
          <w:szCs w:val="26"/>
        </w:rPr>
        <w:t xml:space="preserve">На уровне каждого муниципального образования, включая 16 муниципальных районов, 1 муниципальный округ и 3 городских округа, приняты стратегии социально-экономического развития, в которых заложены решения по созданию новой экономической базы, реализуются инвестиционная и предпринимательская политики. Однако усилия по созданию основ для новой занятости и диверсификации экономики в муниципалитетах пока не дали значительного эффекта. В большей части муниципальных образований Томской области по-прежнему превалирует хозяйственный уклад с преобладанием первичного сектора экономики, </w:t>
      </w:r>
      <w:r w:rsidRPr="000938FD">
        <w:rPr>
          <w:sz w:val="26"/>
          <w:szCs w:val="26"/>
        </w:rPr>
        <w:br/>
        <w:t xml:space="preserve">а уровень жизни населения находится в высокой зависимости </w:t>
      </w:r>
      <w:r w:rsidRPr="000938FD">
        <w:rPr>
          <w:sz w:val="26"/>
          <w:szCs w:val="26"/>
        </w:rPr>
        <w:br/>
        <w:t xml:space="preserve">от деятельности бюджетного сектора. В противовес этому развитие Томской агломерации происходит по интенсивному пути </w:t>
      </w:r>
      <w:r w:rsidR="00E40A60">
        <w:rPr>
          <w:sz w:val="26"/>
          <w:szCs w:val="26"/>
        </w:rPr>
        <w:t>–</w:t>
      </w:r>
      <w:r w:rsidRPr="000938FD">
        <w:rPr>
          <w:sz w:val="26"/>
          <w:szCs w:val="26"/>
        </w:rPr>
        <w:t xml:space="preserve"> за счет наращивания инновационного потенциала и повышения качества человеческого капитала. </w:t>
      </w:r>
    </w:p>
    <w:p w:rsidR="00E618FE" w:rsidRPr="000938FD" w:rsidRDefault="00800098">
      <w:pPr>
        <w:pStyle w:val="a4"/>
        <w:rPr>
          <w:rFonts w:ascii="Times New Roman" w:hAnsi="Times New Roman"/>
          <w:color w:val="auto"/>
          <w:sz w:val="26"/>
          <w:szCs w:val="26"/>
        </w:rPr>
      </w:pPr>
      <w:bookmarkStart w:id="30" w:name="_Hlk227851992"/>
      <w:bookmarkStart w:id="31" w:name="жилищно-коммунальное-хозяйство"/>
      <w:bookmarkStart w:id="32" w:name="энергетический-и-газовый-комплекс"/>
      <w:r w:rsidRPr="00FE40FE">
        <w:rPr>
          <w:rFonts w:ascii="Times New Roman" w:hAnsi="Times New Roman"/>
          <w:b/>
          <w:bCs/>
          <w:color w:val="auto"/>
        </w:rPr>
        <w:t xml:space="preserve">Транспортная инфраструктура: автомобильные дороги </w:t>
      </w:r>
      <w:r w:rsidRPr="00FE40FE">
        <w:rPr>
          <w:rFonts w:ascii="Times New Roman" w:hAnsi="Times New Roman"/>
          <w:b/>
          <w:bCs/>
          <w:color w:val="auto"/>
        </w:rPr>
        <w:br/>
        <w:t>и пассажироперевозки.</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В сфере транспортного строительства реализован ряд ключевых проектов. К их числу относятся капитальный ремонт моста через реку Томь в г. Томске, строительство мостового перехода через реку Яя, начало строительства Малого транспортного кольца г. Томска.</w:t>
      </w:r>
    </w:p>
    <w:p w:rsidR="00E618FE" w:rsidRPr="000938FD" w:rsidRDefault="00800098">
      <w:pPr>
        <w:ind w:firstLine="720"/>
        <w:jc w:val="both"/>
        <w:rPr>
          <w:sz w:val="26"/>
          <w:szCs w:val="26"/>
        </w:rPr>
      </w:pPr>
      <w:r w:rsidRPr="000938FD">
        <w:rPr>
          <w:sz w:val="26"/>
          <w:szCs w:val="26"/>
        </w:rPr>
        <w:t>Удалось превысить плановые значения по протяженности автомобильных дорог общего пользования с твердым покрытием: 8108,0 км на конец 2024 года при плановом значении 7522,7 км. Рост показателя обеспечен главным образом за счет оформления прав на ранее построенные автомобильные дороги местного значения. При этом д</w:t>
      </w:r>
      <w:r w:rsidRPr="000938FD">
        <w:rPr>
          <w:sz w:val="26"/>
          <w:szCs w:val="26"/>
          <w:lang w:eastAsia="ar-SA"/>
        </w:rPr>
        <w:t>оля дорожной сети городских агломераций,</w:t>
      </w:r>
      <w:r w:rsidRPr="000938FD">
        <w:rPr>
          <w:sz w:val="26"/>
          <w:szCs w:val="26"/>
        </w:rPr>
        <w:t xml:space="preserve"> находящаяся в нормативном состоянии, составила 77,0% при запланированном показателе 79%.</w:t>
      </w:r>
    </w:p>
    <w:p w:rsidR="00E618FE" w:rsidRPr="000938FD" w:rsidRDefault="00800098">
      <w:pPr>
        <w:ind w:firstLine="709"/>
        <w:jc w:val="both"/>
        <w:rPr>
          <w:sz w:val="26"/>
          <w:szCs w:val="26"/>
        </w:rPr>
      </w:pPr>
      <w:r w:rsidRPr="000938FD">
        <w:rPr>
          <w:sz w:val="26"/>
          <w:szCs w:val="26"/>
        </w:rPr>
        <w:t xml:space="preserve">Осуществлена реконструкция международного аэропорта Томск (Богашево) имени Н.И. Камова. В 2024 году в аэропорту открыт новый терминал внутренних авиалиний, реконструирована взлетно-посадочная полоса и обновлено навигационное оборудование. Намечено проведение капитального ремонта перрона, рулежной дорожки и других элементов инфраструктуры. Объем пассажиропотока аэропорта в 2024 году составил 653 тыс. пассажиров, но не достиг целевого значения показателя </w:t>
      </w:r>
      <w:r w:rsidR="00E40A60">
        <w:rPr>
          <w:sz w:val="26"/>
          <w:szCs w:val="26"/>
        </w:rPr>
        <w:t>–</w:t>
      </w:r>
      <w:r w:rsidRPr="000938FD">
        <w:rPr>
          <w:sz w:val="26"/>
          <w:szCs w:val="26"/>
        </w:rPr>
        <w:t xml:space="preserve"> 808,2 тыс. пассажиров. </w:t>
      </w:r>
    </w:p>
    <w:p w:rsidR="00E618FE" w:rsidRPr="000938FD" w:rsidRDefault="00800098">
      <w:pPr>
        <w:ind w:firstLine="720"/>
        <w:jc w:val="both"/>
        <w:rPr>
          <w:sz w:val="26"/>
          <w:szCs w:val="26"/>
        </w:rPr>
      </w:pPr>
      <w:r w:rsidRPr="000938FD">
        <w:rPr>
          <w:sz w:val="26"/>
          <w:szCs w:val="26"/>
        </w:rPr>
        <w:lastRenderedPageBreak/>
        <w:t>В результате недофинансирования транспортного комплекса из федерального бюджета не начата реализация крупных инфраструктурных проектов (строительство Северо-Сибирской железнодорожной магистрали, железнодорожного обхода г. Томска, железнодорожной линии Томск – Киреевск – Бакчар, строительство вторых железнодорожных путей на линии Тайга – Томск – Белый Яр, организация скоростного движения поездов на участке Новосибирск – Томск). При высокой значимости этих мероприятий для социально-экономического развития области срок их фактической реализации не определен; напротив, в настоящее время ставится вопрос об отказе от строительства Северо-Сибирской железнодорожной магистрали.</w:t>
      </w:r>
      <w:bookmarkEnd w:id="30"/>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Жилищно-коммунальное хозяйство.</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 xml:space="preserve">Стабильный рост демонстрирует показатель жилищной обеспеченности. Общая площадь жилых помещений, приходящаяся в среднем на одного жителя области, выросла с 25,8 кв. м в конце 2020 года до 28,2 кв. м в конце 2024 года и до 28,5 кв. м на конец 2025 года. Такие результаты определяются главным образом активным жилищным строительством </w:t>
      </w:r>
      <w:r w:rsidR="00E40A60">
        <w:rPr>
          <w:rFonts w:ascii="Times New Roman" w:hAnsi="Times New Roman"/>
          <w:color w:val="auto"/>
          <w:sz w:val="26"/>
          <w:szCs w:val="26"/>
        </w:rPr>
        <w:br/>
      </w:r>
      <w:r w:rsidRPr="000938FD">
        <w:rPr>
          <w:rFonts w:ascii="Times New Roman" w:hAnsi="Times New Roman"/>
          <w:color w:val="auto"/>
          <w:sz w:val="26"/>
          <w:szCs w:val="26"/>
        </w:rPr>
        <w:t xml:space="preserve">в Томской агломерации, а также уменьшением численности населения </w:t>
      </w:r>
      <w:r w:rsidR="00E40A60">
        <w:rPr>
          <w:rFonts w:ascii="Times New Roman" w:hAnsi="Times New Roman"/>
          <w:color w:val="auto"/>
          <w:sz w:val="26"/>
          <w:szCs w:val="26"/>
        </w:rPr>
        <w:br/>
      </w:r>
      <w:r w:rsidRPr="000938FD">
        <w:rPr>
          <w:rFonts w:ascii="Times New Roman" w:hAnsi="Times New Roman"/>
          <w:color w:val="auto"/>
          <w:sz w:val="26"/>
          <w:szCs w:val="26"/>
        </w:rPr>
        <w:t xml:space="preserve">в периферийных населенных пунктах. </w:t>
      </w:r>
      <w:bookmarkEnd w:id="31"/>
    </w:p>
    <w:p w:rsidR="00E618FE" w:rsidRPr="000938FD" w:rsidRDefault="00800098">
      <w:pPr>
        <w:pStyle w:val="a4"/>
        <w:rPr>
          <w:rFonts w:ascii="Times New Roman" w:hAnsi="Times New Roman"/>
          <w:color w:val="auto"/>
          <w:sz w:val="26"/>
          <w:szCs w:val="26"/>
          <w:lang w:eastAsia="ru-RU"/>
        </w:rPr>
      </w:pPr>
      <w:r w:rsidRPr="000938FD">
        <w:rPr>
          <w:rFonts w:ascii="Times New Roman" w:hAnsi="Times New Roman"/>
          <w:color w:val="auto"/>
          <w:sz w:val="26"/>
          <w:szCs w:val="26"/>
        </w:rPr>
        <w:t>В сфере жилищно-коммунального хозяйства зафиксирован значительный прогресс по снижению аварийности. Количество аварий в системах теплоснабжения, водоснабжения и очистки сточных вод в 2024</w:t>
      </w:r>
      <w:r w:rsidRPr="000938FD">
        <w:rPr>
          <w:rFonts w:ascii="Times New Roman" w:hAnsi="Times New Roman"/>
          <w:color w:val="auto"/>
          <w:sz w:val="26"/>
          <w:szCs w:val="26"/>
          <w:lang w:val="en-US"/>
        </w:rPr>
        <w:t> </w:t>
      </w:r>
      <w:r w:rsidRPr="000938FD">
        <w:rPr>
          <w:rFonts w:ascii="Times New Roman" w:hAnsi="Times New Roman"/>
          <w:color w:val="auto"/>
          <w:sz w:val="26"/>
          <w:szCs w:val="26"/>
        </w:rPr>
        <w:t>году</w:t>
      </w:r>
      <w:r w:rsidRPr="000938FD">
        <w:rPr>
          <w:rStyle w:val="af3"/>
          <w:rFonts w:ascii="Times New Roman" w:hAnsi="Times New Roman"/>
          <w:color w:val="auto"/>
          <w:sz w:val="26"/>
          <w:szCs w:val="26"/>
        </w:rPr>
        <w:footnoteReference w:id="14"/>
      </w:r>
      <w:r w:rsidRPr="000938FD">
        <w:rPr>
          <w:rFonts w:ascii="Times New Roman" w:hAnsi="Times New Roman"/>
          <w:color w:val="auto"/>
          <w:sz w:val="26"/>
          <w:szCs w:val="26"/>
        </w:rPr>
        <w:t xml:space="preserve"> составило 87 единиц </w:t>
      </w:r>
      <w:r w:rsidR="00E40A60">
        <w:rPr>
          <w:rFonts w:ascii="Times New Roman" w:hAnsi="Times New Roman"/>
          <w:color w:val="auto"/>
          <w:sz w:val="26"/>
          <w:szCs w:val="26"/>
        </w:rPr>
        <w:br/>
      </w:r>
      <w:r w:rsidRPr="000938FD">
        <w:rPr>
          <w:rFonts w:ascii="Times New Roman" w:hAnsi="Times New Roman"/>
          <w:color w:val="auto"/>
          <w:sz w:val="26"/>
          <w:szCs w:val="26"/>
        </w:rPr>
        <w:t xml:space="preserve">при плановом значении 129 (в 2020 году </w:t>
      </w:r>
      <w:r w:rsidR="00E40A60">
        <w:rPr>
          <w:rFonts w:ascii="Times New Roman" w:hAnsi="Times New Roman"/>
          <w:color w:val="auto"/>
          <w:sz w:val="26"/>
          <w:szCs w:val="26"/>
        </w:rPr>
        <w:t>–</w:t>
      </w:r>
      <w:r w:rsidRPr="000938FD">
        <w:rPr>
          <w:rFonts w:ascii="Times New Roman" w:hAnsi="Times New Roman"/>
          <w:color w:val="auto"/>
          <w:sz w:val="26"/>
          <w:szCs w:val="26"/>
        </w:rPr>
        <w:t xml:space="preserve"> 164), что соответствует перевыполнению показателя на 148,28%. Это один из наиболее заметных </w:t>
      </w:r>
      <w:r w:rsidRPr="000938FD">
        <w:rPr>
          <w:rFonts w:ascii="Times New Roman" w:hAnsi="Times New Roman"/>
          <w:color w:val="auto"/>
          <w:sz w:val="26"/>
          <w:szCs w:val="26"/>
          <w:lang w:eastAsia="ru-RU"/>
        </w:rPr>
        <w:t>количественных результатов Цели 4.</w:t>
      </w:r>
    </w:p>
    <w:p w:rsidR="00E618FE" w:rsidRPr="000938FD" w:rsidRDefault="00800098">
      <w:pPr>
        <w:pStyle w:val="a4"/>
        <w:rPr>
          <w:rFonts w:ascii="Times New Roman" w:hAnsi="Times New Roman"/>
          <w:color w:val="auto"/>
          <w:sz w:val="26"/>
          <w:szCs w:val="26"/>
          <w:lang w:eastAsia="ru-RU"/>
        </w:rPr>
      </w:pPr>
      <w:r w:rsidRPr="000938FD">
        <w:rPr>
          <w:rFonts w:ascii="Times New Roman" w:hAnsi="Times New Roman"/>
          <w:color w:val="auto"/>
          <w:sz w:val="26"/>
          <w:szCs w:val="26"/>
          <w:lang w:eastAsia="ru-RU"/>
        </w:rPr>
        <w:t xml:space="preserve">При этом коммунальная инфраструктура в целом остается одной </w:t>
      </w:r>
      <w:r w:rsidRPr="000938FD">
        <w:rPr>
          <w:rFonts w:ascii="Times New Roman" w:hAnsi="Times New Roman"/>
          <w:color w:val="auto"/>
          <w:sz w:val="26"/>
          <w:szCs w:val="26"/>
          <w:lang w:eastAsia="ru-RU"/>
        </w:rPr>
        <w:br/>
        <w:t>из наиболее уязвимых отраслей региона. Значительный износ оборудования и сетей водоснабжения, теплоснабжения, электроснабжения и водоотведения в дальнейшем может привести к увеличению количества аварийных ситуаций и масштаба их последствий, что прямым образом скажется на качестве жизнеобеспечения населения.</w:t>
      </w:r>
    </w:p>
    <w:p w:rsidR="00E618FE" w:rsidRPr="000938FD" w:rsidRDefault="00800098">
      <w:pPr>
        <w:pStyle w:val="a4"/>
        <w:rPr>
          <w:rFonts w:ascii="Times New Roman" w:hAnsi="Times New Roman"/>
          <w:color w:val="auto"/>
          <w:sz w:val="26"/>
          <w:szCs w:val="26"/>
        </w:rPr>
      </w:pPr>
      <w:r w:rsidRPr="00FE40FE">
        <w:rPr>
          <w:rFonts w:ascii="Times New Roman" w:hAnsi="Times New Roman"/>
          <w:b/>
          <w:bCs/>
          <w:color w:val="auto"/>
        </w:rPr>
        <w:t>Энергетический и газовый комплекс.</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 xml:space="preserve">Энергетический комплекс Томской области в период 2020 – 2025 годов показал смешанную динамику. Уровень газификации населения Томской области по состоянию на 1 января 2026 года составил 67,7% при плановом значении на 2025 г. 44%, что является одним </w:t>
      </w:r>
      <w:r w:rsidR="00E40A60">
        <w:rPr>
          <w:rFonts w:ascii="Times New Roman" w:hAnsi="Times New Roman"/>
          <w:color w:val="auto"/>
          <w:sz w:val="26"/>
          <w:szCs w:val="26"/>
        </w:rPr>
        <w:br/>
      </w:r>
      <w:r w:rsidRPr="000938FD">
        <w:rPr>
          <w:rFonts w:ascii="Times New Roman" w:hAnsi="Times New Roman"/>
          <w:color w:val="auto"/>
          <w:sz w:val="26"/>
          <w:szCs w:val="26"/>
        </w:rPr>
        <w:t xml:space="preserve">из заметных достижений периода. На перевыполнение планового показателя повлияло подключение потребителей к сетям газоснабжения населенных пунктов </w:t>
      </w:r>
      <w:r w:rsidR="00E40A60">
        <w:rPr>
          <w:rFonts w:ascii="Times New Roman" w:hAnsi="Times New Roman"/>
          <w:color w:val="auto"/>
          <w:sz w:val="26"/>
          <w:szCs w:val="26"/>
        </w:rPr>
        <w:br/>
      </w:r>
      <w:r w:rsidRPr="000938FD">
        <w:rPr>
          <w:rFonts w:ascii="Times New Roman" w:hAnsi="Times New Roman"/>
          <w:color w:val="auto"/>
          <w:sz w:val="26"/>
          <w:szCs w:val="26"/>
        </w:rPr>
        <w:t xml:space="preserve">г. Томска, Шегарского, Асиновского, Зырянского и Первомайского районов Томской области в рамках исполнения постановления Правительства Российской Федерации от 13 сентября 2021 года № 1547. </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Темпы снижения энергоемкости на протяжении рассматриваемого периода превышали плановые значения: в 2024 году</w:t>
      </w:r>
      <w:r w:rsidRPr="000938FD">
        <w:rPr>
          <w:rStyle w:val="af3"/>
          <w:rFonts w:ascii="Times New Roman" w:hAnsi="Times New Roman"/>
          <w:color w:val="auto"/>
          <w:sz w:val="26"/>
          <w:szCs w:val="26"/>
        </w:rPr>
        <w:footnoteReference w:id="15"/>
      </w:r>
      <w:r w:rsidRPr="000938FD">
        <w:rPr>
          <w:rFonts w:ascii="Times New Roman" w:hAnsi="Times New Roman"/>
          <w:color w:val="auto"/>
          <w:sz w:val="26"/>
          <w:szCs w:val="26"/>
        </w:rPr>
        <w:t xml:space="preserve"> удельный расход </w:t>
      </w:r>
      <w:r w:rsidRPr="000938FD">
        <w:rPr>
          <w:rStyle w:val="searchresult"/>
          <w:rFonts w:ascii="Times New Roman" w:hAnsi="Times New Roman"/>
          <w:color w:val="auto"/>
          <w:sz w:val="26"/>
          <w:szCs w:val="26"/>
        </w:rPr>
        <w:t>топлив</w:t>
      </w:r>
      <w:r w:rsidRPr="000938FD">
        <w:rPr>
          <w:rFonts w:ascii="Times New Roman" w:hAnsi="Times New Roman"/>
          <w:color w:val="auto"/>
          <w:sz w:val="26"/>
          <w:szCs w:val="26"/>
        </w:rPr>
        <w:t xml:space="preserve">а </w:t>
      </w:r>
      <w:r w:rsidR="00E40A60">
        <w:rPr>
          <w:rFonts w:ascii="Times New Roman" w:hAnsi="Times New Roman"/>
          <w:color w:val="auto"/>
          <w:sz w:val="26"/>
          <w:szCs w:val="26"/>
        </w:rPr>
        <w:br/>
      </w:r>
      <w:r w:rsidRPr="000938FD">
        <w:rPr>
          <w:rFonts w:ascii="Times New Roman" w:hAnsi="Times New Roman"/>
          <w:color w:val="auto"/>
          <w:sz w:val="26"/>
          <w:szCs w:val="26"/>
        </w:rPr>
        <w:t xml:space="preserve">на отпущенную электрическую энергию объектами, функционирующими в режиме комбинированной выработки электрической и тепловой энергии, составил </w:t>
      </w:r>
      <w:r w:rsidR="00E40A60">
        <w:rPr>
          <w:rFonts w:ascii="Times New Roman" w:hAnsi="Times New Roman"/>
          <w:color w:val="auto"/>
          <w:sz w:val="26"/>
          <w:szCs w:val="26"/>
        </w:rPr>
        <w:br/>
      </w:r>
      <w:r w:rsidRPr="000938FD">
        <w:rPr>
          <w:rFonts w:ascii="Times New Roman" w:hAnsi="Times New Roman"/>
          <w:color w:val="auto"/>
          <w:sz w:val="26"/>
          <w:szCs w:val="26"/>
        </w:rPr>
        <w:t xml:space="preserve">322,25 г. у. т/кВт.ч при запланированном показателе 328,3. Такой эффект был </w:t>
      </w:r>
      <w:r w:rsidRPr="000938FD">
        <w:rPr>
          <w:rFonts w:ascii="Times New Roman" w:hAnsi="Times New Roman"/>
          <w:color w:val="auto"/>
          <w:sz w:val="26"/>
          <w:szCs w:val="26"/>
        </w:rPr>
        <w:lastRenderedPageBreak/>
        <w:t>достигнут за счет модернизации и технического переоснащения предприятий топливно-энергетического комплекса, рационального использования энергетических ресурсов.</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Одновременно сохраняются серьезные структурные ограничения: износ энергосетей остается одним из самых высоких в Сибирском федеральном округе, сохраняется энергодефицитность региона. Газовый кризис выражается в исчерпании лимитов на подключение, что блокирует реализацию новых проектов в Томском районе и Северске. </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По итогам 2025 года индекс промышленного производства в секторе энергетики составил 100,7%, а производство электроэнергии выросло </w:t>
      </w:r>
      <w:r w:rsidRPr="000938FD">
        <w:rPr>
          <w:rFonts w:ascii="Times New Roman" w:hAnsi="Times New Roman"/>
          <w:color w:val="auto"/>
          <w:sz w:val="26"/>
          <w:szCs w:val="26"/>
        </w:rPr>
        <w:br/>
        <w:t>на 4,3%. Собственная выработка электроэнергии достигла 3,949 млрд кВт.ч, что на 3,3% выше уровня 2024 года. В 2025 году регион начал сокращать разрыв между собственной генерацией и потреблением, однако базовый энергодефицит остается актуальным ограничением реализации Цели 4.</w:t>
      </w:r>
    </w:p>
    <w:p w:rsidR="00E618FE" w:rsidRPr="000938FD" w:rsidRDefault="00800098">
      <w:pPr>
        <w:pStyle w:val="a4"/>
        <w:rPr>
          <w:rFonts w:ascii="Times New Roman" w:hAnsi="Times New Roman"/>
          <w:color w:val="auto"/>
          <w:sz w:val="26"/>
          <w:szCs w:val="26"/>
        </w:rPr>
      </w:pPr>
      <w:bookmarkStart w:id="33" w:name="X7e4136c8f13c7f40058356d88994a87c39076d4"/>
      <w:bookmarkStart w:id="34" w:name="вывод-по-степени-достижения-цели-4"/>
      <w:bookmarkEnd w:id="32"/>
      <w:r w:rsidRPr="00FE40FE">
        <w:rPr>
          <w:rFonts w:ascii="Times New Roman" w:hAnsi="Times New Roman"/>
          <w:b/>
          <w:bCs/>
          <w:color w:val="auto"/>
        </w:rPr>
        <w:t>Информационно-коммуникационная инфраструктура.</w:t>
      </w:r>
      <w:r w:rsidRPr="000938FD">
        <w:rPr>
          <w:rFonts w:ascii="Times New Roman" w:hAnsi="Times New Roman"/>
          <w:b/>
          <w:bCs/>
          <w:color w:val="auto"/>
          <w:sz w:val="26"/>
          <w:szCs w:val="26"/>
        </w:rPr>
        <w:t xml:space="preserve"> </w:t>
      </w:r>
      <w:r w:rsidRPr="000938FD">
        <w:rPr>
          <w:rFonts w:ascii="Times New Roman" w:hAnsi="Times New Roman"/>
          <w:color w:val="auto"/>
          <w:sz w:val="26"/>
          <w:szCs w:val="26"/>
        </w:rPr>
        <w:t xml:space="preserve">В сфере информационно-коммуникационной инфраструктуры доля домохозяйств </w:t>
      </w:r>
      <w:r w:rsidRPr="000938FD">
        <w:rPr>
          <w:rFonts w:ascii="Times New Roman" w:hAnsi="Times New Roman"/>
          <w:color w:val="auto"/>
          <w:sz w:val="26"/>
          <w:szCs w:val="26"/>
        </w:rPr>
        <w:br/>
        <w:t>с широкополосным доступом к информационно-телекоммуникационной сети «Интернет» (далее – сеть «Интернет») в 2025 году достигла 88,5%, что позволило приблизиться к целевому показателю 90,2%.</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Часть населенных пунктов значительно удалена от областного центра, имеет малую численность населения, что делает затруднительным и дорогостоящим </w:t>
      </w:r>
      <w:r w:rsidR="00E40A60">
        <w:rPr>
          <w:rFonts w:ascii="Times New Roman" w:hAnsi="Times New Roman"/>
          <w:color w:val="auto"/>
          <w:sz w:val="26"/>
          <w:szCs w:val="26"/>
        </w:rPr>
        <w:br/>
      </w:r>
      <w:r w:rsidRPr="000938FD">
        <w:rPr>
          <w:rFonts w:ascii="Times New Roman" w:hAnsi="Times New Roman"/>
          <w:color w:val="auto"/>
          <w:sz w:val="26"/>
          <w:szCs w:val="26"/>
        </w:rPr>
        <w:t xml:space="preserve">их подключение к современным </w:t>
      </w:r>
      <w:r w:rsidRPr="000938FD">
        <w:rPr>
          <w:rStyle w:val="searchresult"/>
          <w:rFonts w:ascii="Times New Roman" w:hAnsi="Times New Roman"/>
          <w:color w:val="auto"/>
          <w:sz w:val="26"/>
          <w:szCs w:val="26"/>
        </w:rPr>
        <w:t>услугам</w:t>
      </w:r>
      <w:r w:rsidRPr="000938FD">
        <w:rPr>
          <w:rFonts w:ascii="Times New Roman" w:hAnsi="Times New Roman"/>
          <w:color w:val="auto"/>
          <w:sz w:val="26"/>
          <w:szCs w:val="26"/>
        </w:rPr>
        <w:t xml:space="preserve"> </w:t>
      </w:r>
      <w:r w:rsidRPr="000938FD">
        <w:rPr>
          <w:rStyle w:val="searchresult"/>
          <w:rFonts w:ascii="Times New Roman" w:hAnsi="Times New Roman"/>
          <w:color w:val="auto"/>
          <w:sz w:val="26"/>
          <w:szCs w:val="26"/>
        </w:rPr>
        <w:t>связи</w:t>
      </w:r>
      <w:r w:rsidRPr="000938FD">
        <w:rPr>
          <w:rFonts w:ascii="Times New Roman" w:hAnsi="Times New Roman"/>
          <w:color w:val="auto"/>
          <w:sz w:val="26"/>
          <w:szCs w:val="26"/>
        </w:rPr>
        <w:t>.</w:t>
      </w:r>
      <w:bookmarkEnd w:id="33"/>
    </w:p>
    <w:p w:rsidR="00E618FE" w:rsidRPr="000938FD" w:rsidRDefault="00800098">
      <w:pPr>
        <w:pStyle w:val="a4"/>
        <w:rPr>
          <w:rFonts w:ascii="Times New Roman" w:hAnsi="Times New Roman"/>
          <w:color w:val="auto"/>
          <w:sz w:val="26"/>
          <w:szCs w:val="26"/>
        </w:rPr>
      </w:pPr>
      <w:r w:rsidRPr="00FE40FE">
        <w:rPr>
          <w:rFonts w:ascii="Times New Roman" w:eastAsia="PT Astra Serif" w:hAnsi="Times New Roman"/>
          <w:b/>
          <w:bCs/>
          <w:color w:val="auto"/>
          <w:lang w:eastAsia="en-US" w:bidi="en-US"/>
        </w:rPr>
        <w:t xml:space="preserve">Вывод по степени достижения Цели 4. </w:t>
      </w:r>
      <w:r w:rsidRPr="000938FD">
        <w:rPr>
          <w:rFonts w:ascii="Times New Roman" w:hAnsi="Times New Roman"/>
          <w:color w:val="auto"/>
          <w:sz w:val="26"/>
          <w:szCs w:val="26"/>
        </w:rPr>
        <w:t xml:space="preserve">Цель 4 «Сбалансированное территориальное развитие и развитие инфраструктуры» по состоянию </w:t>
      </w:r>
      <w:r w:rsidR="00E40A60">
        <w:rPr>
          <w:rFonts w:ascii="Times New Roman" w:hAnsi="Times New Roman"/>
          <w:color w:val="auto"/>
          <w:sz w:val="26"/>
          <w:szCs w:val="26"/>
        </w:rPr>
        <w:br/>
      </w:r>
      <w:r w:rsidRPr="000938FD">
        <w:rPr>
          <w:rFonts w:ascii="Times New Roman" w:hAnsi="Times New Roman"/>
          <w:color w:val="auto"/>
          <w:sz w:val="26"/>
          <w:szCs w:val="26"/>
        </w:rPr>
        <w:t xml:space="preserve">на 2020 – 2025 годы может быть оценена как достигнутая частично. К числу </w:t>
      </w:r>
      <w:r w:rsidRPr="000938FD">
        <w:rPr>
          <w:rFonts w:ascii="Times New Roman" w:hAnsi="Times New Roman"/>
          <w:b/>
          <w:bCs/>
          <w:color w:val="auto"/>
          <w:sz w:val="26"/>
          <w:szCs w:val="26"/>
        </w:rPr>
        <w:t>основных достижений</w:t>
      </w:r>
      <w:r w:rsidRPr="000938FD">
        <w:rPr>
          <w:rFonts w:ascii="Times New Roman" w:hAnsi="Times New Roman"/>
          <w:color w:val="auto"/>
          <w:sz w:val="26"/>
          <w:szCs w:val="26"/>
        </w:rPr>
        <w:t xml:space="preserve"> относятся:</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опережающий рост показателя протяженности дорожной сети с твердым покрытием: 8108,0 км на начало 2025 года относительно целевого значения 7 533 км к 2030 году;</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перевыполнение плана по снижению аварийности в системах теплоснабжения, водоснабжения и очистки сточных вод: 87 аварий в 2024 году </w:t>
      </w:r>
      <w:r>
        <w:rPr>
          <w:rFonts w:ascii="Times New Roman" w:hAnsi="Times New Roman"/>
          <w:color w:val="auto"/>
          <w:sz w:val="26"/>
          <w:szCs w:val="26"/>
        </w:rPr>
        <w:br/>
      </w:r>
      <w:r w:rsidR="00800098" w:rsidRPr="000938FD">
        <w:rPr>
          <w:rFonts w:ascii="Times New Roman" w:hAnsi="Times New Roman"/>
          <w:color w:val="auto"/>
          <w:sz w:val="26"/>
          <w:szCs w:val="26"/>
        </w:rPr>
        <w:t>при плановом значении 129 (+148,28%);</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существенное превышение плана по уровню газификации </w:t>
      </w:r>
      <w:r>
        <w:rPr>
          <w:rFonts w:ascii="Times New Roman" w:hAnsi="Times New Roman"/>
          <w:color w:val="auto"/>
          <w:sz w:val="26"/>
          <w:szCs w:val="26"/>
        </w:rPr>
        <w:t>–</w:t>
      </w:r>
      <w:r w:rsidR="00800098" w:rsidRPr="000938FD">
        <w:rPr>
          <w:rFonts w:ascii="Times New Roman" w:hAnsi="Times New Roman"/>
          <w:color w:val="auto"/>
          <w:sz w:val="26"/>
          <w:szCs w:val="26"/>
        </w:rPr>
        <w:t xml:space="preserve"> уровень газификации населения Томской области по состоянию на 01.01.2026 составил 67,7%;</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повышение энергоэффективности объектов комбинированной выработки (удельный расход 322,25 г.у.т / кВт.ч против планового 328,3);</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рост производства электроэнергии и собственной генерации </w:t>
      </w:r>
      <w:r w:rsidR="00800098" w:rsidRPr="000938FD">
        <w:rPr>
          <w:rFonts w:ascii="Times New Roman" w:hAnsi="Times New Roman"/>
          <w:color w:val="auto"/>
          <w:sz w:val="26"/>
          <w:szCs w:val="26"/>
        </w:rPr>
        <w:br/>
        <w:t>в 2025 году (+4,3% и +3,3% соответственно);</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внесение сведений о границах всех 135 муниципальных образований </w:t>
      </w:r>
      <w:r>
        <w:rPr>
          <w:rFonts w:ascii="Times New Roman" w:hAnsi="Times New Roman"/>
          <w:color w:val="auto"/>
          <w:sz w:val="26"/>
          <w:szCs w:val="26"/>
        </w:rPr>
        <w:br/>
      </w:r>
      <w:r w:rsidR="00800098" w:rsidRPr="000938FD">
        <w:rPr>
          <w:rFonts w:ascii="Times New Roman" w:hAnsi="Times New Roman"/>
          <w:color w:val="auto"/>
          <w:sz w:val="26"/>
          <w:szCs w:val="26"/>
        </w:rPr>
        <w:t>в ЕГРН, что создает правовую основу для территориального планирования.</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Достижению цели 4 способствовало участие региона в национальном проекте «Инфраструктура для жизни», совершенствование работы по предотвращению </w:t>
      </w:r>
      <w:r w:rsidR="00E40A60">
        <w:rPr>
          <w:rFonts w:ascii="Times New Roman" w:hAnsi="Times New Roman"/>
          <w:color w:val="auto"/>
          <w:sz w:val="26"/>
          <w:szCs w:val="26"/>
        </w:rPr>
        <w:br/>
      </w:r>
      <w:r w:rsidRPr="000938FD">
        <w:rPr>
          <w:rFonts w:ascii="Times New Roman" w:hAnsi="Times New Roman"/>
          <w:color w:val="auto"/>
          <w:sz w:val="26"/>
          <w:szCs w:val="26"/>
        </w:rPr>
        <w:t xml:space="preserve">и ликвидации аварий (за счет мониторинга и контроля устранения аварий </w:t>
      </w:r>
      <w:r w:rsidR="00E40A60">
        <w:rPr>
          <w:rFonts w:ascii="Times New Roman" w:hAnsi="Times New Roman"/>
          <w:color w:val="auto"/>
          <w:sz w:val="26"/>
          <w:szCs w:val="26"/>
        </w:rPr>
        <w:br/>
      </w:r>
      <w:r w:rsidRPr="000938FD">
        <w:rPr>
          <w:rFonts w:ascii="Times New Roman" w:hAnsi="Times New Roman"/>
          <w:color w:val="auto"/>
          <w:sz w:val="26"/>
          <w:szCs w:val="26"/>
        </w:rPr>
        <w:t>и инцидентов на объектах жилищно-коммунального хозяйства).</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В эксплуатацию введено трансформаторных мощностей на 28,6 МВА, построено и реконструировано более 195,93 км линий электропередачи (воздушных </w:t>
      </w:r>
      <w:r w:rsidRPr="000938FD">
        <w:rPr>
          <w:rFonts w:ascii="Times New Roman" w:hAnsi="Times New Roman"/>
          <w:color w:val="auto"/>
          <w:sz w:val="26"/>
          <w:szCs w:val="26"/>
        </w:rPr>
        <w:lastRenderedPageBreak/>
        <w:t>и кабельных), проведены работы по расчистке и расширению просек линий электропередачи в объеме более 4 003,9 га.</w:t>
      </w:r>
    </w:p>
    <w:p w:rsidR="00E618FE" w:rsidRPr="000938FD" w:rsidRDefault="00800098">
      <w:pPr>
        <w:pStyle w:val="a4"/>
        <w:ind w:left="709" w:firstLine="0"/>
        <w:rPr>
          <w:rFonts w:ascii="Times New Roman" w:hAnsi="Times New Roman"/>
          <w:color w:val="auto"/>
          <w:sz w:val="26"/>
          <w:szCs w:val="26"/>
        </w:rPr>
      </w:pPr>
      <w:r w:rsidRPr="000938FD">
        <w:rPr>
          <w:rFonts w:ascii="Times New Roman" w:hAnsi="Times New Roman"/>
          <w:color w:val="auto"/>
          <w:sz w:val="26"/>
          <w:szCs w:val="26"/>
        </w:rPr>
        <w:t xml:space="preserve">Вместе с тем сохраняются </w:t>
      </w:r>
      <w:r w:rsidRPr="000938FD">
        <w:rPr>
          <w:rFonts w:ascii="Times New Roman" w:hAnsi="Times New Roman"/>
          <w:b/>
          <w:bCs/>
          <w:color w:val="auto"/>
          <w:sz w:val="26"/>
          <w:szCs w:val="26"/>
        </w:rPr>
        <w:t>критические ограничения</w:t>
      </w:r>
      <w:r w:rsidRPr="000938FD">
        <w:rPr>
          <w:rFonts w:ascii="Times New Roman" w:hAnsi="Times New Roman"/>
          <w:color w:val="auto"/>
          <w:sz w:val="26"/>
          <w:szCs w:val="26"/>
        </w:rPr>
        <w:t>:</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недостаточная плотность автомобильных дорог с твердым покрытием </w:t>
      </w:r>
      <w:r>
        <w:rPr>
          <w:rFonts w:ascii="Times New Roman" w:hAnsi="Times New Roman"/>
          <w:color w:val="auto"/>
          <w:sz w:val="26"/>
          <w:szCs w:val="26"/>
        </w:rPr>
        <w:br/>
      </w:r>
      <w:r w:rsidR="00800098" w:rsidRPr="000938FD">
        <w:rPr>
          <w:rFonts w:ascii="Times New Roman" w:hAnsi="Times New Roman"/>
          <w:color w:val="auto"/>
          <w:sz w:val="26"/>
          <w:szCs w:val="26"/>
        </w:rPr>
        <w:t>(26 км на 1 000 кв. км) и низкая доля дорожной сети агломераций в нормативном состоянии (77,02% при плане 85%);</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отставание авиапассажироперевозок от плановых ориентиров </w:t>
      </w:r>
      <w:r>
        <w:rPr>
          <w:rFonts w:ascii="Times New Roman" w:hAnsi="Times New Roman"/>
          <w:color w:val="auto"/>
          <w:sz w:val="26"/>
          <w:szCs w:val="26"/>
        </w:rPr>
        <w:br/>
      </w:r>
      <w:r w:rsidR="00800098" w:rsidRPr="000938FD">
        <w:rPr>
          <w:rFonts w:ascii="Times New Roman" w:hAnsi="Times New Roman"/>
          <w:color w:val="auto"/>
          <w:sz w:val="26"/>
          <w:szCs w:val="26"/>
        </w:rPr>
        <w:t>(650 тыс. пассажиров при плане 808,17 тыс.) и необходимость расширения сети субсидируемых направлений;</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критически высокий износ коммунальных и энергетических сетей, создающий риски для безопасности ресурсоснабжения;</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xml:space="preserve"> энергодефицитность региона, при этом энергосети имеют один </w:t>
      </w:r>
      <w:r w:rsidR="00800098" w:rsidRPr="000938FD">
        <w:rPr>
          <w:rFonts w:ascii="Times New Roman" w:hAnsi="Times New Roman"/>
          <w:color w:val="auto"/>
          <w:sz w:val="26"/>
          <w:szCs w:val="26"/>
        </w:rPr>
        <w:br/>
        <w:t>из самых высоких уровней износа в Сибирском федеральном округе;</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исчерпание лимитов на подключение к газовым сетям;</w:t>
      </w:r>
    </w:p>
    <w:p w:rsidR="00E618FE" w:rsidRPr="000938FD" w:rsidRDefault="00E40A60">
      <w:pPr>
        <w:pStyle w:val="a4"/>
        <w:rPr>
          <w:rFonts w:ascii="Times New Roman" w:hAnsi="Times New Roman"/>
          <w:color w:val="auto"/>
          <w:sz w:val="26"/>
          <w:szCs w:val="26"/>
        </w:rPr>
      </w:pPr>
      <w:r>
        <w:rPr>
          <w:rFonts w:ascii="Times New Roman" w:hAnsi="Times New Roman"/>
          <w:color w:val="auto"/>
          <w:sz w:val="26"/>
          <w:szCs w:val="26"/>
        </w:rPr>
        <w:t>–</w:t>
      </w:r>
      <w:r w:rsidR="00800098" w:rsidRPr="000938FD">
        <w:rPr>
          <w:rFonts w:ascii="Times New Roman" w:hAnsi="Times New Roman"/>
          <w:color w:val="auto"/>
          <w:sz w:val="26"/>
          <w:szCs w:val="26"/>
        </w:rPr>
        <w:t> структурные пространственные ограничения: неоднородность освоенности и коммуникационной обслуженности территории, слабая связанность северной части области, удаленность от Транссибирского транспортного коридора.</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Сложности в достижении Цели 4 обусловлены, главным образом, дефицитом инвестиций, инфраструктурной неоднородностью территории Томской области и значительным ростом стоимости строительных и реконструктивных мероприятий.</w:t>
      </w:r>
    </w:p>
    <w:p w:rsidR="00E618FE" w:rsidRPr="000938FD" w:rsidRDefault="00800098">
      <w:pPr>
        <w:pStyle w:val="a4"/>
        <w:rPr>
          <w:rFonts w:ascii="Times New Roman" w:hAnsi="Times New Roman"/>
          <w:color w:val="auto"/>
          <w:sz w:val="26"/>
          <w:szCs w:val="26"/>
        </w:rPr>
      </w:pPr>
      <w:r w:rsidRPr="000938FD">
        <w:rPr>
          <w:rFonts w:ascii="Times New Roman" w:hAnsi="Times New Roman"/>
          <w:color w:val="auto"/>
          <w:sz w:val="26"/>
          <w:szCs w:val="26"/>
        </w:rPr>
        <w:t xml:space="preserve">Несмотря на активные действия, связанные с развитием дорожной </w:t>
      </w:r>
      <w:r w:rsidRPr="000938FD">
        <w:rPr>
          <w:rFonts w:ascii="Times New Roman" w:hAnsi="Times New Roman"/>
          <w:color w:val="auto"/>
          <w:sz w:val="26"/>
          <w:szCs w:val="26"/>
        </w:rPr>
        <w:br/>
        <w:t xml:space="preserve">и коммунальной инфраструктуры, значительно продвинуться на пути снятия основных инфраструктурных ограничений региону не удалось. Для комплексного достижения Цели 4 в горизонте до 2030 года необходимы ускоренная модернизация коммунальных и энергетических сетей, реализация проектов газификации за счет строительства ПАО «Газпром» газопровода КС «Аганская» (Ханты-Мансийский автономный округ — Югра) — КС «Вертикос», развитие транспортной связанности частей области и системные инвестиции в инфраструктуру обращения с ТКО. </w:t>
      </w:r>
    </w:p>
    <w:p w:rsidR="00E618FE" w:rsidRPr="00535A4B" w:rsidRDefault="00E618FE">
      <w:pPr>
        <w:ind w:firstLine="720"/>
        <w:jc w:val="both"/>
        <w:rPr>
          <w:sz w:val="28"/>
          <w:szCs w:val="28"/>
          <w:lang w:eastAsia="ar-SA"/>
        </w:rPr>
      </w:pPr>
    </w:p>
    <w:p w:rsidR="00E618FE" w:rsidRPr="00535A4B" w:rsidRDefault="00800098">
      <w:pPr>
        <w:pStyle w:val="21"/>
        <w:rPr>
          <w:rFonts w:ascii="Times New Roman" w:eastAsia="PT Astra Serif" w:hAnsi="Times New Roman" w:cs="Times New Roman"/>
        </w:rPr>
      </w:pPr>
      <w:bookmarkStart w:id="35" w:name="_Toc228496284"/>
      <w:bookmarkStart w:id="36" w:name="_Toc235810132"/>
      <w:bookmarkStart w:id="37" w:name="_Toc238554520"/>
      <w:bookmarkEnd w:id="34"/>
      <w:r w:rsidRPr="00535A4B">
        <w:rPr>
          <w:rFonts w:ascii="Times New Roman" w:eastAsia="PT Astra Serif" w:hAnsi="Times New Roman" w:cs="Times New Roman"/>
        </w:rPr>
        <w:t>Цель 5. Эффективное управление регионом и цифровая трансформация</w:t>
      </w:r>
      <w:bookmarkEnd w:id="35"/>
      <w:bookmarkEnd w:id="36"/>
      <w:bookmarkEnd w:id="37"/>
    </w:p>
    <w:p w:rsidR="00E618FE" w:rsidRPr="00535A4B" w:rsidRDefault="00E618FE">
      <w:pPr>
        <w:pStyle w:val="a4"/>
        <w:rPr>
          <w:rFonts w:ascii="Times New Roman" w:hAnsi="Times New Roman"/>
          <w:color w:val="auto"/>
        </w:rPr>
      </w:pP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В период 2020 – 2024 годов реализация Цели 5 шла на фоне ускоренной цифровизации государственного управления, значительного повышения эффективности закупочных процедур, активного развития институтов гражданского общества и межнациональных отношений, с одной стороны, и нарастающих рисков в сфере упра</w:t>
      </w:r>
      <w:r w:rsidR="00BB157B">
        <w:rPr>
          <w:rFonts w:ascii="Times New Roman" w:hAnsi="Times New Roman"/>
          <w:color w:val="auto"/>
          <w:sz w:val="26"/>
          <w:szCs w:val="26"/>
        </w:rPr>
        <w:t>вления региональными финансами –</w:t>
      </w:r>
      <w:r w:rsidRPr="00BB157B">
        <w:rPr>
          <w:rFonts w:ascii="Times New Roman" w:hAnsi="Times New Roman"/>
          <w:color w:val="auto"/>
          <w:sz w:val="26"/>
          <w:szCs w:val="26"/>
        </w:rPr>
        <w:t xml:space="preserve"> с другой. Общий результат носит неоднозначный характер: по направлениям цифровых госуслуг, государственных закупок, управления имуществом и профессионального развития кадров фиксируется перевыполнение плановых значений, тогда как в бюджетно-финансовой сфере наблюдаются устойчивый рост государственного долга.</w:t>
      </w:r>
    </w:p>
    <w:p w:rsidR="00E618FE" w:rsidRPr="00BB157B" w:rsidRDefault="00800098">
      <w:pPr>
        <w:pStyle w:val="a4"/>
        <w:rPr>
          <w:rFonts w:ascii="Times New Roman" w:hAnsi="Times New Roman"/>
          <w:color w:val="auto"/>
          <w:sz w:val="26"/>
          <w:szCs w:val="26"/>
        </w:rPr>
      </w:pPr>
      <w:r w:rsidRPr="00FE40FE">
        <w:rPr>
          <w:rFonts w:ascii="Times New Roman" w:eastAsia="PT Astra Serif" w:hAnsi="Times New Roman"/>
          <w:b/>
          <w:bCs/>
          <w:color w:val="auto"/>
        </w:rPr>
        <w:t>Государственное управление.</w:t>
      </w:r>
      <w:r w:rsidRPr="00BB157B">
        <w:rPr>
          <w:rFonts w:ascii="Times New Roman" w:eastAsia="PT Astra Serif" w:hAnsi="Times New Roman"/>
          <w:b/>
          <w:bCs/>
          <w:color w:val="auto"/>
          <w:sz w:val="26"/>
          <w:szCs w:val="26"/>
        </w:rPr>
        <w:t xml:space="preserve"> </w:t>
      </w:r>
      <w:r w:rsidRPr="00BB157B">
        <w:rPr>
          <w:rFonts w:ascii="Times New Roman" w:hAnsi="Times New Roman"/>
          <w:color w:val="auto"/>
          <w:sz w:val="26"/>
          <w:szCs w:val="26"/>
        </w:rPr>
        <w:t xml:space="preserve">В период 2020 – 2025 годов наблюдается положительная динамика показателя уровня удовлетворенности граждан деятельностью региональных органов власти: значение показателя увеличилось </w:t>
      </w:r>
      <w:r w:rsidR="00BB157B">
        <w:rPr>
          <w:rFonts w:ascii="Times New Roman" w:hAnsi="Times New Roman"/>
          <w:color w:val="auto"/>
          <w:sz w:val="26"/>
          <w:szCs w:val="26"/>
        </w:rPr>
        <w:br/>
      </w:r>
      <w:r w:rsidRPr="00BB157B">
        <w:rPr>
          <w:rFonts w:ascii="Times New Roman" w:hAnsi="Times New Roman"/>
          <w:color w:val="auto"/>
          <w:sz w:val="26"/>
          <w:szCs w:val="26"/>
        </w:rPr>
        <w:t xml:space="preserve">с 41% в 2020 году до 48% в 2025 году при целевом значении не менее 50%, </w:t>
      </w:r>
      <w:r w:rsidR="00BB157B">
        <w:rPr>
          <w:rFonts w:ascii="Times New Roman" w:hAnsi="Times New Roman"/>
          <w:color w:val="auto"/>
          <w:sz w:val="26"/>
          <w:szCs w:val="26"/>
        </w:rPr>
        <w:br/>
      </w:r>
      <w:r w:rsidRPr="00BB157B">
        <w:rPr>
          <w:rFonts w:ascii="Times New Roman" w:hAnsi="Times New Roman"/>
          <w:color w:val="auto"/>
          <w:sz w:val="26"/>
          <w:szCs w:val="26"/>
        </w:rPr>
        <w:t>что фиксирует сохранение задачи повышения качества взаимодействия региональной власти с гражданами.</w:t>
      </w:r>
    </w:p>
    <w:p w:rsidR="00E618FE" w:rsidRPr="00BB157B" w:rsidRDefault="00800098">
      <w:pPr>
        <w:pStyle w:val="a4"/>
        <w:rPr>
          <w:rFonts w:ascii="Times New Roman" w:hAnsi="Times New Roman"/>
          <w:color w:val="auto"/>
          <w:sz w:val="26"/>
          <w:szCs w:val="26"/>
        </w:rPr>
      </w:pPr>
      <w:bookmarkStart w:id="38" w:name="_Hlk230885146"/>
      <w:r w:rsidRPr="00BB157B">
        <w:rPr>
          <w:rFonts w:ascii="Times New Roman" w:hAnsi="Times New Roman"/>
          <w:color w:val="auto"/>
          <w:sz w:val="26"/>
          <w:szCs w:val="26"/>
        </w:rPr>
        <w:lastRenderedPageBreak/>
        <w:t xml:space="preserve">В области профессионального развития кадров доля государственных гражданских служащих, принявших участие в мероприятиях по профессиональному развитию, в 2024 году составила 65% при плановом значении 52%, а доля </w:t>
      </w:r>
      <w:r w:rsidR="00BB157B">
        <w:rPr>
          <w:rFonts w:ascii="Times New Roman" w:hAnsi="Times New Roman"/>
          <w:color w:val="auto"/>
          <w:sz w:val="26"/>
          <w:szCs w:val="26"/>
        </w:rPr>
        <w:t>муниципальных служащих –</w:t>
      </w:r>
      <w:r w:rsidRPr="00BB157B">
        <w:rPr>
          <w:rFonts w:ascii="Times New Roman" w:hAnsi="Times New Roman"/>
          <w:color w:val="auto"/>
          <w:sz w:val="26"/>
          <w:szCs w:val="26"/>
        </w:rPr>
        <w:t xml:space="preserve"> 47% при плане 37%. В 2025 году доля государственных гражданских служащих, принявших участие в мероприятиях по профессиональному развитию, составила 71%, доля муниципальных служащих </w:t>
      </w:r>
      <w:r w:rsidR="00BB157B">
        <w:rPr>
          <w:rFonts w:ascii="Times New Roman" w:hAnsi="Times New Roman"/>
          <w:color w:val="auto"/>
          <w:sz w:val="26"/>
          <w:szCs w:val="26"/>
        </w:rPr>
        <w:t>–</w:t>
      </w:r>
      <w:r w:rsidRPr="00BB157B">
        <w:rPr>
          <w:rFonts w:ascii="Times New Roman" w:hAnsi="Times New Roman"/>
          <w:color w:val="auto"/>
          <w:sz w:val="26"/>
          <w:szCs w:val="26"/>
        </w:rPr>
        <w:t xml:space="preserve"> 52%. </w:t>
      </w:r>
    </w:p>
    <w:p w:rsidR="00E618FE" w:rsidRPr="00BB157B" w:rsidRDefault="00800098">
      <w:pPr>
        <w:pStyle w:val="a4"/>
        <w:rPr>
          <w:rFonts w:ascii="Times New Roman" w:hAnsi="Times New Roman"/>
          <w:color w:val="auto"/>
          <w:sz w:val="26"/>
          <w:szCs w:val="26"/>
        </w:rPr>
      </w:pPr>
      <w:r w:rsidRPr="00FE40FE">
        <w:rPr>
          <w:rFonts w:ascii="Times New Roman" w:eastAsia="PT Astra Serif" w:hAnsi="Times New Roman"/>
          <w:b/>
          <w:bCs/>
          <w:color w:val="auto"/>
        </w:rPr>
        <w:t xml:space="preserve">Региональные финансы и межбюджетные отношения (бюджетная обеспеченность). </w:t>
      </w:r>
      <w:bookmarkEnd w:id="38"/>
      <w:r w:rsidRPr="00BB157B">
        <w:rPr>
          <w:rFonts w:ascii="Times New Roman" w:hAnsi="Times New Roman"/>
          <w:color w:val="auto"/>
          <w:sz w:val="26"/>
          <w:szCs w:val="26"/>
        </w:rPr>
        <w:t xml:space="preserve">В 2024 году зафиксировано снижение рейтинга Томской области по качеству управления региональными финансами: оценка качества управления </w:t>
      </w:r>
      <w:r w:rsidR="00BB157B">
        <w:rPr>
          <w:rFonts w:ascii="Times New Roman" w:hAnsi="Times New Roman"/>
          <w:color w:val="auto"/>
          <w:sz w:val="26"/>
          <w:szCs w:val="26"/>
        </w:rPr>
        <w:br/>
      </w:r>
      <w:r w:rsidRPr="00BB157B">
        <w:rPr>
          <w:rFonts w:ascii="Times New Roman" w:hAnsi="Times New Roman"/>
          <w:color w:val="auto"/>
          <w:sz w:val="26"/>
          <w:szCs w:val="26"/>
        </w:rPr>
        <w:t xml:space="preserve">по итогам 2024 года составила III степень при целевой II степени. Снижение обусловлено ростом государственного долга в связи со значительным недопоступлением налоговых и неналоговых доходов. К значимым структурным проблемам относятся нестабильный уровень бюджетной обеспеченности (данный показатель был ниже 0,9 в 2020 и 2025 годах), превышение темпов роста расходов над темпами роста доходов, высокий уровень долговой нагрузки (77% по состоянию на 1 января 2026 года), увеличивающийся объем государственного долга </w:t>
      </w:r>
      <w:r w:rsidR="00BB157B">
        <w:rPr>
          <w:rFonts w:ascii="Times New Roman" w:hAnsi="Times New Roman"/>
          <w:color w:val="auto"/>
          <w:sz w:val="26"/>
          <w:szCs w:val="26"/>
        </w:rPr>
        <w:br/>
      </w:r>
      <w:r w:rsidRPr="00BB157B">
        <w:rPr>
          <w:rFonts w:ascii="Times New Roman" w:hAnsi="Times New Roman"/>
          <w:color w:val="auto"/>
          <w:sz w:val="26"/>
          <w:szCs w:val="26"/>
        </w:rPr>
        <w:t xml:space="preserve">(58,6 млрд рублей на начало 2026 года по сравнению с 49 млрд рублей на начало 2025 года) и значительная доля рыночных заимствований (государственных ценных бумаг и коммерческих кредитов), приводящая к увеличению стоимости обслуживания долга. Учитывая фактический уровень рыночной долговой нагрузки консолидированного бюджета Томской области по итогам 2025 года (38% вместо допустимых по условиям соглашения по кредитам 25%), Томская область </w:t>
      </w:r>
      <w:r w:rsidR="00BB157B">
        <w:rPr>
          <w:rFonts w:ascii="Times New Roman" w:hAnsi="Times New Roman"/>
          <w:color w:val="auto"/>
          <w:sz w:val="26"/>
          <w:szCs w:val="26"/>
        </w:rPr>
        <w:br/>
      </w:r>
      <w:r w:rsidRPr="00BB157B">
        <w:rPr>
          <w:rFonts w:ascii="Times New Roman" w:hAnsi="Times New Roman"/>
          <w:color w:val="auto"/>
          <w:sz w:val="26"/>
          <w:szCs w:val="26"/>
        </w:rPr>
        <w:t xml:space="preserve">на протяжении ряда лет будет оставаться нарушителем соглашений по кредитам, </w:t>
      </w:r>
      <w:r w:rsidR="00BB157B">
        <w:rPr>
          <w:rFonts w:ascii="Times New Roman" w:hAnsi="Times New Roman"/>
          <w:color w:val="auto"/>
          <w:sz w:val="26"/>
          <w:szCs w:val="26"/>
        </w:rPr>
        <w:br/>
      </w:r>
      <w:r w:rsidRPr="00BB157B">
        <w:rPr>
          <w:rFonts w:ascii="Times New Roman" w:hAnsi="Times New Roman"/>
          <w:color w:val="auto"/>
          <w:sz w:val="26"/>
          <w:szCs w:val="26"/>
        </w:rPr>
        <w:t xml:space="preserve">и, соответственно, не получит надлежащую степень качества управления региональными финансами (II степень) вне зависимости от качества выполнения всех показателей, используемых для оценки.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В сфере управления государственными закупками в 2025 году доля средств, сэкономленных при осуществлении закупок, достигла 18,3% при плановом значении не менее 7,5%, что указывает на перевыполнение плана. Значительный рост эффективности закупок обеспечен активной практикой проведения совместных закупок, укрупнением лотов, унификацией закупочной деятельности и расширением круга участников.</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Доля областного государственного недвижимого имущества, используемого для выполнения полномочий, в 2024 году достигла 97% при плановом значении </w:t>
      </w:r>
      <w:r w:rsidR="00BB157B">
        <w:rPr>
          <w:rFonts w:ascii="Times New Roman" w:hAnsi="Times New Roman"/>
          <w:color w:val="auto"/>
          <w:sz w:val="26"/>
          <w:szCs w:val="26"/>
        </w:rPr>
        <w:br/>
      </w:r>
      <w:r w:rsidRPr="00BB157B">
        <w:rPr>
          <w:rFonts w:ascii="Times New Roman" w:hAnsi="Times New Roman"/>
          <w:color w:val="auto"/>
          <w:sz w:val="26"/>
          <w:szCs w:val="26"/>
        </w:rPr>
        <w:t>не менее 90%, что превышает целевые показатели на 2030 год. Перевыполнение обусловлено вовлечением имущества в хозяйственный оборот и передачей части имущества в федеральную и муниципальную собственность. Доля областного государственного недвижимого имущества, используемого для выполнения полномочий, в 2025 году составила 97%, что подтверждает устойчивую траекторию перевыполнения плановых показателей.</w:t>
      </w:r>
    </w:p>
    <w:p w:rsidR="00E618FE" w:rsidRPr="00BB157B" w:rsidRDefault="00800098">
      <w:pPr>
        <w:pStyle w:val="a4"/>
        <w:rPr>
          <w:rFonts w:ascii="Times New Roman" w:hAnsi="Times New Roman"/>
          <w:color w:val="auto"/>
          <w:sz w:val="26"/>
          <w:szCs w:val="26"/>
        </w:rPr>
      </w:pPr>
      <w:r w:rsidRPr="00F90C4C">
        <w:rPr>
          <w:rFonts w:ascii="Times New Roman" w:eastAsia="PT Astra Serif" w:hAnsi="Times New Roman"/>
          <w:b/>
          <w:bCs/>
          <w:color w:val="auto"/>
        </w:rPr>
        <w:t>Налоговые и неналоговые доходы.</w:t>
      </w:r>
      <w:r w:rsidRPr="00BB157B">
        <w:rPr>
          <w:rFonts w:ascii="Times New Roman" w:eastAsia="PT Astra Serif" w:hAnsi="Times New Roman"/>
          <w:b/>
          <w:bCs/>
          <w:color w:val="auto"/>
          <w:sz w:val="26"/>
          <w:szCs w:val="26"/>
        </w:rPr>
        <w:t xml:space="preserve"> </w:t>
      </w:r>
      <w:r w:rsidRPr="00BB157B">
        <w:rPr>
          <w:rFonts w:ascii="Times New Roman" w:hAnsi="Times New Roman"/>
          <w:color w:val="auto"/>
          <w:sz w:val="26"/>
          <w:szCs w:val="26"/>
        </w:rPr>
        <w:t>В период 2020</w:t>
      </w:r>
      <w:r w:rsidR="00BB157B">
        <w:rPr>
          <w:rFonts w:ascii="Times New Roman" w:hAnsi="Times New Roman"/>
          <w:color w:val="auto"/>
          <w:sz w:val="26"/>
          <w:szCs w:val="26"/>
        </w:rPr>
        <w:t xml:space="preserve"> </w:t>
      </w:r>
      <w:r w:rsidRPr="00BB157B">
        <w:rPr>
          <w:rFonts w:ascii="Times New Roman" w:hAnsi="Times New Roman"/>
          <w:color w:val="auto"/>
          <w:sz w:val="26"/>
          <w:szCs w:val="26"/>
        </w:rPr>
        <w:t>–</w:t>
      </w:r>
      <w:r w:rsidR="00BB157B">
        <w:rPr>
          <w:rFonts w:ascii="Times New Roman" w:hAnsi="Times New Roman"/>
          <w:color w:val="auto"/>
          <w:sz w:val="26"/>
          <w:szCs w:val="26"/>
        </w:rPr>
        <w:t xml:space="preserve"> </w:t>
      </w:r>
      <w:r w:rsidRPr="00BB157B">
        <w:rPr>
          <w:rFonts w:ascii="Times New Roman" w:hAnsi="Times New Roman"/>
          <w:color w:val="auto"/>
          <w:sz w:val="26"/>
          <w:szCs w:val="26"/>
        </w:rPr>
        <w:t xml:space="preserve">2024 годов наблюдался поступательный рост собственных доходов бюджета Томской области. </w:t>
      </w:r>
      <w:r w:rsidR="00BB157B">
        <w:rPr>
          <w:rFonts w:ascii="Times New Roman" w:hAnsi="Times New Roman"/>
          <w:color w:val="auto"/>
          <w:sz w:val="26"/>
          <w:szCs w:val="26"/>
        </w:rPr>
        <w:br/>
      </w:r>
      <w:r w:rsidRPr="00BB157B">
        <w:rPr>
          <w:rFonts w:ascii="Times New Roman" w:hAnsi="Times New Roman"/>
          <w:color w:val="auto"/>
          <w:sz w:val="26"/>
          <w:szCs w:val="26"/>
        </w:rPr>
        <w:t xml:space="preserve">Так, налоговые и неналоговые доходы консолидированного регионального бюджета увеличились с 57,6 млрд рублей в 2020 году до 97,6 млрд рублей в 2024 году. Вместе с тем за последние два года наметились отдельные негативные тенденции. </w:t>
      </w:r>
      <w:r w:rsidR="00BB157B">
        <w:rPr>
          <w:rFonts w:ascii="Times New Roman" w:hAnsi="Times New Roman"/>
          <w:color w:val="auto"/>
          <w:sz w:val="26"/>
          <w:szCs w:val="26"/>
        </w:rPr>
        <w:br/>
      </w:r>
      <w:r w:rsidRPr="00BB157B">
        <w:rPr>
          <w:rFonts w:ascii="Times New Roman" w:hAnsi="Times New Roman"/>
          <w:color w:val="auto"/>
          <w:sz w:val="26"/>
          <w:szCs w:val="26"/>
        </w:rPr>
        <w:t xml:space="preserve">В 2025 году налоговые и неналоговые доходы консолидированного регионального и областного бюджета Томской области сократились до 97,5 и 75,9 млрд рублей соответственно. Главной причиной негативной динамики стало сокращение </w:t>
      </w:r>
      <w:r w:rsidRPr="00BB157B">
        <w:rPr>
          <w:rFonts w:ascii="Times New Roman" w:hAnsi="Times New Roman"/>
          <w:color w:val="auto"/>
          <w:sz w:val="26"/>
          <w:szCs w:val="26"/>
        </w:rPr>
        <w:lastRenderedPageBreak/>
        <w:t>поступлений по налогу на прибыль организаций: поступления по этому налогу сокращались, составив 14,7 млрд рублей в 2025 году, тогда как тремя годами ранее были более 20 млрд рублей. Несмотря на то, что основной источник доходов консолидированного регионального бюджета, налог на доходы физических лиц, является стабильным и растущим (в период 2020</w:t>
      </w:r>
      <w:r w:rsidR="00BB157B">
        <w:rPr>
          <w:rFonts w:ascii="Times New Roman" w:hAnsi="Times New Roman"/>
          <w:color w:val="auto"/>
          <w:sz w:val="26"/>
          <w:szCs w:val="26"/>
        </w:rPr>
        <w:t xml:space="preserve"> </w:t>
      </w:r>
      <w:r w:rsidRPr="00BB157B">
        <w:rPr>
          <w:rFonts w:ascii="Times New Roman" w:hAnsi="Times New Roman"/>
          <w:color w:val="auto"/>
          <w:sz w:val="26"/>
          <w:szCs w:val="26"/>
        </w:rPr>
        <w:t>–</w:t>
      </w:r>
      <w:r w:rsidR="00BB157B">
        <w:rPr>
          <w:rFonts w:ascii="Times New Roman" w:hAnsi="Times New Roman"/>
          <w:color w:val="auto"/>
          <w:sz w:val="26"/>
          <w:szCs w:val="26"/>
        </w:rPr>
        <w:t xml:space="preserve"> </w:t>
      </w:r>
      <w:r w:rsidRPr="00BB157B">
        <w:rPr>
          <w:rFonts w:ascii="Times New Roman" w:hAnsi="Times New Roman"/>
          <w:color w:val="auto"/>
          <w:sz w:val="26"/>
          <w:szCs w:val="26"/>
        </w:rPr>
        <w:t xml:space="preserve">2025 годов поступления увеличились с 24,4 до 45,1 млрд рублей), налог на прибыль организаций зависит </w:t>
      </w:r>
      <w:r w:rsidR="00BB157B">
        <w:rPr>
          <w:rFonts w:ascii="Times New Roman" w:hAnsi="Times New Roman"/>
          <w:color w:val="auto"/>
          <w:sz w:val="26"/>
          <w:szCs w:val="26"/>
        </w:rPr>
        <w:br/>
      </w:r>
      <w:r w:rsidRPr="00BB157B">
        <w:rPr>
          <w:rFonts w:ascii="Times New Roman" w:hAnsi="Times New Roman"/>
          <w:color w:val="auto"/>
          <w:sz w:val="26"/>
          <w:szCs w:val="26"/>
        </w:rPr>
        <w:t xml:space="preserve">от общеэкономической ситуации и текущей прибыльности предприятий. В связи </w:t>
      </w:r>
      <w:r w:rsidR="00BB157B">
        <w:rPr>
          <w:rFonts w:ascii="Times New Roman" w:hAnsi="Times New Roman"/>
          <w:color w:val="auto"/>
          <w:sz w:val="26"/>
          <w:szCs w:val="26"/>
        </w:rPr>
        <w:br/>
      </w:r>
      <w:r w:rsidRPr="00BB157B">
        <w:rPr>
          <w:rFonts w:ascii="Times New Roman" w:hAnsi="Times New Roman"/>
          <w:color w:val="auto"/>
          <w:sz w:val="26"/>
          <w:szCs w:val="26"/>
        </w:rPr>
        <w:t>с этим, существенным риском является увеличение зависимости от данного налога, которое может привести к дальнейшему повышению волатильности доходов бюджета Томской области и увеличению его дефицитности в условиях растущих бюджетных расходов.</w:t>
      </w:r>
    </w:p>
    <w:p w:rsidR="00E618FE" w:rsidRPr="00F90C4C" w:rsidRDefault="00800098">
      <w:pPr>
        <w:pStyle w:val="a4"/>
        <w:rPr>
          <w:rFonts w:ascii="Times New Roman" w:hAnsi="Times New Roman"/>
          <w:color w:val="auto"/>
        </w:rPr>
      </w:pPr>
      <w:r w:rsidRPr="00F90C4C">
        <w:rPr>
          <w:rFonts w:ascii="Times New Roman" w:eastAsia="PT Astra Serif" w:hAnsi="Times New Roman"/>
          <w:b/>
          <w:bCs/>
          <w:color w:val="auto"/>
        </w:rPr>
        <w:t>Развитие гражданского общества и межнациональные отношения.</w:t>
      </w:r>
      <w:r w:rsidRPr="00F90C4C">
        <w:rPr>
          <w:rFonts w:ascii="Times New Roman" w:eastAsia="PT Astra Serif" w:hAnsi="Times New Roman"/>
          <w:color w:val="auto"/>
        </w:rPr>
        <w:t xml:space="preserve">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Доля граждан, положительно оценивающих состояние межнациональных отношений в Томской области, в период 2020–2024 годов увеличилась с 82% до 92% (план на 2024 год 84%). Плановое значение достигнуто.</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 2025 году значение показателя продолжило расти и составило 93,2%. Положительная динамика показателя обусловлена продолжением системной работы по созданию соответствующих условий для развития доброжелательной среды </w:t>
      </w:r>
      <w:r w:rsidR="00BB157B">
        <w:rPr>
          <w:rFonts w:ascii="Times New Roman" w:hAnsi="Times New Roman"/>
          <w:color w:val="auto"/>
          <w:sz w:val="26"/>
          <w:szCs w:val="26"/>
        </w:rPr>
        <w:br/>
      </w:r>
      <w:r w:rsidRPr="00BB157B">
        <w:rPr>
          <w:rFonts w:ascii="Times New Roman" w:hAnsi="Times New Roman"/>
          <w:color w:val="auto"/>
          <w:sz w:val="26"/>
          <w:szCs w:val="26"/>
        </w:rPr>
        <w:t>по развитию межнациональных отношений, включая реализацию комплекса процессных мероприятий по укреплению единства российской нации и профилактике экстремизма.</w:t>
      </w:r>
    </w:p>
    <w:p w:rsidR="00E618FE" w:rsidRPr="00BB157B" w:rsidRDefault="00800098">
      <w:pPr>
        <w:pStyle w:val="a4"/>
        <w:rPr>
          <w:rFonts w:ascii="Times New Roman" w:hAnsi="Times New Roman"/>
          <w:color w:val="auto"/>
          <w:sz w:val="26"/>
          <w:szCs w:val="26"/>
        </w:rPr>
      </w:pPr>
      <w:r w:rsidRPr="00F90C4C">
        <w:rPr>
          <w:rFonts w:ascii="Times New Roman" w:hAnsi="Times New Roman"/>
          <w:b/>
          <w:bCs/>
          <w:color w:val="auto"/>
        </w:rPr>
        <w:t xml:space="preserve">Цифровизация системы государственного управления. </w:t>
      </w:r>
      <w:bookmarkStart w:id="39" w:name="Xb134e564566eaa02f5af444eaf80d5610db6584"/>
      <w:r w:rsidRPr="00BB157B">
        <w:rPr>
          <w:rFonts w:ascii="Times New Roman" w:hAnsi="Times New Roman"/>
          <w:color w:val="auto"/>
          <w:sz w:val="26"/>
          <w:szCs w:val="26"/>
        </w:rPr>
        <w:t xml:space="preserve">Цифровая зрелость ключевых отраслей экономики, государственного управления и социальной сферы, </w:t>
      </w:r>
      <w:r w:rsidRPr="00BB157B">
        <w:rPr>
          <w:rFonts w:ascii="Times New Roman" w:eastAsia="PT Astra Serif" w:hAnsi="Times New Roman"/>
          <w:color w:val="auto"/>
          <w:sz w:val="26"/>
          <w:szCs w:val="26"/>
        </w:rPr>
        <w:t>в том числе здравоохранения и образования</w:t>
      </w:r>
      <w:r w:rsidRPr="00BB157B">
        <w:rPr>
          <w:rFonts w:ascii="Times New Roman" w:hAnsi="Times New Roman"/>
          <w:color w:val="auto"/>
          <w:sz w:val="26"/>
          <w:szCs w:val="26"/>
        </w:rPr>
        <w:t xml:space="preserve">, выросла с 4% в 2020 году до 84,82% </w:t>
      </w:r>
      <w:r w:rsidR="00BB157B">
        <w:rPr>
          <w:rFonts w:ascii="Times New Roman" w:hAnsi="Times New Roman"/>
          <w:color w:val="auto"/>
          <w:sz w:val="26"/>
          <w:szCs w:val="26"/>
        </w:rPr>
        <w:br/>
      </w:r>
      <w:r w:rsidRPr="00BB157B">
        <w:rPr>
          <w:rFonts w:ascii="Times New Roman" w:hAnsi="Times New Roman"/>
          <w:color w:val="auto"/>
          <w:sz w:val="26"/>
          <w:szCs w:val="26"/>
        </w:rPr>
        <w:t xml:space="preserve">в 2024 году, что свидетельствует о сверхвысоких темпах развития </w:t>
      </w:r>
      <w:r w:rsidR="00BB157B">
        <w:rPr>
          <w:rFonts w:ascii="Times New Roman" w:hAnsi="Times New Roman"/>
          <w:color w:val="auto"/>
          <w:sz w:val="26"/>
          <w:szCs w:val="26"/>
        </w:rPr>
        <w:br/>
      </w:r>
      <w:r w:rsidRPr="00BB157B">
        <w:rPr>
          <w:rFonts w:ascii="Times New Roman" w:hAnsi="Times New Roman"/>
          <w:color w:val="auto"/>
          <w:sz w:val="26"/>
          <w:szCs w:val="26"/>
        </w:rPr>
        <w:t xml:space="preserve">в 2021 – 2024 годах. Доля массовых социально значимых услуг, доступных </w:t>
      </w:r>
      <w:r w:rsidR="00BB157B">
        <w:rPr>
          <w:rFonts w:ascii="Times New Roman" w:hAnsi="Times New Roman"/>
          <w:color w:val="auto"/>
          <w:sz w:val="26"/>
          <w:szCs w:val="26"/>
        </w:rPr>
        <w:br/>
      </w:r>
      <w:r w:rsidRPr="00BB157B">
        <w:rPr>
          <w:rFonts w:ascii="Times New Roman" w:hAnsi="Times New Roman"/>
          <w:color w:val="auto"/>
          <w:sz w:val="26"/>
          <w:szCs w:val="26"/>
        </w:rPr>
        <w:t xml:space="preserve">в электронном виде, в 2024 году достигла 100% при плановом значении 95%, </w:t>
      </w:r>
      <w:r w:rsidR="00BB157B">
        <w:rPr>
          <w:rFonts w:ascii="Times New Roman" w:hAnsi="Times New Roman"/>
          <w:color w:val="auto"/>
          <w:sz w:val="26"/>
          <w:szCs w:val="26"/>
        </w:rPr>
        <w:br/>
      </w:r>
      <w:r w:rsidRPr="00BB157B">
        <w:rPr>
          <w:rFonts w:ascii="Times New Roman" w:hAnsi="Times New Roman"/>
          <w:color w:val="auto"/>
          <w:sz w:val="26"/>
          <w:szCs w:val="26"/>
        </w:rPr>
        <w:t xml:space="preserve">что полностью соответствует целевому ориентиру на 2030 год. Удовлетворенность качеством предоставления таких услуг через Единый портал государственных и муниципальных услуг в 2024 году составила 4,42 балла при плановом значении </w:t>
      </w:r>
      <w:r w:rsidR="00BB157B">
        <w:rPr>
          <w:rFonts w:ascii="Times New Roman" w:hAnsi="Times New Roman"/>
          <w:color w:val="auto"/>
          <w:sz w:val="26"/>
          <w:szCs w:val="26"/>
        </w:rPr>
        <w:br/>
      </w:r>
      <w:r w:rsidRPr="00BB157B">
        <w:rPr>
          <w:rFonts w:ascii="Times New Roman" w:hAnsi="Times New Roman"/>
          <w:color w:val="auto"/>
          <w:sz w:val="26"/>
          <w:szCs w:val="26"/>
        </w:rPr>
        <w:t>4,4 балла (100,5% выполнения плана).</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Ключевым достижением стало полное обеспечение доступности 89 массовых социально значимых услуг на портале «Госуслуги» в 2024 году.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 2025 году доля массовых социально значимых услуг, доступных </w:t>
      </w:r>
      <w:r w:rsidRPr="00BB157B">
        <w:rPr>
          <w:rFonts w:ascii="Times New Roman" w:hAnsi="Times New Roman"/>
          <w:color w:val="auto"/>
          <w:sz w:val="26"/>
          <w:szCs w:val="26"/>
        </w:rPr>
        <w:br/>
        <w:t xml:space="preserve">в электронном виде, сохранилась на уровне 100%. Значение показателя «цифровая зрелость» ключевых отраслей экономики и социальной сферы </w:t>
      </w:r>
      <w:r w:rsidRPr="00BB157B">
        <w:rPr>
          <w:rFonts w:ascii="Times New Roman" w:hAnsi="Times New Roman"/>
          <w:color w:val="auto"/>
          <w:sz w:val="26"/>
          <w:szCs w:val="26"/>
        </w:rPr>
        <w:br/>
        <w:t>в 2025 году составило 55,65% при целевом значении 100% к 2030 году; расхождение с уровнем 2024 года объясняется методологическим пересмотром системы мониторинга.</w:t>
      </w:r>
      <w:bookmarkEnd w:id="39"/>
    </w:p>
    <w:p w:rsidR="00E618FE" w:rsidRPr="00BB157B" w:rsidRDefault="00800098">
      <w:pPr>
        <w:pStyle w:val="a4"/>
        <w:rPr>
          <w:rFonts w:ascii="Times New Roman" w:hAnsi="Times New Roman"/>
          <w:color w:val="auto"/>
          <w:sz w:val="26"/>
          <w:szCs w:val="26"/>
        </w:rPr>
      </w:pPr>
      <w:r w:rsidRPr="00F90C4C">
        <w:rPr>
          <w:rFonts w:ascii="Times New Roman" w:hAnsi="Times New Roman"/>
          <w:b/>
          <w:bCs/>
          <w:color w:val="auto"/>
        </w:rPr>
        <w:t>Вывод по степени достижения Цели 5.</w:t>
      </w:r>
      <w:r w:rsidRPr="00BB157B">
        <w:rPr>
          <w:rFonts w:ascii="Times New Roman" w:hAnsi="Times New Roman"/>
          <w:b/>
          <w:bCs/>
          <w:color w:val="auto"/>
          <w:sz w:val="26"/>
          <w:szCs w:val="26"/>
        </w:rPr>
        <w:t xml:space="preserve"> </w:t>
      </w:r>
      <w:r w:rsidRPr="00BB157B">
        <w:rPr>
          <w:rFonts w:ascii="Times New Roman" w:hAnsi="Times New Roman"/>
          <w:color w:val="auto"/>
          <w:sz w:val="26"/>
          <w:szCs w:val="26"/>
        </w:rPr>
        <w:t xml:space="preserve">Цель 5 «Эффективное управление и цифровая трансформация» по состоянию на 2020 – 2024 годы (с учетом данных </w:t>
      </w:r>
      <w:r w:rsidR="00BB157B">
        <w:rPr>
          <w:rFonts w:ascii="Times New Roman" w:hAnsi="Times New Roman"/>
          <w:color w:val="auto"/>
          <w:sz w:val="26"/>
          <w:szCs w:val="26"/>
        </w:rPr>
        <w:br/>
      </w:r>
      <w:r w:rsidRPr="00BB157B">
        <w:rPr>
          <w:rFonts w:ascii="Times New Roman" w:hAnsi="Times New Roman"/>
          <w:color w:val="auto"/>
          <w:sz w:val="26"/>
          <w:szCs w:val="26"/>
        </w:rPr>
        <w:t xml:space="preserve">за 2025 год) может быть оценена как достигнутая частично. К числу </w:t>
      </w:r>
      <w:r w:rsidRPr="00BB157B">
        <w:rPr>
          <w:rFonts w:ascii="Times New Roman" w:hAnsi="Times New Roman"/>
          <w:b/>
          <w:bCs/>
          <w:color w:val="auto"/>
          <w:sz w:val="26"/>
          <w:szCs w:val="26"/>
        </w:rPr>
        <w:t>основных достижений</w:t>
      </w:r>
      <w:r w:rsidRPr="00BB157B">
        <w:rPr>
          <w:rFonts w:ascii="Times New Roman" w:hAnsi="Times New Roman"/>
          <w:color w:val="auto"/>
          <w:sz w:val="26"/>
          <w:szCs w:val="26"/>
        </w:rPr>
        <w:t xml:space="preserve"> относятся:</w:t>
      </w:r>
    </w:p>
    <w:p w:rsidR="00E618FE" w:rsidRPr="00BB157B" w:rsidRDefault="00BB157B">
      <w:pPr>
        <w:pStyle w:val="a4"/>
        <w:rPr>
          <w:rFonts w:ascii="Times New Roman" w:hAnsi="Times New Roman"/>
          <w:color w:val="auto"/>
          <w:sz w:val="26"/>
          <w:szCs w:val="26"/>
        </w:rPr>
      </w:pPr>
      <w:r>
        <w:rPr>
          <w:rFonts w:ascii="Times New Roman" w:hAnsi="Times New Roman"/>
          <w:color w:val="auto"/>
          <w:sz w:val="26"/>
          <w:szCs w:val="26"/>
        </w:rPr>
        <w:t>–</w:t>
      </w:r>
      <w:r w:rsidR="00800098" w:rsidRPr="00BB157B">
        <w:rPr>
          <w:rFonts w:ascii="Times New Roman" w:hAnsi="Times New Roman"/>
          <w:color w:val="auto"/>
          <w:sz w:val="26"/>
          <w:szCs w:val="26"/>
        </w:rPr>
        <w:t> полная доступность 89 массовых социально значимых услуг в электронном виде (100%) и опережение целевого уровня удовлетворенности граждан качеством услуг через ЕПГУ (4,42 при плане 4,4 балла);</w:t>
      </w:r>
    </w:p>
    <w:p w:rsidR="00E618FE" w:rsidRPr="00BB157B" w:rsidRDefault="00BB157B">
      <w:pPr>
        <w:pStyle w:val="a4"/>
        <w:rPr>
          <w:rFonts w:ascii="Times New Roman" w:hAnsi="Times New Roman"/>
          <w:color w:val="auto"/>
          <w:sz w:val="26"/>
          <w:szCs w:val="26"/>
        </w:rPr>
      </w:pPr>
      <w:r>
        <w:rPr>
          <w:rFonts w:ascii="Times New Roman" w:hAnsi="Times New Roman"/>
          <w:color w:val="auto"/>
          <w:sz w:val="26"/>
          <w:szCs w:val="26"/>
        </w:rPr>
        <w:lastRenderedPageBreak/>
        <w:t>–</w:t>
      </w:r>
      <w:r w:rsidR="00800098" w:rsidRPr="00BB157B">
        <w:rPr>
          <w:rFonts w:ascii="Times New Roman" w:hAnsi="Times New Roman"/>
          <w:color w:val="auto"/>
          <w:sz w:val="26"/>
          <w:szCs w:val="26"/>
        </w:rPr>
        <w:t> существенное превышение планового уровня экономии в государственных закупках (11,4% в 2024 году и 18,3% в 2025 году при плане ≥ 7,5%);</w:t>
      </w:r>
    </w:p>
    <w:p w:rsidR="00E618FE" w:rsidRPr="00BB157B" w:rsidRDefault="00BB157B">
      <w:pPr>
        <w:pStyle w:val="a4"/>
        <w:rPr>
          <w:rFonts w:ascii="Times New Roman" w:hAnsi="Times New Roman"/>
          <w:color w:val="auto"/>
          <w:sz w:val="26"/>
          <w:szCs w:val="26"/>
        </w:rPr>
      </w:pPr>
      <w:r>
        <w:rPr>
          <w:rFonts w:ascii="Times New Roman" w:hAnsi="Times New Roman"/>
          <w:color w:val="auto"/>
          <w:sz w:val="26"/>
          <w:szCs w:val="26"/>
        </w:rPr>
        <w:t>–</w:t>
      </w:r>
      <w:r w:rsidR="00800098" w:rsidRPr="00BB157B">
        <w:rPr>
          <w:rFonts w:ascii="Times New Roman" w:hAnsi="Times New Roman"/>
          <w:color w:val="auto"/>
          <w:sz w:val="26"/>
          <w:szCs w:val="26"/>
        </w:rPr>
        <w:t> высокая эффективность использования областного государственного недвижимого имущества (97% при плане не менее 90%) с устойчивым перевыполнением в 2025 году;</w:t>
      </w:r>
    </w:p>
    <w:p w:rsidR="00E618FE" w:rsidRPr="00BB157B" w:rsidRDefault="00BB157B">
      <w:pPr>
        <w:pStyle w:val="a4"/>
        <w:rPr>
          <w:rFonts w:ascii="Times New Roman" w:hAnsi="Times New Roman"/>
          <w:color w:val="auto"/>
          <w:sz w:val="26"/>
          <w:szCs w:val="26"/>
        </w:rPr>
      </w:pPr>
      <w:r>
        <w:rPr>
          <w:rFonts w:ascii="Times New Roman" w:hAnsi="Times New Roman"/>
          <w:color w:val="auto"/>
          <w:sz w:val="26"/>
          <w:szCs w:val="26"/>
        </w:rPr>
        <w:t>–</w:t>
      </w:r>
      <w:r w:rsidR="00800098" w:rsidRPr="00BB157B">
        <w:rPr>
          <w:rFonts w:ascii="Times New Roman" w:hAnsi="Times New Roman"/>
          <w:color w:val="auto"/>
          <w:sz w:val="26"/>
          <w:szCs w:val="26"/>
        </w:rPr>
        <w:t xml:space="preserve"> перевыполнение плана по профессиональному развитию кадров </w:t>
      </w:r>
      <w:r>
        <w:rPr>
          <w:rFonts w:ascii="Times New Roman" w:hAnsi="Times New Roman"/>
          <w:color w:val="auto"/>
          <w:sz w:val="26"/>
          <w:szCs w:val="26"/>
        </w:rPr>
        <w:br/>
      </w:r>
      <w:r w:rsidR="00800098" w:rsidRPr="00BB157B">
        <w:rPr>
          <w:rFonts w:ascii="Times New Roman" w:hAnsi="Times New Roman"/>
          <w:color w:val="auto"/>
          <w:sz w:val="26"/>
          <w:szCs w:val="26"/>
        </w:rPr>
        <w:t>(65% гражданских и 47% муниципальных служащих в 2024 году и 71%/52% в 2025 году при плановых 52%/37%);</w:t>
      </w:r>
    </w:p>
    <w:p w:rsidR="00E618FE" w:rsidRPr="00BB157B" w:rsidRDefault="00BB157B">
      <w:pPr>
        <w:pStyle w:val="a4"/>
        <w:rPr>
          <w:rFonts w:ascii="Times New Roman" w:hAnsi="Times New Roman"/>
          <w:color w:val="auto"/>
          <w:sz w:val="26"/>
          <w:szCs w:val="26"/>
        </w:rPr>
      </w:pPr>
      <w:r>
        <w:rPr>
          <w:rFonts w:ascii="Times New Roman" w:hAnsi="Times New Roman"/>
          <w:color w:val="auto"/>
          <w:sz w:val="26"/>
          <w:szCs w:val="26"/>
        </w:rPr>
        <w:t>–</w:t>
      </w:r>
      <w:r w:rsidR="00800098" w:rsidRPr="00BB157B">
        <w:rPr>
          <w:rFonts w:ascii="Times New Roman" w:hAnsi="Times New Roman"/>
          <w:color w:val="auto"/>
          <w:sz w:val="26"/>
          <w:szCs w:val="26"/>
        </w:rPr>
        <w:t xml:space="preserve"> устойчивый рост доли граждан, положительно оценивающих состояние межнациональных отношений (при плане 84% до 92,3% в 2024 году и 93,2% </w:t>
      </w:r>
      <w:r>
        <w:rPr>
          <w:rFonts w:ascii="Times New Roman" w:hAnsi="Times New Roman"/>
          <w:color w:val="auto"/>
          <w:sz w:val="26"/>
          <w:szCs w:val="26"/>
        </w:rPr>
        <w:br/>
      </w:r>
      <w:r w:rsidR="00800098" w:rsidRPr="00BB157B">
        <w:rPr>
          <w:rFonts w:ascii="Times New Roman" w:hAnsi="Times New Roman"/>
          <w:color w:val="auto"/>
          <w:sz w:val="26"/>
          <w:szCs w:val="26"/>
        </w:rPr>
        <w:t>в 2025 году).</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Вместе с тем сохраняются </w:t>
      </w:r>
      <w:r w:rsidRPr="00BB157B">
        <w:rPr>
          <w:rFonts w:ascii="Times New Roman" w:hAnsi="Times New Roman"/>
          <w:b/>
          <w:bCs/>
          <w:color w:val="auto"/>
          <w:sz w:val="26"/>
          <w:szCs w:val="26"/>
        </w:rPr>
        <w:t>критические ограничения</w:t>
      </w:r>
      <w:r w:rsidRPr="00BB157B">
        <w:rPr>
          <w:rFonts w:ascii="Times New Roman" w:hAnsi="Times New Roman"/>
          <w:color w:val="auto"/>
          <w:sz w:val="26"/>
          <w:szCs w:val="26"/>
        </w:rPr>
        <w:t>:</w:t>
      </w:r>
    </w:p>
    <w:p w:rsidR="00E618FE" w:rsidRPr="00BB157B" w:rsidRDefault="00BB157B">
      <w:pPr>
        <w:pStyle w:val="a4"/>
        <w:rPr>
          <w:rFonts w:ascii="Times New Roman" w:hAnsi="Times New Roman"/>
          <w:color w:val="auto"/>
          <w:sz w:val="26"/>
          <w:szCs w:val="26"/>
        </w:rPr>
      </w:pPr>
      <w:r>
        <w:rPr>
          <w:rFonts w:ascii="Times New Roman" w:hAnsi="Times New Roman"/>
          <w:color w:val="auto"/>
          <w:sz w:val="26"/>
          <w:szCs w:val="26"/>
        </w:rPr>
        <w:t>–</w:t>
      </w:r>
      <w:r w:rsidR="00800098" w:rsidRPr="00BB157B">
        <w:rPr>
          <w:rFonts w:ascii="Times New Roman" w:hAnsi="Times New Roman"/>
          <w:color w:val="auto"/>
          <w:sz w:val="26"/>
          <w:szCs w:val="26"/>
        </w:rPr>
        <w:t xml:space="preserve"> снижение оценки качества управления региональными финансами </w:t>
      </w:r>
      <w:r>
        <w:rPr>
          <w:rFonts w:ascii="Times New Roman" w:hAnsi="Times New Roman"/>
          <w:color w:val="auto"/>
          <w:sz w:val="26"/>
          <w:szCs w:val="26"/>
        </w:rPr>
        <w:br/>
      </w:r>
      <w:r w:rsidR="00800098" w:rsidRPr="00BB157B">
        <w:rPr>
          <w:rFonts w:ascii="Times New Roman" w:hAnsi="Times New Roman"/>
          <w:color w:val="auto"/>
          <w:sz w:val="26"/>
          <w:szCs w:val="26"/>
        </w:rPr>
        <w:t>до III степени и сохранение этого результата в 2025 году на фоне роста государственного долга и недопоступления налоговых доходов.</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Для комплексного достижения Цели 5 в горизонте до 2030 года необходимы стабилизация региональных финансов, снижение долговой нагрузки и восстановление II степени качества управления, дальнейшее развитие цифровых сервисов, а также системное укрепление инфраструктуры поддержки некоммерческих организаций и институтов гражданского общества региона.</w:t>
      </w:r>
      <w:bookmarkEnd w:id="2"/>
    </w:p>
    <w:p w:rsidR="00E618FE" w:rsidRPr="00535A4B" w:rsidRDefault="00E618FE">
      <w:pPr>
        <w:pStyle w:val="a4"/>
        <w:rPr>
          <w:rFonts w:ascii="Times New Roman" w:eastAsia="PT Astra Serif" w:hAnsi="Times New Roman"/>
          <w:color w:val="auto"/>
          <w:lang w:eastAsia="en-US" w:bidi="en-US"/>
        </w:rPr>
      </w:pPr>
    </w:p>
    <w:p w:rsidR="00E618FE" w:rsidRPr="00535A4B" w:rsidRDefault="00800098">
      <w:pPr>
        <w:pStyle w:val="21"/>
        <w:rPr>
          <w:rFonts w:ascii="Times New Roman" w:eastAsia="PT Astra Serif" w:hAnsi="Times New Roman" w:cs="Times New Roman"/>
        </w:rPr>
      </w:pPr>
      <w:bookmarkStart w:id="40" w:name="_Toc228496285"/>
      <w:bookmarkStart w:id="41" w:name="_Toc235810133"/>
      <w:bookmarkStart w:id="42" w:name="_Toc238554521"/>
      <w:r w:rsidRPr="00535A4B">
        <w:rPr>
          <w:rFonts w:ascii="Times New Roman" w:hAnsi="Times New Roman" w:cs="Times New Roman"/>
        </w:rPr>
        <w:t xml:space="preserve">Сводный результат оценки достижения целей Стратегии социально-экономического развития Томской области до 2030 года </w:t>
      </w:r>
      <w:r w:rsidR="00BB157B">
        <w:rPr>
          <w:rFonts w:ascii="Times New Roman" w:hAnsi="Times New Roman" w:cs="Times New Roman"/>
        </w:rPr>
        <w:br/>
      </w:r>
      <w:r w:rsidRPr="00535A4B">
        <w:rPr>
          <w:rFonts w:ascii="Times New Roman" w:hAnsi="Times New Roman" w:cs="Times New Roman"/>
        </w:rPr>
        <w:t>в период 2020 – 2025 годов</w:t>
      </w:r>
      <w:bookmarkEnd w:id="40"/>
      <w:bookmarkEnd w:id="41"/>
      <w:bookmarkEnd w:id="42"/>
    </w:p>
    <w:p w:rsidR="00E618FE" w:rsidRPr="00535A4B" w:rsidRDefault="00E618FE">
      <w:pPr>
        <w:pStyle w:val="a4"/>
        <w:rPr>
          <w:rFonts w:ascii="Times New Roman" w:eastAsia="PT Astra Serif" w:hAnsi="Times New Roman"/>
          <w:color w:val="auto"/>
        </w:rPr>
      </w:pP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Достижение целей Стратегия 2030 определялось значениями целевых показателей, установленных на 2024 и 2030 годы. При формировании целеполагания применялся комплексный подход к управлению развитием региона. Система целеполагания Стратегии 2030 охватила все ключевые направления и сферы развития Томской области через 5 целей и 59 целевых показателей.</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Для </w:t>
      </w:r>
      <w:r w:rsidRPr="00BB157B">
        <w:rPr>
          <w:rFonts w:ascii="Times New Roman" w:hAnsi="Times New Roman"/>
          <w:b/>
          <w:bCs/>
          <w:color w:val="auto"/>
          <w:sz w:val="26"/>
          <w:szCs w:val="26"/>
        </w:rPr>
        <w:t>цели 1 «</w:t>
      </w:r>
      <w:r w:rsidRPr="00BB157B">
        <w:rPr>
          <w:rFonts w:ascii="Times New Roman" w:eastAsia="PT Astra Serif" w:hAnsi="Times New Roman"/>
          <w:b/>
          <w:bCs/>
          <w:color w:val="auto"/>
          <w:sz w:val="26"/>
          <w:szCs w:val="26"/>
        </w:rPr>
        <w:t>Реализация модели интенсивного развития, включая развитие высокотехнологичных производств на основе потенциала научно-образовательного комплекса, создание условий для инвестиций, развитие предпринимательства»</w:t>
      </w:r>
      <w:r w:rsidRPr="00BB157B">
        <w:rPr>
          <w:rFonts w:ascii="Times New Roman" w:eastAsia="PT Astra Serif" w:hAnsi="Times New Roman"/>
          <w:color w:val="auto"/>
          <w:sz w:val="26"/>
          <w:szCs w:val="26"/>
        </w:rPr>
        <w:t xml:space="preserve"> </w:t>
      </w:r>
      <w:r w:rsidRPr="00BB157B">
        <w:rPr>
          <w:rFonts w:ascii="Times New Roman" w:hAnsi="Times New Roman"/>
          <w:color w:val="auto"/>
          <w:sz w:val="26"/>
          <w:szCs w:val="26"/>
        </w:rPr>
        <w:t xml:space="preserve">было установлено 10 показателей, из которых </w:t>
      </w:r>
      <w:r w:rsidR="00BB157B">
        <w:rPr>
          <w:rFonts w:ascii="Times New Roman" w:hAnsi="Times New Roman"/>
          <w:color w:val="auto"/>
          <w:sz w:val="26"/>
          <w:szCs w:val="26"/>
        </w:rPr>
        <w:br/>
      </w:r>
      <w:r w:rsidRPr="00BB157B">
        <w:rPr>
          <w:rFonts w:ascii="Times New Roman" w:hAnsi="Times New Roman"/>
          <w:color w:val="auto"/>
          <w:sz w:val="26"/>
          <w:szCs w:val="26"/>
        </w:rPr>
        <w:t xml:space="preserve">для 7 целевые значения на 2024 год выполнены. Наибольшие успехи достигнуты </w:t>
      </w:r>
      <w:r w:rsidR="00BB157B">
        <w:rPr>
          <w:rFonts w:ascii="Times New Roman" w:hAnsi="Times New Roman"/>
          <w:color w:val="auto"/>
          <w:sz w:val="26"/>
          <w:szCs w:val="26"/>
        </w:rPr>
        <w:br/>
      </w:r>
      <w:r w:rsidRPr="00BB157B">
        <w:rPr>
          <w:rFonts w:ascii="Times New Roman" w:hAnsi="Times New Roman"/>
          <w:color w:val="auto"/>
          <w:sz w:val="26"/>
          <w:szCs w:val="26"/>
        </w:rPr>
        <w:t xml:space="preserve">по показателям «Темп роста объема оказания услуг в сфере туризма, в действующих ценах к 2020 году» (уровень выполнения 146,1%), «Численность занятых в сфере малого и среднего предпринимательства, включая индивидуальных предпринимателей» (119,4%) и «Темп роста физического объема инвестиций </w:t>
      </w:r>
      <w:r w:rsidR="00BB157B">
        <w:rPr>
          <w:rFonts w:ascii="Times New Roman" w:hAnsi="Times New Roman"/>
          <w:color w:val="auto"/>
          <w:sz w:val="26"/>
          <w:szCs w:val="26"/>
        </w:rPr>
        <w:br/>
      </w:r>
      <w:r w:rsidRPr="00BB157B">
        <w:rPr>
          <w:rFonts w:ascii="Times New Roman" w:hAnsi="Times New Roman"/>
          <w:color w:val="auto"/>
          <w:sz w:val="26"/>
          <w:szCs w:val="26"/>
        </w:rPr>
        <w:t xml:space="preserve">в основной капитал к 2020 году» (111%). </w:t>
      </w:r>
    </w:p>
    <w:p w:rsidR="00E618FE" w:rsidRPr="00BB157B" w:rsidRDefault="00800098">
      <w:pPr>
        <w:pStyle w:val="a4"/>
        <w:rPr>
          <w:rFonts w:ascii="Times New Roman" w:hAnsi="Times New Roman"/>
          <w:color w:val="auto"/>
          <w:sz w:val="26"/>
          <w:szCs w:val="26"/>
        </w:rPr>
      </w:pPr>
      <w:bookmarkStart w:id="43" w:name="_Hlk231404512"/>
      <w:r w:rsidRPr="00BB157B">
        <w:rPr>
          <w:rFonts w:ascii="Times New Roman" w:hAnsi="Times New Roman"/>
          <w:color w:val="auto"/>
          <w:sz w:val="26"/>
          <w:szCs w:val="26"/>
        </w:rPr>
        <w:t>Не выполнены плановые значения по двум целевым показателям: «Темп роста ВРП, в сопоставимых ценах к 2020 году» (уровень выполнения 92%) и «Доля вида экономической деятельности «Добыча полезных ископаемых» в общем объеме промышленного производства» (94,5%). Статистические данные по показателю «Объем несырьевого неэнергетического экспорта» выведены из открытых источников и не публикуются.</w:t>
      </w:r>
      <w:bookmarkEnd w:id="43"/>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lastRenderedPageBreak/>
        <w:t>По</w:t>
      </w:r>
      <w:r w:rsidRPr="00BB157B">
        <w:rPr>
          <w:rFonts w:ascii="Times New Roman" w:hAnsi="Times New Roman"/>
          <w:b/>
          <w:bCs/>
          <w:color w:val="auto"/>
          <w:sz w:val="26"/>
          <w:szCs w:val="26"/>
        </w:rPr>
        <w:t xml:space="preserve"> цели 2 «</w:t>
      </w:r>
      <w:r w:rsidRPr="00BB157B">
        <w:rPr>
          <w:rFonts w:ascii="Times New Roman" w:eastAsia="PT Astra Serif" w:hAnsi="Times New Roman"/>
          <w:b/>
          <w:bCs/>
          <w:color w:val="auto"/>
          <w:sz w:val="26"/>
          <w:szCs w:val="26"/>
        </w:rPr>
        <w:t>Рациональное использование природного капитала Томской области, устойчивое развитие агропромышленного комплекса»</w:t>
      </w:r>
      <w:r w:rsidRPr="00BB157B">
        <w:rPr>
          <w:rFonts w:ascii="Times New Roman" w:hAnsi="Times New Roman"/>
          <w:color w:val="auto"/>
          <w:sz w:val="26"/>
          <w:szCs w:val="26"/>
        </w:rPr>
        <w:t xml:space="preserve"> установлены целевые значения для 8 показателей, из них 5 успешно выполнены, 3 </w:t>
      </w:r>
      <w:r w:rsidR="00BB157B">
        <w:rPr>
          <w:rFonts w:ascii="Times New Roman" w:hAnsi="Times New Roman"/>
          <w:color w:val="auto"/>
          <w:sz w:val="26"/>
          <w:szCs w:val="26"/>
        </w:rPr>
        <w:t>–</w:t>
      </w:r>
      <w:r w:rsidRPr="00BB157B">
        <w:rPr>
          <w:rFonts w:ascii="Times New Roman" w:hAnsi="Times New Roman"/>
          <w:color w:val="auto"/>
          <w:sz w:val="26"/>
          <w:szCs w:val="26"/>
        </w:rPr>
        <w:t xml:space="preserve"> </w:t>
      </w:r>
      <w:r w:rsidR="00BB157B">
        <w:rPr>
          <w:rFonts w:ascii="Times New Roman" w:hAnsi="Times New Roman"/>
          <w:color w:val="auto"/>
          <w:sz w:val="26"/>
          <w:szCs w:val="26"/>
        </w:rPr>
        <w:br/>
      </w:r>
      <w:r w:rsidRPr="00BB157B">
        <w:rPr>
          <w:rFonts w:ascii="Times New Roman" w:hAnsi="Times New Roman"/>
          <w:color w:val="auto"/>
          <w:sz w:val="26"/>
          <w:szCs w:val="26"/>
        </w:rPr>
        <w:t>не выполнены. Наибольшие успехи достигнуты по показателям «Объем загрязнений на единицу ВРП» (уровень выполнения 201,8%) и «Отношение площади лесовосстановления и лесоразведения к площади вырубленных и погибших лесных насаждений в 2024 году» (125,4%). Самым проблемным стал целевой показатель «Доля ТКО, направленных на обработку (сортировку), в общей массе образованных ТКО» (уровень выполнения 28,7%).</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 отношении </w:t>
      </w:r>
      <w:r w:rsidRPr="00BB157B">
        <w:rPr>
          <w:rFonts w:ascii="Times New Roman" w:hAnsi="Times New Roman"/>
          <w:b/>
          <w:bCs/>
          <w:color w:val="auto"/>
          <w:sz w:val="26"/>
          <w:szCs w:val="26"/>
        </w:rPr>
        <w:t>цели 3 «</w:t>
      </w:r>
      <w:r w:rsidRPr="00BB157B">
        <w:rPr>
          <w:rFonts w:ascii="Times New Roman" w:eastAsia="PT Astra Serif" w:hAnsi="Times New Roman"/>
          <w:b/>
          <w:bCs/>
          <w:color w:val="auto"/>
          <w:sz w:val="26"/>
          <w:szCs w:val="26"/>
        </w:rPr>
        <w:t xml:space="preserve">Повышение уровня и качества жизни населения </w:t>
      </w:r>
      <w:r w:rsidR="00BB157B">
        <w:rPr>
          <w:rFonts w:ascii="Times New Roman" w:eastAsia="PT Astra Serif" w:hAnsi="Times New Roman"/>
          <w:b/>
          <w:bCs/>
          <w:color w:val="auto"/>
          <w:sz w:val="26"/>
          <w:szCs w:val="26"/>
        </w:rPr>
        <w:br/>
      </w:r>
      <w:r w:rsidRPr="00BB157B">
        <w:rPr>
          <w:rFonts w:ascii="Times New Roman" w:eastAsia="PT Astra Serif" w:hAnsi="Times New Roman"/>
          <w:b/>
          <w:bCs/>
          <w:color w:val="auto"/>
          <w:sz w:val="26"/>
          <w:szCs w:val="26"/>
        </w:rPr>
        <w:t>на всей территории Томской области, накопление человеческого капитала»</w:t>
      </w:r>
      <w:r w:rsidRPr="00BB157B">
        <w:rPr>
          <w:rFonts w:ascii="Times New Roman" w:hAnsi="Times New Roman"/>
          <w:color w:val="auto"/>
          <w:sz w:val="26"/>
          <w:szCs w:val="26"/>
        </w:rPr>
        <w:t xml:space="preserve"> определен 21 целевой показатель. 14 целевых показателей успешно выполнены, 7 </w:t>
      </w:r>
      <w:r w:rsidR="00BB157B">
        <w:rPr>
          <w:rFonts w:ascii="Times New Roman" w:hAnsi="Times New Roman"/>
          <w:color w:val="auto"/>
          <w:sz w:val="26"/>
          <w:szCs w:val="26"/>
        </w:rPr>
        <w:t>–</w:t>
      </w:r>
      <w:r w:rsidRPr="00BB157B">
        <w:rPr>
          <w:rFonts w:ascii="Times New Roman" w:hAnsi="Times New Roman"/>
          <w:color w:val="auto"/>
          <w:sz w:val="26"/>
          <w:szCs w:val="26"/>
        </w:rPr>
        <w:t xml:space="preserve"> не выполнены. Наиболее заметные успехи были достигнуты по таким показателям, как «Количество созданных (реконструированных) и капитально отремонтированных объектов организаций культуры» (уровень выполнения 172,7%), «Уровень безработицы (по методологии Международной организации труда)» (147,6%), «Уровень бедности» (130,6%), «Уровень образования» (130,4%). Наибольшие сложности возникли c достижением плановых значений целевых показателей в сферах демографического развития и жилищной политики. Фактическое значение целевого показателя «Общий прирост численности населения» оказалось более чем в 2,1 раза ниже планового. Уровень выполнения целевого показателя «Количество семей, улучшивших жилищные условия» составил всего 77,40 %.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По </w:t>
      </w:r>
      <w:r w:rsidRPr="00BB157B">
        <w:rPr>
          <w:rFonts w:ascii="Times New Roman" w:hAnsi="Times New Roman"/>
          <w:b/>
          <w:bCs/>
          <w:color w:val="auto"/>
          <w:sz w:val="26"/>
          <w:szCs w:val="26"/>
        </w:rPr>
        <w:t>цели 4 «</w:t>
      </w:r>
      <w:r w:rsidRPr="00BB157B">
        <w:rPr>
          <w:rFonts w:ascii="Times New Roman" w:eastAsia="PT Astra Serif" w:hAnsi="Times New Roman"/>
          <w:b/>
          <w:bCs/>
          <w:color w:val="auto"/>
          <w:sz w:val="26"/>
          <w:szCs w:val="26"/>
        </w:rPr>
        <w:t xml:space="preserve">Сбалансированное территориальное развитие, </w:t>
      </w:r>
      <w:r w:rsidRPr="00BB157B">
        <w:rPr>
          <w:rFonts w:ascii="Times New Roman" w:eastAsia="PT Astra Serif" w:hAnsi="Times New Roman"/>
          <w:b/>
          <w:bCs/>
          <w:color w:val="auto"/>
          <w:sz w:val="26"/>
          <w:szCs w:val="26"/>
        </w:rPr>
        <w:br/>
        <w:t>в том числе за счет развития инфраструктуры в Томской области»</w:t>
      </w:r>
      <w:r w:rsidRPr="00BB157B">
        <w:rPr>
          <w:rFonts w:ascii="Times New Roman" w:eastAsia="PT Astra Serif" w:hAnsi="Times New Roman"/>
          <w:color w:val="auto"/>
          <w:sz w:val="26"/>
          <w:szCs w:val="26"/>
        </w:rPr>
        <w:t xml:space="preserve"> </w:t>
      </w:r>
      <w:r w:rsidRPr="00BB157B">
        <w:rPr>
          <w:rFonts w:ascii="Times New Roman" w:hAnsi="Times New Roman"/>
          <w:color w:val="auto"/>
          <w:sz w:val="26"/>
          <w:szCs w:val="26"/>
        </w:rPr>
        <w:t xml:space="preserve">определено 10 целевых показателей, успешно выполнены 7. Наилучшие результаты достигнуты по целевым показателям, характеризующим работу коммунального хозяйства. Уровень выполнения планового значения целевого показателя «Количество аварий в системах теплоснабжения, водоснабжения и очистки сточных вод» составил 148,3%.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Невыполненными остались 2 целевых показателя, характеризующие развитие транспорта и дорожного хозяйства. Уровень выполнения целевого показателя «Объем пассажиропотока авиасообщения Томской области» составил 80,4%, показателя «Доля дорожной сети городских агломераций, находя</w:t>
      </w:r>
      <w:r w:rsidR="00BB157B">
        <w:rPr>
          <w:rFonts w:ascii="Times New Roman" w:hAnsi="Times New Roman"/>
          <w:color w:val="auto"/>
          <w:sz w:val="26"/>
          <w:szCs w:val="26"/>
        </w:rPr>
        <w:t xml:space="preserve">щаяся </w:t>
      </w:r>
      <w:r w:rsidR="00BB157B">
        <w:rPr>
          <w:rFonts w:ascii="Times New Roman" w:hAnsi="Times New Roman"/>
          <w:color w:val="auto"/>
          <w:sz w:val="26"/>
          <w:szCs w:val="26"/>
        </w:rPr>
        <w:br/>
        <w:t xml:space="preserve">в нормативном состоянии» – </w:t>
      </w:r>
      <w:r w:rsidRPr="00BB157B">
        <w:rPr>
          <w:rFonts w:ascii="Times New Roman" w:hAnsi="Times New Roman"/>
          <w:color w:val="auto"/>
          <w:sz w:val="26"/>
          <w:szCs w:val="26"/>
        </w:rPr>
        <w:t>79,03%. Расчет целевого показателя «Энергоемкость валового регионального продукта» с 2022 года Росстатом не осуществляется.</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Для </w:t>
      </w:r>
      <w:r w:rsidRPr="00BB157B">
        <w:rPr>
          <w:rFonts w:ascii="Times New Roman" w:hAnsi="Times New Roman"/>
          <w:b/>
          <w:bCs/>
          <w:color w:val="auto"/>
          <w:sz w:val="26"/>
          <w:szCs w:val="26"/>
        </w:rPr>
        <w:t>цели 5 «</w:t>
      </w:r>
      <w:r w:rsidRPr="00BB157B">
        <w:rPr>
          <w:rFonts w:ascii="Times New Roman" w:eastAsia="PT Astra Serif" w:hAnsi="Times New Roman"/>
          <w:b/>
          <w:bCs/>
          <w:color w:val="auto"/>
          <w:sz w:val="26"/>
          <w:szCs w:val="26"/>
        </w:rPr>
        <w:t>Эффективное управление регионом и цифровая трансформация»</w:t>
      </w:r>
      <w:r w:rsidRPr="00BB157B">
        <w:rPr>
          <w:rFonts w:ascii="Times New Roman" w:eastAsia="PT Astra Serif" w:hAnsi="Times New Roman"/>
          <w:color w:val="auto"/>
          <w:sz w:val="26"/>
          <w:szCs w:val="26"/>
        </w:rPr>
        <w:t xml:space="preserve"> </w:t>
      </w:r>
      <w:r w:rsidRPr="00BB157B">
        <w:rPr>
          <w:rFonts w:ascii="Times New Roman" w:hAnsi="Times New Roman"/>
          <w:color w:val="auto"/>
          <w:sz w:val="26"/>
          <w:szCs w:val="26"/>
        </w:rPr>
        <w:t xml:space="preserve">установлено 10 целевых показателей, из них 9 выполнены. Наиболее успешные результаты зафиксированы по показателям «Достижение «цифровой зрелости» ключевых отраслей экономики и социальной сферы, </w:t>
      </w:r>
      <w:r w:rsidRPr="00BB157B">
        <w:rPr>
          <w:rFonts w:ascii="Times New Roman" w:hAnsi="Times New Roman"/>
          <w:color w:val="auto"/>
          <w:sz w:val="26"/>
          <w:szCs w:val="26"/>
        </w:rPr>
        <w:br/>
        <w:t xml:space="preserve">в том числе здравоохранения и образования, а также государственного управления» (уровень выполнения 265,1%), «Доля средств, сэкономленных при осуществлении закупок товаров, работ, услуг для государственных нужд и нужд бюджетных учреждений Томской области, в общем объеме средств» (152%), «Доля муниципальных служащих Томской области, принявших участие в мероприятиях по профессиональному развитию» (127%), «Доля государственных гражданских служащих Томской области, принявших участие в мероприятиях </w:t>
      </w:r>
      <w:r w:rsidR="00BB157B">
        <w:rPr>
          <w:rFonts w:ascii="Times New Roman" w:hAnsi="Times New Roman"/>
          <w:color w:val="auto"/>
          <w:sz w:val="26"/>
          <w:szCs w:val="26"/>
        </w:rPr>
        <w:br/>
      </w:r>
      <w:r w:rsidRPr="00BB157B">
        <w:rPr>
          <w:rFonts w:ascii="Times New Roman" w:hAnsi="Times New Roman"/>
          <w:color w:val="auto"/>
          <w:sz w:val="26"/>
          <w:szCs w:val="26"/>
        </w:rPr>
        <w:t xml:space="preserve">по профессиональному развитию» (125%). Уровень выполнения целевого </w:t>
      </w:r>
      <w:r w:rsidRPr="00BB157B">
        <w:rPr>
          <w:rFonts w:ascii="Times New Roman" w:hAnsi="Times New Roman"/>
          <w:color w:val="auto"/>
          <w:sz w:val="26"/>
          <w:szCs w:val="26"/>
        </w:rPr>
        <w:lastRenderedPageBreak/>
        <w:t>показателя «Доля населения, удовлетворенного деятельностью государственных органов исполнительной власти региона» в 2024 году не установлен в связи с тем, что соответствующий опрос населения не проводился.</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Из 59 целевых показателей Стратегии 2030 плановые значения </w:t>
      </w:r>
      <w:r w:rsidRPr="00BB157B">
        <w:rPr>
          <w:rFonts w:ascii="Times New Roman" w:hAnsi="Times New Roman"/>
          <w:color w:val="auto"/>
          <w:sz w:val="26"/>
          <w:szCs w:val="26"/>
        </w:rPr>
        <w:br/>
        <w:t>на 2024 год успешно достигнуты, в том числе с перевыполнением по 42 показателям (71,2%).</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Не удалось достигнуть установленных значений только по 14 показателям (23,7%). Наиболее сложная ситуация сложилась с выполнением задач повышения эффективности транспортной системы и информационно-коммуникационной инфраструктуры (цель 4) и доступности медицинской помощи и эффективности предоставления медицинских услуг (цель 3). По этим задачам не достигнуты установленные Стратегией 2030 значения ни по одному из целевых показателей.</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По 3 показателям не определен уровень выполнения в силу причин организационно-управленческого характера (не ведется статистический учет, либо не были проведены опросы населения).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Наилучшая реализуемость зафиксирована по цели 5, в рамках которой выполнено 90% целевых показателей. По целям 1 и 4 выполнено по 70% целевых показателей, по цели 3 </w:t>
      </w:r>
      <w:r w:rsidR="00BB157B">
        <w:rPr>
          <w:rFonts w:ascii="Times New Roman" w:hAnsi="Times New Roman"/>
          <w:color w:val="auto"/>
          <w:sz w:val="26"/>
          <w:szCs w:val="26"/>
        </w:rPr>
        <w:t>–</w:t>
      </w:r>
      <w:r w:rsidRPr="00BB157B">
        <w:rPr>
          <w:rFonts w:ascii="Times New Roman" w:hAnsi="Times New Roman"/>
          <w:color w:val="auto"/>
          <w:sz w:val="26"/>
          <w:szCs w:val="26"/>
        </w:rPr>
        <w:t xml:space="preserve"> 66,7%. Более низкие результаты достигнуты по цели 2, здесь выполнено 62,5% целевых показателей.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Большая часть невыполненных показателей относится к макроэкономике, демографии, здравохранению, к сферам дорожного хозяйства и транспорта, обращения с отходами и вопросам безопасности.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Невыполнение ряда показателей явилось следствием внешних, преимущественно, объективных причин:</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Во-первых, долговременные последствия ограничительных мер по борьбе </w:t>
      </w:r>
      <w:r w:rsidR="00BB157B">
        <w:rPr>
          <w:rFonts w:ascii="Times New Roman" w:hAnsi="Times New Roman"/>
          <w:color w:val="auto"/>
          <w:sz w:val="26"/>
          <w:szCs w:val="26"/>
        </w:rPr>
        <w:br/>
      </w:r>
      <w:r w:rsidRPr="00BB157B">
        <w:rPr>
          <w:rFonts w:ascii="Times New Roman" w:hAnsi="Times New Roman"/>
          <w:color w:val="auto"/>
          <w:sz w:val="26"/>
          <w:szCs w:val="26"/>
        </w:rPr>
        <w:t xml:space="preserve">с распространением коронавирусной инфекции.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Во-вторых, санкционный режим, установленный по отношению </w:t>
      </w:r>
      <w:r w:rsidRPr="00BB157B">
        <w:rPr>
          <w:rFonts w:ascii="Times New Roman" w:hAnsi="Times New Roman"/>
          <w:color w:val="auto"/>
          <w:sz w:val="26"/>
          <w:szCs w:val="26"/>
        </w:rPr>
        <w:br/>
        <w:t>к России со стороны недружественных государств и некоторых международных организаций.</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В-третьих, сокращение спроса и цен на мировом рынке нефти </w:t>
      </w:r>
      <w:r w:rsidRPr="00BB157B">
        <w:rPr>
          <w:rFonts w:ascii="Times New Roman" w:hAnsi="Times New Roman"/>
          <w:color w:val="auto"/>
          <w:sz w:val="26"/>
          <w:szCs w:val="26"/>
        </w:rPr>
        <w:br/>
        <w:t>и природного газа. Снижение объемов добычи в результате действия соглашения ОПЕК+.</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В-четвертых, снижение объемов добычи углеводородов в Томской области, вызванное постепенным исчерпанием ресурсов старых месторождений.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В-пятых, крайне неблагоприятная для Томской области сложившаяся система финансово-бюджетных отношений с федеральным центром. Томская область входит в число регионов-лидеров (топ-5) по перечислению средств </w:t>
      </w:r>
      <w:r w:rsidRPr="00BB157B">
        <w:rPr>
          <w:rFonts w:ascii="Times New Roman" w:hAnsi="Times New Roman"/>
          <w:color w:val="auto"/>
          <w:sz w:val="26"/>
          <w:szCs w:val="26"/>
        </w:rPr>
        <w:br/>
        <w:t xml:space="preserve">в федеральный бюджет (более 75% собранных налогов). Одновременно </w:t>
      </w:r>
      <w:r w:rsidRPr="00BB157B">
        <w:rPr>
          <w:rFonts w:ascii="Times New Roman" w:hAnsi="Times New Roman"/>
          <w:color w:val="auto"/>
          <w:sz w:val="26"/>
          <w:szCs w:val="26"/>
        </w:rPr>
        <w:br/>
        <w:t xml:space="preserve">с этим область отличается невысокой бюджетной обеспеченностью и одним из самых высоких уровней долговой нагрузки (80-е место среди всех российских регионов). </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В-шестых, дефицит инвестиционных ресурсов, привлекаемых </w:t>
      </w:r>
      <w:r w:rsidRPr="00BB157B">
        <w:rPr>
          <w:rFonts w:ascii="Times New Roman" w:hAnsi="Times New Roman"/>
          <w:color w:val="auto"/>
          <w:sz w:val="26"/>
          <w:szCs w:val="26"/>
        </w:rPr>
        <w:br/>
        <w:t>в экономику Томской области.</w:t>
      </w:r>
    </w:p>
    <w:p w:rsidR="00E618FE" w:rsidRPr="00BB157B" w:rsidRDefault="00800098">
      <w:pPr>
        <w:pStyle w:val="a4"/>
        <w:rPr>
          <w:rFonts w:ascii="Times New Roman" w:eastAsia="PT Astra Serif" w:hAnsi="Times New Roman"/>
          <w:color w:val="auto"/>
          <w:sz w:val="26"/>
          <w:szCs w:val="26"/>
          <w:lang w:bidi="en-US"/>
        </w:rPr>
      </w:pPr>
      <w:r w:rsidRPr="00BB157B">
        <w:rPr>
          <w:rFonts w:ascii="Times New Roman" w:hAnsi="Times New Roman"/>
          <w:color w:val="auto"/>
          <w:sz w:val="26"/>
          <w:szCs w:val="26"/>
        </w:rPr>
        <w:t xml:space="preserve">В-седьмых, крайне неблагоприятная демографическая ситуация, обусловленная циклическим снижением числа женщин фертильного возраста. </w:t>
      </w:r>
      <w:bookmarkEnd w:id="13"/>
    </w:p>
    <w:p w:rsidR="00E618FE" w:rsidRPr="00535A4B" w:rsidRDefault="00800098">
      <w:pPr>
        <w:spacing w:after="160" w:line="259" w:lineRule="auto"/>
        <w:rPr>
          <w:rFonts w:eastAsia="PT Astra Serif"/>
          <w:b/>
          <w:caps/>
          <w:sz w:val="28"/>
          <w:szCs w:val="32"/>
          <w:lang w:eastAsia="en-US" w:bidi="en-US"/>
        </w:rPr>
      </w:pPr>
      <w:r w:rsidRPr="00535A4B">
        <w:rPr>
          <w:rFonts w:eastAsia="PT Astra Serif"/>
        </w:rPr>
        <w:br w:type="page" w:clear="all"/>
      </w:r>
    </w:p>
    <w:p w:rsidR="00E618FE" w:rsidRPr="00535A4B" w:rsidRDefault="00800098">
      <w:pPr>
        <w:pStyle w:val="10"/>
        <w:rPr>
          <w:rFonts w:ascii="Times New Roman" w:eastAsia="PT Astra Serif" w:hAnsi="Times New Roman" w:cs="Times New Roman"/>
          <w:lang w:val="ru-RU"/>
        </w:rPr>
      </w:pPr>
      <w:bookmarkStart w:id="44" w:name="_Toc235810134"/>
      <w:bookmarkStart w:id="45" w:name="_Toc238554522"/>
      <w:r w:rsidRPr="00535A4B">
        <w:rPr>
          <w:rFonts w:ascii="Times New Roman" w:eastAsia="PT Astra Serif" w:hAnsi="Times New Roman" w:cs="Times New Roman"/>
          <w:lang w:val="ru-RU"/>
        </w:rPr>
        <w:lastRenderedPageBreak/>
        <w:t>4. Томская область в общероссийских рейтингах</w:t>
      </w:r>
      <w:bookmarkEnd w:id="44"/>
      <w:bookmarkEnd w:id="45"/>
    </w:p>
    <w:p w:rsidR="00E618FE" w:rsidRPr="00535A4B" w:rsidRDefault="00E618FE">
      <w:pPr>
        <w:pStyle w:val="a4"/>
        <w:rPr>
          <w:rFonts w:ascii="Times New Roman" w:eastAsia="PT Astra Serif" w:hAnsi="Times New Roman"/>
          <w:color w:val="auto"/>
        </w:rPr>
      </w:pP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Томская область занимает средние места в большинстве наиболее известных, авторитетных и методически проработанных рейтингах регионов России, опубликованных в 2025 и 2026 годах. </w:t>
      </w:r>
    </w:p>
    <w:p w:rsidR="00E618FE" w:rsidRPr="00BB157B" w:rsidRDefault="00800098">
      <w:pPr>
        <w:pStyle w:val="a4"/>
        <w:rPr>
          <w:rFonts w:ascii="Times New Roman" w:hAnsi="Times New Roman"/>
          <w:color w:val="auto"/>
          <w:sz w:val="26"/>
          <w:szCs w:val="26"/>
        </w:rPr>
      </w:pPr>
      <w:r w:rsidRPr="00BB157B">
        <w:rPr>
          <w:rFonts w:ascii="Times New Roman" w:hAnsi="Times New Roman"/>
          <w:b/>
          <w:bCs/>
          <w:color w:val="auto"/>
          <w:sz w:val="26"/>
          <w:szCs w:val="26"/>
        </w:rPr>
        <w:t>Самое высокое</w:t>
      </w:r>
      <w:r w:rsidRPr="00BB157B">
        <w:rPr>
          <w:rFonts w:ascii="Times New Roman" w:hAnsi="Times New Roman"/>
          <w:color w:val="auto"/>
          <w:sz w:val="26"/>
          <w:szCs w:val="26"/>
        </w:rPr>
        <w:t xml:space="preserve"> 3-е место Томская область занимает в Рейтинге инновационного развития субъектов Российской Федерации 2026 года. На позициях выше Томской области находятся Москва и Республика Тата</w:t>
      </w:r>
      <w:r w:rsidR="00BB157B">
        <w:rPr>
          <w:rFonts w:ascii="Times New Roman" w:hAnsi="Times New Roman"/>
          <w:color w:val="auto"/>
          <w:sz w:val="26"/>
          <w:szCs w:val="26"/>
        </w:rPr>
        <w:t>рстан. Ниже Томской области (4 –</w:t>
      </w:r>
      <w:r w:rsidRPr="00BB157B">
        <w:rPr>
          <w:rFonts w:ascii="Times New Roman" w:hAnsi="Times New Roman"/>
          <w:color w:val="auto"/>
          <w:sz w:val="26"/>
          <w:szCs w:val="26"/>
        </w:rPr>
        <w:t xml:space="preserve"> 6 места) расположились Нижегородская область, Санкт-Петербург и Новосибирская область. Разработчиком рейтинга является Институт статистических исследований и экономики знаний НИУ ВШЭ. </w:t>
      </w:r>
    </w:p>
    <w:p w:rsidR="00E618FE" w:rsidRPr="00BB157B" w:rsidRDefault="00800098">
      <w:pPr>
        <w:pStyle w:val="a4"/>
        <w:rPr>
          <w:rFonts w:ascii="Times New Roman" w:hAnsi="Times New Roman"/>
          <w:color w:val="auto"/>
          <w:sz w:val="26"/>
          <w:szCs w:val="26"/>
        </w:rPr>
      </w:pPr>
      <w:r w:rsidRPr="00BB157B">
        <w:rPr>
          <w:rFonts w:ascii="Times New Roman" w:hAnsi="Times New Roman"/>
          <w:b/>
          <w:bCs/>
          <w:color w:val="auto"/>
          <w:sz w:val="26"/>
          <w:szCs w:val="26"/>
        </w:rPr>
        <w:t>Высокое</w:t>
      </w:r>
      <w:r w:rsidRPr="00BB157B">
        <w:rPr>
          <w:rFonts w:ascii="Times New Roman" w:hAnsi="Times New Roman"/>
          <w:color w:val="auto"/>
          <w:sz w:val="26"/>
          <w:szCs w:val="26"/>
        </w:rPr>
        <w:t xml:space="preserve"> 5-е место Томская область занимает среди субъектов Российской Федерации по значению российского регионального инновационного индекса (РРИИ). Расчет РРИИ включает показатели социально-эконмических условий инновационной деятельности, научно-технических потенциал, качество инновационной политики и т.д.</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 xml:space="preserve">В Национальном рейтинге научно-технологического развития субъектов Российской Федерации 2025 года (разработчик </w:t>
      </w:r>
      <w:r w:rsidR="00BB157B">
        <w:rPr>
          <w:rFonts w:ascii="Times New Roman" w:hAnsi="Times New Roman"/>
          <w:color w:val="auto"/>
          <w:sz w:val="26"/>
          <w:szCs w:val="26"/>
        </w:rPr>
        <w:t>–</w:t>
      </w:r>
      <w:r w:rsidRPr="00BB157B">
        <w:rPr>
          <w:rFonts w:ascii="Times New Roman" w:hAnsi="Times New Roman"/>
          <w:color w:val="auto"/>
          <w:sz w:val="26"/>
          <w:szCs w:val="26"/>
        </w:rPr>
        <w:t xml:space="preserve"> Минобрнауки России) Томская область занимает 6-е место. Выше расположились Москва, Санкт-Петербург, Республика Татарстан, Нижегородская и Новосибирская области.</w:t>
      </w:r>
    </w:p>
    <w:p w:rsidR="00E618FE" w:rsidRPr="00BB157B" w:rsidRDefault="00800098">
      <w:pPr>
        <w:pStyle w:val="a4"/>
        <w:rPr>
          <w:rFonts w:ascii="Times New Roman" w:hAnsi="Times New Roman"/>
          <w:color w:val="auto"/>
          <w:sz w:val="26"/>
          <w:szCs w:val="26"/>
        </w:rPr>
      </w:pPr>
      <w:r w:rsidRPr="00BB157B">
        <w:rPr>
          <w:rFonts w:ascii="Times New Roman" w:hAnsi="Times New Roman"/>
          <w:iCs/>
          <w:color w:val="auto"/>
          <w:sz w:val="26"/>
          <w:szCs w:val="26"/>
        </w:rPr>
        <w:t xml:space="preserve">В Рейтинге научно-технологического развития регионов 2025 года (разработчик </w:t>
      </w:r>
      <w:r w:rsidR="00BB157B">
        <w:rPr>
          <w:rFonts w:ascii="Times New Roman" w:hAnsi="Times New Roman"/>
          <w:iCs/>
          <w:color w:val="auto"/>
          <w:sz w:val="26"/>
          <w:szCs w:val="26"/>
        </w:rPr>
        <w:t>–</w:t>
      </w:r>
      <w:r w:rsidRPr="00BB157B">
        <w:rPr>
          <w:rFonts w:ascii="Times New Roman" w:hAnsi="Times New Roman"/>
          <w:iCs/>
          <w:color w:val="auto"/>
          <w:sz w:val="26"/>
          <w:szCs w:val="26"/>
        </w:rPr>
        <w:t xml:space="preserve"> </w:t>
      </w:r>
      <w:r w:rsidRPr="00BB157B">
        <w:rPr>
          <w:rFonts w:ascii="Times New Roman" w:hAnsi="Times New Roman"/>
          <w:color w:val="auto"/>
          <w:sz w:val="26"/>
          <w:szCs w:val="26"/>
        </w:rPr>
        <w:t>РИА Рейтинг)</w:t>
      </w:r>
      <w:r w:rsidRPr="00BB157B">
        <w:rPr>
          <w:rFonts w:ascii="Times New Roman" w:hAnsi="Times New Roman"/>
          <w:iCs/>
          <w:color w:val="auto"/>
          <w:sz w:val="26"/>
          <w:szCs w:val="26"/>
        </w:rPr>
        <w:t xml:space="preserve"> Томская область находится на 15-м месте. Топ-3 образовали </w:t>
      </w:r>
      <w:r w:rsidRPr="00BB157B">
        <w:rPr>
          <w:rFonts w:ascii="Times New Roman" w:hAnsi="Times New Roman"/>
          <w:color w:val="auto"/>
          <w:sz w:val="26"/>
          <w:szCs w:val="26"/>
        </w:rPr>
        <w:t>Москва, Республика Татарстан и Санкт-Петербург. Из регионов Сибирского федерального округа более высокое, чем Томская область место (11-е), занимает Новосибирская область.</w:t>
      </w:r>
    </w:p>
    <w:p w:rsidR="00E618FE" w:rsidRPr="00BB157B" w:rsidRDefault="00800098">
      <w:pPr>
        <w:pStyle w:val="a4"/>
        <w:rPr>
          <w:rFonts w:ascii="Times New Roman" w:hAnsi="Times New Roman"/>
          <w:color w:val="auto"/>
          <w:sz w:val="26"/>
          <w:szCs w:val="26"/>
        </w:rPr>
      </w:pPr>
      <w:r w:rsidRPr="00BB157B">
        <w:rPr>
          <w:rFonts w:ascii="Times New Roman" w:hAnsi="Times New Roman"/>
          <w:b/>
          <w:bCs/>
          <w:color w:val="auto"/>
          <w:sz w:val="26"/>
          <w:szCs w:val="26"/>
        </w:rPr>
        <w:t>Относительно высокое место</w:t>
      </w:r>
      <w:r w:rsidRPr="00BB157B">
        <w:rPr>
          <w:rFonts w:ascii="Times New Roman" w:hAnsi="Times New Roman"/>
          <w:color w:val="auto"/>
          <w:sz w:val="26"/>
          <w:szCs w:val="26"/>
        </w:rPr>
        <w:t xml:space="preserve"> (17-е) заняла Томская область </w:t>
      </w:r>
      <w:r w:rsidRPr="00BB157B">
        <w:rPr>
          <w:rFonts w:ascii="Times New Roman" w:hAnsi="Times New Roman"/>
          <w:color w:val="auto"/>
          <w:sz w:val="26"/>
          <w:szCs w:val="26"/>
        </w:rPr>
        <w:br/>
        <w:t>в Экологическом рейтинге регионов Росс</w:t>
      </w:r>
      <w:r w:rsidR="00BB157B">
        <w:rPr>
          <w:rFonts w:ascii="Times New Roman" w:hAnsi="Times New Roman"/>
          <w:color w:val="auto"/>
          <w:sz w:val="26"/>
          <w:szCs w:val="26"/>
        </w:rPr>
        <w:t>ии (расчетный период зима 2025 –</w:t>
      </w:r>
      <w:r w:rsidRPr="00BB157B">
        <w:rPr>
          <w:rFonts w:ascii="Times New Roman" w:hAnsi="Times New Roman"/>
          <w:color w:val="auto"/>
          <w:sz w:val="26"/>
          <w:szCs w:val="26"/>
        </w:rPr>
        <w:t xml:space="preserve"> 2026 годов; </w:t>
      </w:r>
      <w:r w:rsidRPr="00BB157B">
        <w:rPr>
          <w:rFonts w:ascii="Times New Roman" w:hAnsi="Times New Roman"/>
          <w:iCs/>
          <w:color w:val="auto"/>
          <w:sz w:val="26"/>
          <w:szCs w:val="26"/>
        </w:rPr>
        <w:t xml:space="preserve">разработчик </w:t>
      </w:r>
      <w:r w:rsidR="00BB157B">
        <w:rPr>
          <w:rFonts w:ascii="Times New Roman" w:hAnsi="Times New Roman"/>
          <w:iCs/>
          <w:color w:val="auto"/>
          <w:sz w:val="26"/>
          <w:szCs w:val="26"/>
        </w:rPr>
        <w:t>–</w:t>
      </w:r>
      <w:r w:rsidRPr="00BB157B">
        <w:rPr>
          <w:rFonts w:ascii="Times New Roman" w:hAnsi="Times New Roman"/>
          <w:iCs/>
          <w:color w:val="auto"/>
          <w:sz w:val="26"/>
          <w:szCs w:val="26"/>
        </w:rPr>
        <w:t xml:space="preserve"> </w:t>
      </w:r>
      <w:r w:rsidRPr="00BB157B">
        <w:rPr>
          <w:rFonts w:ascii="Times New Roman" w:hAnsi="Times New Roman"/>
          <w:color w:val="auto"/>
          <w:sz w:val="26"/>
          <w:szCs w:val="26"/>
        </w:rPr>
        <w:t xml:space="preserve">Общероссийская общественная организация «Зеленый патруль»). Средние места у Томской области в Итоговом рейтинге регионов России 2025 года </w:t>
      </w:r>
      <w:r w:rsidR="00BB157B">
        <w:rPr>
          <w:rFonts w:ascii="Times New Roman" w:hAnsi="Times New Roman"/>
          <w:iCs/>
          <w:color w:val="auto"/>
          <w:sz w:val="26"/>
          <w:szCs w:val="26"/>
        </w:rPr>
        <w:t>(разработчик –</w:t>
      </w:r>
      <w:r w:rsidRPr="00BB157B">
        <w:rPr>
          <w:rFonts w:ascii="Times New Roman" w:hAnsi="Times New Roman"/>
          <w:iCs/>
          <w:color w:val="auto"/>
          <w:sz w:val="26"/>
          <w:szCs w:val="26"/>
        </w:rPr>
        <w:t xml:space="preserve"> </w:t>
      </w:r>
      <w:r w:rsidRPr="00BB157B">
        <w:rPr>
          <w:rFonts w:ascii="Times New Roman" w:hAnsi="Times New Roman"/>
          <w:color w:val="auto"/>
          <w:sz w:val="26"/>
          <w:szCs w:val="26"/>
        </w:rPr>
        <w:t xml:space="preserve">РИА Рейтинг) и Рейтинге регионов по уровню развития государственно-частного партнерства (ГЧП) 2026 года </w:t>
      </w:r>
      <w:r w:rsidRPr="00BB157B">
        <w:rPr>
          <w:rFonts w:ascii="Times New Roman" w:hAnsi="Times New Roman"/>
          <w:iCs/>
          <w:color w:val="auto"/>
          <w:sz w:val="26"/>
          <w:szCs w:val="26"/>
        </w:rPr>
        <w:t xml:space="preserve">(разработчик </w:t>
      </w:r>
      <w:r w:rsidR="00BB157B">
        <w:rPr>
          <w:rFonts w:ascii="Times New Roman" w:hAnsi="Times New Roman"/>
          <w:iCs/>
          <w:color w:val="auto"/>
          <w:sz w:val="26"/>
          <w:szCs w:val="26"/>
        </w:rPr>
        <w:t>–</w:t>
      </w:r>
      <w:r w:rsidRPr="00BB157B">
        <w:rPr>
          <w:rFonts w:ascii="Times New Roman" w:hAnsi="Times New Roman"/>
          <w:iCs/>
          <w:color w:val="auto"/>
          <w:sz w:val="26"/>
          <w:szCs w:val="26"/>
        </w:rPr>
        <w:t xml:space="preserve"> </w:t>
      </w:r>
      <w:r w:rsidRPr="00BB157B">
        <w:rPr>
          <w:rFonts w:ascii="Times New Roman" w:hAnsi="Times New Roman"/>
          <w:color w:val="auto"/>
          <w:sz w:val="26"/>
          <w:szCs w:val="26"/>
        </w:rPr>
        <w:t xml:space="preserve">Минэкономразвития России) и. В этих рейтингах Томская область располагается </w:t>
      </w:r>
      <w:r w:rsidR="00BB157B">
        <w:rPr>
          <w:rFonts w:ascii="Times New Roman" w:hAnsi="Times New Roman"/>
          <w:color w:val="auto"/>
          <w:sz w:val="26"/>
          <w:szCs w:val="26"/>
        </w:rPr>
        <w:br/>
      </w:r>
      <w:r w:rsidRPr="00BB157B">
        <w:rPr>
          <w:rFonts w:ascii="Times New Roman" w:hAnsi="Times New Roman"/>
          <w:color w:val="auto"/>
          <w:sz w:val="26"/>
          <w:szCs w:val="26"/>
        </w:rPr>
        <w:t>на 37-м и 45-м местах соответственно.</w:t>
      </w:r>
    </w:p>
    <w:p w:rsidR="00E618FE" w:rsidRPr="00BB157B" w:rsidRDefault="00800098">
      <w:pPr>
        <w:pStyle w:val="a4"/>
        <w:rPr>
          <w:rFonts w:ascii="Times New Roman" w:hAnsi="Times New Roman"/>
          <w:color w:val="auto"/>
          <w:sz w:val="26"/>
          <w:szCs w:val="26"/>
        </w:rPr>
      </w:pPr>
      <w:r w:rsidRPr="00BB157B">
        <w:rPr>
          <w:rFonts w:ascii="Times New Roman" w:hAnsi="Times New Roman"/>
          <w:b/>
          <w:bCs/>
          <w:color w:val="auto"/>
          <w:sz w:val="26"/>
          <w:szCs w:val="26"/>
        </w:rPr>
        <w:t>В других региональных рейтингах Томская область находится во второй половине списка регионов России</w:t>
      </w:r>
      <w:r w:rsidRPr="00BB157B">
        <w:rPr>
          <w:rFonts w:ascii="Times New Roman" w:hAnsi="Times New Roman"/>
          <w:color w:val="auto"/>
          <w:sz w:val="26"/>
          <w:szCs w:val="26"/>
        </w:rPr>
        <w:t xml:space="preserve">. В Оценке инвестиционной привлекательности регионов России 2025 года </w:t>
      </w:r>
      <w:r w:rsidRPr="00BB157B">
        <w:rPr>
          <w:rFonts w:ascii="Times New Roman" w:hAnsi="Times New Roman"/>
          <w:iCs/>
          <w:color w:val="auto"/>
          <w:sz w:val="26"/>
          <w:szCs w:val="26"/>
        </w:rPr>
        <w:t xml:space="preserve">(разработчик </w:t>
      </w:r>
      <w:r w:rsidR="00BB157B">
        <w:rPr>
          <w:rFonts w:ascii="Times New Roman" w:hAnsi="Times New Roman"/>
          <w:iCs/>
          <w:color w:val="auto"/>
          <w:sz w:val="26"/>
          <w:szCs w:val="26"/>
        </w:rPr>
        <w:t>–</w:t>
      </w:r>
      <w:r w:rsidRPr="00BB157B">
        <w:rPr>
          <w:rFonts w:ascii="Times New Roman" w:hAnsi="Times New Roman"/>
          <w:iCs/>
          <w:color w:val="auto"/>
          <w:sz w:val="26"/>
          <w:szCs w:val="26"/>
        </w:rPr>
        <w:t xml:space="preserve"> </w:t>
      </w:r>
      <w:r w:rsidRPr="00BB157B">
        <w:rPr>
          <w:rFonts w:ascii="Times New Roman" w:hAnsi="Times New Roman"/>
          <w:color w:val="auto"/>
          <w:sz w:val="26"/>
          <w:szCs w:val="26"/>
        </w:rPr>
        <w:t xml:space="preserve">Национальное рейтинговое агентство) </w:t>
      </w:r>
      <w:r w:rsidR="00BB157B">
        <w:rPr>
          <w:rFonts w:ascii="Times New Roman" w:hAnsi="Times New Roman"/>
          <w:color w:val="auto"/>
          <w:sz w:val="26"/>
          <w:szCs w:val="26"/>
        </w:rPr>
        <w:t>–</w:t>
      </w:r>
      <w:r w:rsidRPr="00BB157B">
        <w:rPr>
          <w:rFonts w:ascii="Times New Roman" w:hAnsi="Times New Roman"/>
          <w:color w:val="auto"/>
          <w:sz w:val="26"/>
          <w:szCs w:val="26"/>
        </w:rPr>
        <w:t xml:space="preserve"> на 46-м месте, в Рейтинге регионов по материальному благополучию населения </w:t>
      </w:r>
      <w:r w:rsidR="00BB157B">
        <w:rPr>
          <w:rFonts w:ascii="Times New Roman" w:hAnsi="Times New Roman"/>
          <w:color w:val="auto"/>
          <w:sz w:val="26"/>
          <w:szCs w:val="26"/>
        </w:rPr>
        <w:br/>
      </w:r>
      <w:r w:rsidRPr="00BB157B">
        <w:rPr>
          <w:rFonts w:ascii="Times New Roman" w:hAnsi="Times New Roman"/>
          <w:color w:val="auto"/>
          <w:sz w:val="26"/>
          <w:szCs w:val="26"/>
        </w:rPr>
        <w:t xml:space="preserve">2025 года </w:t>
      </w:r>
      <w:r w:rsidR="00BB157B">
        <w:rPr>
          <w:rFonts w:ascii="Times New Roman" w:hAnsi="Times New Roman"/>
          <w:iCs/>
          <w:color w:val="auto"/>
          <w:sz w:val="26"/>
          <w:szCs w:val="26"/>
        </w:rPr>
        <w:t>(разработчик –</w:t>
      </w:r>
      <w:r w:rsidRPr="00BB157B">
        <w:rPr>
          <w:rFonts w:ascii="Times New Roman" w:hAnsi="Times New Roman"/>
          <w:iCs/>
          <w:color w:val="auto"/>
          <w:sz w:val="26"/>
          <w:szCs w:val="26"/>
        </w:rPr>
        <w:t xml:space="preserve"> </w:t>
      </w:r>
      <w:r w:rsidR="00BB157B">
        <w:rPr>
          <w:rFonts w:ascii="Times New Roman" w:hAnsi="Times New Roman"/>
          <w:color w:val="auto"/>
          <w:sz w:val="26"/>
          <w:szCs w:val="26"/>
        </w:rPr>
        <w:t>РИА Рейтинг) –</w:t>
      </w:r>
      <w:r w:rsidRPr="00BB157B">
        <w:rPr>
          <w:rFonts w:ascii="Times New Roman" w:hAnsi="Times New Roman"/>
          <w:color w:val="auto"/>
          <w:sz w:val="26"/>
          <w:szCs w:val="26"/>
        </w:rPr>
        <w:t xml:space="preserve"> на 49-м месте, в Рейтинге российских регионов по качеству жизни 2026 года </w:t>
      </w:r>
      <w:r w:rsidR="00BB157B">
        <w:rPr>
          <w:rFonts w:ascii="Times New Roman" w:hAnsi="Times New Roman"/>
          <w:iCs/>
          <w:color w:val="auto"/>
          <w:sz w:val="26"/>
          <w:szCs w:val="26"/>
        </w:rPr>
        <w:t>(разработчик –</w:t>
      </w:r>
      <w:r w:rsidRPr="00BB157B">
        <w:rPr>
          <w:rFonts w:ascii="Times New Roman" w:hAnsi="Times New Roman"/>
          <w:iCs/>
          <w:color w:val="auto"/>
          <w:sz w:val="26"/>
          <w:szCs w:val="26"/>
        </w:rPr>
        <w:t xml:space="preserve"> </w:t>
      </w:r>
      <w:r w:rsidRPr="00BB157B">
        <w:rPr>
          <w:rFonts w:ascii="Times New Roman" w:hAnsi="Times New Roman"/>
          <w:color w:val="auto"/>
          <w:sz w:val="26"/>
          <w:szCs w:val="26"/>
        </w:rPr>
        <w:t xml:space="preserve">РИА Рейтинг) </w:t>
      </w:r>
      <w:r w:rsidR="00BB157B">
        <w:rPr>
          <w:rFonts w:ascii="Times New Roman" w:hAnsi="Times New Roman"/>
          <w:color w:val="auto"/>
          <w:sz w:val="26"/>
          <w:szCs w:val="26"/>
        </w:rPr>
        <w:t>–</w:t>
      </w:r>
      <w:r w:rsidRPr="00BB157B">
        <w:rPr>
          <w:rFonts w:ascii="Times New Roman" w:hAnsi="Times New Roman"/>
          <w:color w:val="auto"/>
          <w:sz w:val="26"/>
          <w:szCs w:val="26"/>
        </w:rPr>
        <w:t xml:space="preserve"> на 55 месте, в Рейтинге социально-экономического положения регионов 2026 года </w:t>
      </w:r>
      <w:r w:rsidRPr="00BB157B">
        <w:rPr>
          <w:rFonts w:ascii="Times New Roman" w:hAnsi="Times New Roman"/>
          <w:iCs/>
          <w:color w:val="auto"/>
          <w:sz w:val="26"/>
          <w:szCs w:val="26"/>
        </w:rPr>
        <w:t xml:space="preserve">(разработчик </w:t>
      </w:r>
      <w:r w:rsidR="00BB157B">
        <w:rPr>
          <w:rFonts w:ascii="Times New Roman" w:hAnsi="Times New Roman"/>
          <w:iCs/>
          <w:color w:val="auto"/>
          <w:sz w:val="26"/>
          <w:szCs w:val="26"/>
        </w:rPr>
        <w:t>–</w:t>
      </w:r>
      <w:r w:rsidRPr="00BB157B">
        <w:rPr>
          <w:rFonts w:ascii="Times New Roman" w:hAnsi="Times New Roman"/>
          <w:iCs/>
          <w:color w:val="auto"/>
          <w:sz w:val="26"/>
          <w:szCs w:val="26"/>
        </w:rPr>
        <w:t xml:space="preserve"> </w:t>
      </w:r>
      <w:r w:rsidR="00BB157B">
        <w:rPr>
          <w:rFonts w:ascii="Times New Roman" w:hAnsi="Times New Roman"/>
          <w:color w:val="auto"/>
          <w:sz w:val="26"/>
          <w:szCs w:val="26"/>
        </w:rPr>
        <w:t>РИА Рейтинг) –</w:t>
      </w:r>
      <w:r w:rsidRPr="00BB157B">
        <w:rPr>
          <w:rFonts w:ascii="Times New Roman" w:hAnsi="Times New Roman"/>
          <w:color w:val="auto"/>
          <w:sz w:val="26"/>
          <w:szCs w:val="26"/>
        </w:rPr>
        <w:t xml:space="preserve"> на 58-м месте, в Национальном туристическом рейтинге 2026 года </w:t>
      </w:r>
      <w:r w:rsidR="00BB157B">
        <w:rPr>
          <w:rFonts w:ascii="Times New Roman" w:hAnsi="Times New Roman"/>
          <w:iCs/>
          <w:color w:val="auto"/>
          <w:sz w:val="26"/>
          <w:szCs w:val="26"/>
        </w:rPr>
        <w:t>(разработчики –</w:t>
      </w:r>
      <w:r w:rsidRPr="00BB157B">
        <w:rPr>
          <w:rFonts w:ascii="Times New Roman" w:hAnsi="Times New Roman"/>
          <w:iCs/>
          <w:color w:val="auto"/>
          <w:sz w:val="26"/>
          <w:szCs w:val="26"/>
        </w:rPr>
        <w:t xml:space="preserve"> </w:t>
      </w:r>
      <w:r w:rsidRPr="00BB157B">
        <w:rPr>
          <w:rFonts w:ascii="Times New Roman" w:hAnsi="Times New Roman"/>
          <w:color w:val="auto"/>
          <w:sz w:val="26"/>
          <w:szCs w:val="26"/>
        </w:rPr>
        <w:t>Центр информационных коммуникаций «Рейтинг» и журнал «Отдых в России»)</w:t>
      </w:r>
      <w:r w:rsidR="00BB157B">
        <w:rPr>
          <w:rFonts w:ascii="Times New Roman" w:hAnsi="Times New Roman"/>
          <w:color w:val="auto"/>
          <w:sz w:val="26"/>
          <w:szCs w:val="26"/>
        </w:rPr>
        <w:t xml:space="preserve"> –</w:t>
      </w:r>
      <w:r w:rsidRPr="00BB157B">
        <w:rPr>
          <w:rFonts w:ascii="Times New Roman" w:hAnsi="Times New Roman"/>
          <w:color w:val="auto"/>
          <w:sz w:val="26"/>
          <w:szCs w:val="26"/>
        </w:rPr>
        <w:t xml:space="preserve"> на 65-м месте.</w:t>
      </w:r>
    </w:p>
    <w:p w:rsidR="00E618FE" w:rsidRPr="00BB157B" w:rsidRDefault="00800098">
      <w:pPr>
        <w:pStyle w:val="a4"/>
        <w:rPr>
          <w:rFonts w:ascii="Times New Roman" w:hAnsi="Times New Roman"/>
          <w:color w:val="auto"/>
          <w:sz w:val="26"/>
          <w:szCs w:val="26"/>
        </w:rPr>
      </w:pPr>
      <w:r w:rsidRPr="00BB157B">
        <w:rPr>
          <w:rFonts w:ascii="Times New Roman" w:hAnsi="Times New Roman"/>
          <w:b/>
          <w:bCs/>
          <w:color w:val="auto"/>
          <w:sz w:val="26"/>
          <w:szCs w:val="26"/>
        </w:rPr>
        <w:t>Слабые позиции</w:t>
      </w:r>
      <w:r w:rsidRPr="00BB157B">
        <w:rPr>
          <w:rFonts w:ascii="Times New Roman" w:hAnsi="Times New Roman"/>
          <w:color w:val="auto"/>
          <w:sz w:val="26"/>
          <w:szCs w:val="26"/>
        </w:rPr>
        <w:t xml:space="preserve"> у Томской области в Рейтинге инвестиционной привлекательности р</w:t>
      </w:r>
      <w:r w:rsidR="00BB157B">
        <w:rPr>
          <w:rFonts w:ascii="Times New Roman" w:hAnsi="Times New Roman"/>
          <w:color w:val="auto"/>
          <w:sz w:val="26"/>
          <w:szCs w:val="26"/>
        </w:rPr>
        <w:t>егионов 2025 года (разработчик –</w:t>
      </w:r>
      <w:r w:rsidRPr="00BB157B">
        <w:rPr>
          <w:rFonts w:ascii="Times New Roman" w:hAnsi="Times New Roman"/>
          <w:color w:val="auto"/>
          <w:sz w:val="26"/>
          <w:szCs w:val="26"/>
        </w:rPr>
        <w:t xml:space="preserve"> Рейтинговое агентство «Эксперт РА»). В Рейтинге инвестиционной привлекательности регионов Томск</w:t>
      </w:r>
      <w:r w:rsidR="00BB157B">
        <w:rPr>
          <w:rFonts w:ascii="Times New Roman" w:hAnsi="Times New Roman"/>
          <w:color w:val="auto"/>
          <w:sz w:val="26"/>
          <w:szCs w:val="26"/>
        </w:rPr>
        <w:t>ая область отнесена в группу С –</w:t>
      </w:r>
      <w:r w:rsidRPr="00BB157B">
        <w:rPr>
          <w:rFonts w:ascii="Times New Roman" w:hAnsi="Times New Roman"/>
          <w:color w:val="auto"/>
          <w:sz w:val="26"/>
          <w:szCs w:val="26"/>
        </w:rPr>
        <w:t xml:space="preserve"> регионы с низким уровнем инвестиционной привлекательности. Помимо Томской области в этой группе из числа регионов </w:t>
      </w:r>
      <w:r w:rsidRPr="00BB157B">
        <w:rPr>
          <w:rFonts w:ascii="Times New Roman" w:hAnsi="Times New Roman"/>
          <w:color w:val="auto"/>
          <w:sz w:val="26"/>
          <w:szCs w:val="26"/>
        </w:rPr>
        <w:lastRenderedPageBreak/>
        <w:t>Сибирского федерального округа находятся Иркутская и Кемеровская области, Алтайский край, Республики Тыва и Хакасия.</w:t>
      </w:r>
    </w:p>
    <w:p w:rsidR="00E618FE" w:rsidRPr="00BB157B" w:rsidRDefault="00800098">
      <w:pPr>
        <w:pStyle w:val="a4"/>
        <w:rPr>
          <w:rFonts w:ascii="Times New Roman" w:hAnsi="Times New Roman"/>
          <w:color w:val="auto"/>
          <w:sz w:val="26"/>
          <w:szCs w:val="26"/>
        </w:rPr>
      </w:pPr>
      <w:r w:rsidRPr="00BB157B">
        <w:rPr>
          <w:rFonts w:ascii="Times New Roman" w:hAnsi="Times New Roman"/>
          <w:b/>
          <w:bCs/>
          <w:color w:val="auto"/>
          <w:sz w:val="26"/>
          <w:szCs w:val="26"/>
        </w:rPr>
        <w:t>Самое низкое место</w:t>
      </w:r>
      <w:r w:rsidRPr="00BB157B">
        <w:rPr>
          <w:rFonts w:ascii="Times New Roman" w:hAnsi="Times New Roman"/>
          <w:color w:val="auto"/>
          <w:sz w:val="26"/>
          <w:szCs w:val="26"/>
        </w:rPr>
        <w:t xml:space="preserve"> (87) Томская область занимает в Рейтинге регионов </w:t>
      </w:r>
      <w:r w:rsidR="00BB157B">
        <w:rPr>
          <w:rFonts w:ascii="Times New Roman" w:hAnsi="Times New Roman"/>
          <w:color w:val="auto"/>
          <w:sz w:val="26"/>
          <w:szCs w:val="26"/>
        </w:rPr>
        <w:br/>
      </w:r>
      <w:r w:rsidRPr="00BB157B">
        <w:rPr>
          <w:rFonts w:ascii="Times New Roman" w:hAnsi="Times New Roman"/>
          <w:color w:val="auto"/>
          <w:sz w:val="26"/>
          <w:szCs w:val="26"/>
        </w:rPr>
        <w:t>по уровню долговой нагрузки по итогам 2025 года (разработчик – РИА Рейтинг). Рейтинг составляется на основе данных Минфина России и Федерального казначейства. Ранжирование регионов ведется по значениям показателя отношения госдолга к налоговым и неналоговым доходам бюджета. Значение этого показателя у Томской области составило на 1 января 2026 г. 77,2%, у занявшего 1-е мест</w:t>
      </w:r>
      <w:r w:rsidR="00BB157B">
        <w:rPr>
          <w:rFonts w:ascii="Times New Roman" w:hAnsi="Times New Roman"/>
          <w:color w:val="auto"/>
          <w:sz w:val="26"/>
          <w:szCs w:val="26"/>
        </w:rPr>
        <w:t>о Ненецкого автономного округа –</w:t>
      </w:r>
      <w:r w:rsidRPr="00BB157B">
        <w:rPr>
          <w:rFonts w:ascii="Times New Roman" w:hAnsi="Times New Roman"/>
          <w:color w:val="auto"/>
          <w:sz w:val="26"/>
          <w:szCs w:val="26"/>
        </w:rPr>
        <w:t xml:space="preserve"> 1,6%, а у занявшей последнее место Архангельской области – 122,5%. В предыдущем Рейтинге долговой нагрузки Томская область занимала 80 место.</w:t>
      </w:r>
    </w:p>
    <w:p w:rsidR="00E618FE" w:rsidRPr="00BB157B" w:rsidRDefault="00800098">
      <w:pPr>
        <w:pStyle w:val="a4"/>
        <w:rPr>
          <w:rFonts w:ascii="Times New Roman" w:hAnsi="Times New Roman"/>
          <w:color w:val="auto"/>
          <w:sz w:val="26"/>
          <w:szCs w:val="26"/>
        </w:rPr>
      </w:pPr>
      <w:r w:rsidRPr="00BB157B">
        <w:rPr>
          <w:rFonts w:ascii="Times New Roman" w:hAnsi="Times New Roman"/>
          <w:color w:val="auto"/>
          <w:sz w:val="26"/>
          <w:szCs w:val="26"/>
        </w:rPr>
        <w:t>Сводная информация о позициях Томской области в рейтингах развития регионов России представлена в таблице 4.1.</w:t>
      </w:r>
    </w:p>
    <w:p w:rsidR="00E618FE" w:rsidRPr="00535A4B" w:rsidRDefault="00E618FE"/>
    <w:p w:rsidR="00E618FE" w:rsidRPr="00535A4B" w:rsidRDefault="00E618FE">
      <w:pPr>
        <w:pStyle w:val="aff"/>
        <w:rPr>
          <w:rFonts w:ascii="Times New Roman" w:hAnsi="Times New Roman"/>
          <w:szCs w:val="28"/>
          <w:lang w:val="ru-RU"/>
        </w:rPr>
        <w:sectPr w:rsidR="00E618FE" w:rsidRPr="00535A4B">
          <w:pgSz w:w="11906" w:h="16838"/>
          <w:pgMar w:top="1134" w:right="850" w:bottom="1134" w:left="1701" w:header="708" w:footer="708" w:gutter="0"/>
          <w:cols w:space="708"/>
          <w:docGrid w:linePitch="360"/>
        </w:sectPr>
      </w:pPr>
    </w:p>
    <w:p w:rsidR="00E618FE" w:rsidRPr="00535A4B" w:rsidRDefault="00800098">
      <w:pPr>
        <w:pStyle w:val="aff"/>
        <w:rPr>
          <w:rFonts w:ascii="Times New Roman" w:hAnsi="Times New Roman"/>
          <w:szCs w:val="28"/>
          <w:lang w:val="ru-RU"/>
        </w:rPr>
      </w:pPr>
      <w:r w:rsidRPr="00535A4B">
        <w:rPr>
          <w:rFonts w:ascii="Times New Roman" w:hAnsi="Times New Roman"/>
          <w:szCs w:val="28"/>
          <w:lang w:val="ru-RU"/>
        </w:rPr>
        <w:lastRenderedPageBreak/>
        <w:t>Таблица 4.1. Место Томской области в рейтингах регионов России</w:t>
      </w:r>
    </w:p>
    <w:tbl>
      <w:tblPr>
        <w:tblStyle w:val="-15"/>
        <w:tblW w:w="14459" w:type="dxa"/>
        <w:tblLayout w:type="fixed"/>
        <w:tblLook w:val="04A0" w:firstRow="1" w:lastRow="0" w:firstColumn="1" w:lastColumn="0" w:noHBand="0" w:noVBand="1"/>
      </w:tblPr>
      <w:tblGrid>
        <w:gridCol w:w="626"/>
        <w:gridCol w:w="3055"/>
        <w:gridCol w:w="1843"/>
        <w:gridCol w:w="4611"/>
        <w:gridCol w:w="4324"/>
      </w:tblGrid>
      <w:tr w:rsidR="00E618FE" w:rsidRPr="00535A4B" w:rsidTr="00E618FE">
        <w:trPr>
          <w:cnfStyle w:val="100000000000" w:firstRow="1" w:lastRow="0" w:firstColumn="0" w:lastColumn="0" w:oddVBand="0" w:evenVBand="0" w:oddHBand="0" w:evenHBand="0" w:firstRowFirstColumn="0" w:firstRowLastColumn="0" w:lastRowFirstColumn="0" w:lastRowLastColumn="0"/>
          <w:trHeight w:val="470"/>
          <w:tblHeader/>
        </w:trPr>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pPr>
              <w:jc w:val="center"/>
            </w:pPr>
            <w:r w:rsidRPr="00535A4B">
              <w:rPr>
                <w:b w:val="0"/>
                <w:bCs w:val="0"/>
              </w:rPr>
              <w:t>№ п/п</w:t>
            </w:r>
          </w:p>
        </w:tc>
        <w:tc>
          <w:tcPr>
            <w:tcW w:w="3055"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Наименование рейтинга,</w:t>
            </w:r>
          </w:p>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год публикации</w:t>
            </w:r>
          </w:p>
        </w:tc>
        <w:tc>
          <w:tcPr>
            <w:tcW w:w="1843"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Место Томской области</w:t>
            </w:r>
            <w:r w:rsidRPr="00535A4B">
              <w:rPr>
                <w:rStyle w:val="af3"/>
                <w:b w:val="0"/>
                <w:bCs w:val="0"/>
              </w:rPr>
              <w:footnoteReference w:id="16"/>
            </w:r>
          </w:p>
        </w:tc>
        <w:tc>
          <w:tcPr>
            <w:tcW w:w="4611"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Лидеры рейтинга и места, занимае-</w:t>
            </w:r>
            <w:r w:rsidRPr="00535A4B">
              <w:rPr>
                <w:b w:val="0"/>
                <w:bCs w:val="0"/>
              </w:rPr>
              <w:br/>
              <w:t>мые ведущими регионами СФО</w:t>
            </w:r>
          </w:p>
        </w:tc>
        <w:tc>
          <w:tcPr>
            <w:tcW w:w="4324"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Регионы, занимающие в рейтинге места рядом с Томской областью</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bCs w:val="0"/>
              </w:rPr>
              <w:t>1.</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Рейтинг инновационного развития субъектов Российской Федерации,</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Cs/>
              </w:rPr>
            </w:pPr>
            <w:r w:rsidRPr="00535A4B">
              <w:t>2026 год</w:t>
            </w:r>
            <w:r w:rsidRPr="00535A4B">
              <w:rPr>
                <w:rStyle w:val="af3"/>
              </w:rPr>
              <w:footnoteReference w:id="17"/>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w:t>
            </w:r>
          </w:p>
          <w:p w:rsidR="00E618FE" w:rsidRPr="00535A4B" w:rsidRDefault="00E618FE">
            <w:pPr>
              <w:jc w:val="center"/>
              <w:cnfStyle w:val="000000000000" w:firstRow="0" w:lastRow="0" w:firstColumn="0" w:lastColumn="0" w:oddVBand="0" w:evenVBand="0" w:oddHBand="0" w:evenHBand="0" w:firstRowFirstColumn="0" w:firstRowLastColumn="0" w:lastRowFirstColumn="0" w:lastRowLastColumn="0"/>
            </w:pP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2. Республика Татарстан</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4"/>
                <w:szCs w:val="24"/>
              </w:rPr>
            </w:pPr>
            <w:r w:rsidRPr="00535A4B">
              <w:rPr>
                <w:rFonts w:ascii="Times New Roman" w:hAnsi="Times New Roman"/>
                <w:b/>
                <w:bCs/>
                <w:color w:val="auto"/>
                <w:sz w:val="24"/>
                <w:szCs w:val="24"/>
              </w:rPr>
              <w:t>3. Томская область</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4. Санкт-Петербург</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5. Новосибирская область</w:t>
            </w: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6. Ульяновская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7. Свердловская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8. Московская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9. Самарская область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bCs w:val="0"/>
              </w:rPr>
              <w:t>2.</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Cs/>
              </w:rPr>
            </w:pPr>
            <w:r w:rsidRPr="00535A4B">
              <w:rPr>
                <w:bCs/>
              </w:rPr>
              <w:t>Национальный рейтинг научно-технологического развития субъектов Российской Федерации,</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Cs/>
              </w:rPr>
            </w:pPr>
            <w:r w:rsidRPr="00535A4B">
              <w:t>2025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w:t>
            </w:r>
          </w:p>
        </w:tc>
        <w:tc>
          <w:tcPr>
            <w:tcW w:w="4611"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1. Москва</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2. Санкт-Петербург</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3. Республика Татарстан</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 Нижегородская область</w:t>
            </w:r>
          </w:p>
          <w:p w:rsidR="00E618FE" w:rsidRPr="00535A4B" w:rsidRDefault="00E618FE">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 Новосибирская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rPr>
                <w:b/>
              </w:rPr>
              <w:t>6.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7. Республика Башкортостан</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8. Свердловская область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bCs w:val="0"/>
              </w:rPr>
              <w:t>3.</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Рейтинг научно-технологического развития регионов,</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2025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w:t>
            </w: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Республика Татарстан</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Санкт-Петербург</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11. Новосибирская область</w:t>
            </w: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13. Ульяновская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14. Республика Башкортостан</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15.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16. Челябинская область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bCs w:val="0"/>
              </w:rPr>
              <w:t>4.</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Экологический рейтинг регионов России,</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Зима 2025 - 2026 годов,</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2026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17</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(19)</w:t>
            </w:r>
          </w:p>
          <w:p w:rsidR="00E618FE" w:rsidRPr="00535A4B" w:rsidRDefault="00E618FE">
            <w:pPr>
              <w:jc w:val="center"/>
              <w:cnfStyle w:val="000000000000" w:firstRow="0" w:lastRow="0" w:firstColumn="0" w:lastColumn="0" w:oddVBand="0" w:evenVBand="0" w:oddHBand="0" w:evenHBand="0" w:firstRowFirstColumn="0" w:firstRowLastColumn="0" w:lastRowFirstColumn="0" w:lastRowLastColumn="0"/>
            </w:pP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Республика Алтай</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Кабардино-Балкарская Республика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Мурманская область</w:t>
            </w: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16. Республика Адыгея</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rPr>
                <w:b/>
                <w:bCs/>
              </w:rPr>
              <w:t>17. Томская область</w:t>
            </w:r>
            <w:r w:rsidRPr="00535A4B">
              <w:t xml:space="preserve"> </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18. Ивановская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19. Санкт-Петербург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bCs w:val="0"/>
              </w:rPr>
              <w:t>5.</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Итоговый рейтинг регионов Российской Федерации,</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2025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37</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(37)</w:t>
            </w: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Санкт-Петербург</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Московская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14. Новосибирская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22. Красноярский край</w:t>
            </w: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36. Чувашская Республика</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37.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38. Ставропольский край </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39. Оренбургская область </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40. Омская область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rPr>
              <w:lastRenderedPageBreak/>
              <w:t>6.</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Рейтинг регионов по уровню развития государственно-частного партнерства,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2026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(36)</w:t>
            </w:r>
          </w:p>
          <w:p w:rsidR="00E618FE" w:rsidRPr="00535A4B" w:rsidRDefault="00E618FE">
            <w:pPr>
              <w:jc w:val="center"/>
              <w:cnfStyle w:val="000000000000" w:firstRow="0" w:lastRow="0" w:firstColumn="0" w:lastColumn="0" w:oddVBand="0" w:evenVBand="0" w:oddHBand="0" w:evenHBand="0" w:firstRowFirstColumn="0" w:firstRowLastColumn="0" w:lastRowFirstColumn="0" w:lastRowLastColumn="0"/>
            </w:pP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Пермский край</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Хабаровский край</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 Самарская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 Нижегородская область</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44. Оренбургская область </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t xml:space="preserve">45. </w:t>
            </w:r>
            <w:r w:rsidRPr="00535A4B">
              <w:rPr>
                <w:b/>
                <w:bCs/>
              </w:rPr>
              <w:t>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46. Кемеровская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47. Тамбовская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48. Вологодская область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bCs w:val="0"/>
              </w:rPr>
              <w:t>7.</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Оценка инвестиционной привлекательности регионов России,</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2025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46</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(62)</w:t>
            </w: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2. Санкт-Петербург </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Республика Татарстан</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44. Чувашская Республика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45. Ярославская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46.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47. Омская область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rPr>
              <w:t>8.</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Рейтинг регионов по материальному благополучию населения,</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2025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49</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(49)</w:t>
            </w: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Ямало-Ненецкий автономный округ</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Ханты-Мансийский автономный округ-Югра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Магаданская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24. Новосибирская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28. Красноярский край</w:t>
            </w: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46. Кемеровская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47. Иркутская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48. Владимирская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49. Томская область</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rPr>
              <w:t>9.</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Рейтинг российских регионов по качеству жизни,</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2026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55</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(51)</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Санкт-Петербург</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Московская область</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54. Сахалинская область </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55.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56. Омская область</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rPr>
              <w:t>10.</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Рейтинг социально-экономического положения регионов,</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2026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58</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(53)</w:t>
            </w:r>
          </w:p>
          <w:p w:rsidR="00E618FE" w:rsidRPr="00535A4B" w:rsidRDefault="00E618FE">
            <w:pPr>
              <w:jc w:val="center"/>
              <w:cnfStyle w:val="000000000000" w:firstRow="0" w:lastRow="0" w:firstColumn="0" w:lastColumn="0" w:oddVBand="0" w:evenVBand="0" w:oddHBand="0" w:evenHBand="0" w:firstRowFirstColumn="0" w:firstRowLastColumn="0" w:lastRowFirstColumn="0" w:lastRowLastColumn="0"/>
            </w:pP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2. Санкт-Петербург </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Республика Татарстан</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56. Республика Мордовия</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57. Ивановская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58.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59. Астраханская область</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bCs w:val="0"/>
              </w:rPr>
              <w:t>11.</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Национальный туристический рейтинг (итоги 2025 года),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2026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65</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(63)</w:t>
            </w:r>
          </w:p>
          <w:p w:rsidR="00E618FE" w:rsidRPr="00535A4B" w:rsidRDefault="00E618FE">
            <w:pPr>
              <w:jc w:val="center"/>
              <w:cnfStyle w:val="000000000000" w:firstRow="0" w:lastRow="0" w:firstColumn="0" w:lastColumn="0" w:oddVBand="0" w:evenVBand="0" w:oddHBand="0" w:evenHBand="0" w:firstRowFirstColumn="0" w:firstRowLastColumn="0" w:lastRowFirstColumn="0" w:lastRowLastColumn="0"/>
            </w:pPr>
          </w:p>
          <w:p w:rsidR="00E618FE" w:rsidRPr="00535A4B" w:rsidRDefault="00E618FE">
            <w:pPr>
              <w:jc w:val="center"/>
              <w:cnfStyle w:val="000000000000" w:firstRow="0" w:lastRow="0" w:firstColumn="0" w:lastColumn="0" w:oddVBand="0" w:evenVBand="0" w:oddHBand="0" w:evenHBand="0" w:firstRowFirstColumn="0" w:firstRowLastColumn="0" w:lastRowFirstColumn="0" w:lastRowLastColumn="0"/>
            </w:pP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Московская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Краснодарский край</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 Санкт-Петербург</w:t>
            </w: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63. Амурская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64. Курская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65.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66. Ямало-Ненецкий автономный округ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rPr>
              <w:lastRenderedPageBreak/>
              <w:t>12.</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Рейтинг инвестиционной привлекательности регионов России,</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2025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Группа С</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(низкий уровень)</w:t>
            </w: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Группа А1 (наивысший уровень)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Краснодарский край, Москва, Приморский край, Республика Татарстан, Ямало-Ненецкий автономный округ</w:t>
            </w: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Группа С (низкий уровень)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Алтайский край, Иркутская область, Кемеровская область - Кузбасс, Томская область, Республики Тыва и Хакасия</w:t>
            </w:r>
            <w:r w:rsidRPr="00535A4B">
              <w:rPr>
                <w:rStyle w:val="af3"/>
              </w:rPr>
              <w:footnoteReference w:id="18"/>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26" w:type="dxa"/>
          </w:tcPr>
          <w:p w:rsidR="00E618FE" w:rsidRPr="00535A4B" w:rsidRDefault="00800098">
            <w:r w:rsidRPr="00535A4B">
              <w:rPr>
                <w:b w:val="0"/>
              </w:rPr>
              <w:t>13.</w:t>
            </w:r>
          </w:p>
        </w:tc>
        <w:tc>
          <w:tcPr>
            <w:tcW w:w="305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Рейтинг регионов по уровню долговой </w:t>
            </w:r>
            <w:r w:rsidRPr="00535A4B">
              <w:br/>
              <w:t>нагрузки – итоги 2025 года,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2026 год</w:t>
            </w:r>
          </w:p>
        </w:tc>
        <w:tc>
          <w:tcPr>
            <w:tcW w:w="1843"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87</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(80)</w:t>
            </w:r>
          </w:p>
          <w:p w:rsidR="00E618FE" w:rsidRPr="00535A4B" w:rsidRDefault="00E618FE">
            <w:pPr>
              <w:jc w:val="center"/>
              <w:cnfStyle w:val="000000000000" w:firstRow="0" w:lastRow="0" w:firstColumn="0" w:lastColumn="0" w:oddVBand="0" w:evenVBand="0" w:oddHBand="0" w:evenHBand="0" w:firstRowFirstColumn="0" w:firstRowLastColumn="0" w:lastRowFirstColumn="0" w:lastRowLastColumn="0"/>
            </w:pPr>
          </w:p>
        </w:tc>
        <w:tc>
          <w:tcPr>
            <w:tcW w:w="4611"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 Ненецкий автономный округ</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2. г. Севастополь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 г. Москва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 Ленинградская область</w:t>
            </w:r>
          </w:p>
          <w:p w:rsidR="00E618FE" w:rsidRPr="00535A4B" w:rsidRDefault="00E618FE">
            <w:pPr>
              <w:cnfStyle w:val="000000000000" w:firstRow="0" w:lastRow="0" w:firstColumn="0" w:lastColumn="0" w:oddVBand="0" w:evenVBand="0" w:oddHBand="0" w:evenHBand="0" w:firstRowFirstColumn="0" w:firstRowLastColumn="0" w:lastRowFirstColumn="0" w:lastRowLastColumn="0"/>
            </w:pPr>
          </w:p>
        </w:tc>
        <w:tc>
          <w:tcPr>
            <w:tcW w:w="4324"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86. Нижегородская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87. Томская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88. Мурманская область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89. Архангельская область</w:t>
            </w:r>
          </w:p>
        </w:tc>
      </w:tr>
    </w:tbl>
    <w:p w:rsidR="00E618FE" w:rsidRPr="00535A4B" w:rsidRDefault="00800098">
      <w:pPr>
        <w:pStyle w:val="affffff8"/>
        <w:rPr>
          <w:rFonts w:ascii="Times New Roman" w:eastAsia="PT Astra Serif" w:hAnsi="Times New Roman" w:cs="Times New Roman"/>
          <w:color w:val="auto"/>
        </w:rPr>
      </w:pPr>
      <w:r w:rsidRPr="00535A4B">
        <w:rPr>
          <w:rFonts w:ascii="Times New Roman" w:hAnsi="Times New Roman" w:cs="Times New Roman"/>
          <w:color w:val="auto"/>
          <w:sz w:val="24"/>
        </w:rPr>
        <w:t>Источник: составлено на основании данных региональных рейтингов.</w:t>
      </w:r>
    </w:p>
    <w:p w:rsidR="00E618FE" w:rsidRPr="00535A4B" w:rsidRDefault="00E618FE">
      <w:pPr>
        <w:pStyle w:val="10"/>
        <w:rPr>
          <w:rFonts w:ascii="Times New Roman" w:eastAsia="PT Astra Serif" w:hAnsi="Times New Roman" w:cs="Times New Roman"/>
          <w:lang w:val="ru-RU"/>
        </w:rPr>
        <w:sectPr w:rsidR="00E618FE" w:rsidRPr="00535A4B">
          <w:pgSz w:w="16838" w:h="11906" w:orient="landscape"/>
          <w:pgMar w:top="1701" w:right="1134" w:bottom="851" w:left="1134" w:header="709" w:footer="709" w:gutter="0"/>
          <w:cols w:space="708"/>
          <w:docGrid w:linePitch="360"/>
        </w:sectPr>
      </w:pPr>
      <w:bookmarkStart w:id="46" w:name="_Hlk227860923"/>
    </w:p>
    <w:p w:rsidR="00E618FE" w:rsidRPr="00535A4B" w:rsidRDefault="00800098">
      <w:pPr>
        <w:pStyle w:val="10"/>
        <w:rPr>
          <w:rFonts w:ascii="Times New Roman" w:eastAsia="PT Astra Serif" w:hAnsi="Times New Roman" w:cs="Times New Roman"/>
          <w:lang w:val="ru-RU"/>
        </w:rPr>
      </w:pPr>
      <w:bookmarkStart w:id="47" w:name="_Toc235810135"/>
      <w:bookmarkStart w:id="48" w:name="_Hlk231182344"/>
      <w:bookmarkStart w:id="49" w:name="_Toc238554523"/>
      <w:r w:rsidRPr="00535A4B">
        <w:rPr>
          <w:rFonts w:ascii="Times New Roman" w:eastAsia="PT Astra Serif" w:hAnsi="Times New Roman" w:cs="Times New Roman"/>
          <w:lang w:val="ru-RU"/>
        </w:rPr>
        <w:lastRenderedPageBreak/>
        <w:t xml:space="preserve">5. Ключевые вызовы И РИСКИ социально-экономического развития Томской области </w:t>
      </w:r>
      <w:r w:rsidRPr="00535A4B">
        <w:rPr>
          <w:rFonts w:ascii="Times New Roman" w:eastAsia="PT Astra Serif" w:hAnsi="Times New Roman" w:cs="Times New Roman"/>
          <w:lang w:val="ru-RU"/>
        </w:rPr>
        <w:br/>
        <w:t>в долгосрочной перспективе</w:t>
      </w:r>
      <w:bookmarkEnd w:id="47"/>
      <w:bookmarkEnd w:id="48"/>
      <w:bookmarkEnd w:id="49"/>
    </w:p>
    <w:p w:rsidR="00E618FE" w:rsidRPr="00535A4B" w:rsidRDefault="00E618FE">
      <w:pPr>
        <w:pStyle w:val="a4"/>
        <w:rPr>
          <w:rFonts w:ascii="Times New Roman" w:eastAsia="PT Astra Serif" w:hAnsi="Times New Roman"/>
          <w:color w:val="auto"/>
          <w:lang w:bidi="en-US"/>
        </w:rPr>
      </w:pPr>
    </w:p>
    <w:p w:rsidR="00E618FE" w:rsidRPr="006B35B8" w:rsidRDefault="00800098">
      <w:pPr>
        <w:pStyle w:val="a4"/>
        <w:rPr>
          <w:rFonts w:ascii="Times New Roman" w:hAnsi="Times New Roman"/>
          <w:color w:val="auto"/>
          <w:spacing w:val="-2"/>
          <w:sz w:val="26"/>
          <w:szCs w:val="26"/>
        </w:rPr>
      </w:pPr>
      <w:r w:rsidRPr="006B35B8">
        <w:rPr>
          <w:rFonts w:ascii="Times New Roman" w:hAnsi="Times New Roman"/>
          <w:color w:val="auto"/>
          <w:sz w:val="26"/>
          <w:szCs w:val="26"/>
        </w:rPr>
        <w:t xml:space="preserve">В процессе определения стратегических целей и приоритетов социально-экономического развития Томской области необходимо учитывать состояние и тенденции изменений объективных внутренних и внешних условий, ограничений и рисков развития региона, которые </w:t>
      </w:r>
      <w:r w:rsidRPr="006B35B8">
        <w:rPr>
          <w:rFonts w:ascii="Times New Roman" w:hAnsi="Times New Roman"/>
          <w:color w:val="auto"/>
          <w:spacing w:val="-2"/>
          <w:sz w:val="26"/>
          <w:szCs w:val="26"/>
        </w:rPr>
        <w:t xml:space="preserve">требуют адекватной реакции в рамках Стратегии и в ходе ее реализации, </w:t>
      </w:r>
      <w:r w:rsidRPr="006B35B8">
        <w:rPr>
          <w:rFonts w:ascii="Times New Roman" w:hAnsi="Times New Roman"/>
          <w:color w:val="auto"/>
          <w:sz w:val="26"/>
          <w:szCs w:val="26"/>
        </w:rPr>
        <w:t>обусловливая ряд долгосрочных стратегических вызовов</w:t>
      </w:r>
      <w:r w:rsidRPr="006B35B8">
        <w:rPr>
          <w:rFonts w:ascii="Times New Roman" w:hAnsi="Times New Roman"/>
          <w:color w:val="auto"/>
          <w:spacing w:val="-2"/>
          <w:sz w:val="26"/>
          <w:szCs w:val="26"/>
        </w:rPr>
        <w:t xml:space="preserve">. </w:t>
      </w:r>
    </w:p>
    <w:p w:rsidR="00E618FE" w:rsidRPr="006B35B8" w:rsidRDefault="00E618FE">
      <w:pPr>
        <w:pStyle w:val="a4"/>
        <w:rPr>
          <w:rFonts w:ascii="Times New Roman" w:hAnsi="Times New Roman"/>
          <w:color w:val="auto"/>
          <w:spacing w:val="-2"/>
          <w:sz w:val="26"/>
          <w:szCs w:val="26"/>
        </w:rPr>
      </w:pPr>
    </w:p>
    <w:p w:rsidR="00E618FE" w:rsidRPr="00535A4B" w:rsidRDefault="00800098">
      <w:pPr>
        <w:pStyle w:val="21"/>
        <w:rPr>
          <w:rFonts w:ascii="Times New Roman" w:hAnsi="Times New Roman" w:cs="Times New Roman"/>
        </w:rPr>
      </w:pPr>
      <w:bookmarkStart w:id="50" w:name="_Toc235810136"/>
      <w:bookmarkStart w:id="51" w:name="_Toc238554524"/>
      <w:r w:rsidRPr="00535A4B">
        <w:rPr>
          <w:rFonts w:ascii="Times New Roman" w:hAnsi="Times New Roman" w:cs="Times New Roman"/>
        </w:rPr>
        <w:t>Внутренние вызовы</w:t>
      </w:r>
      <w:bookmarkEnd w:id="50"/>
      <w:bookmarkEnd w:id="51"/>
    </w:p>
    <w:p w:rsidR="00E618FE" w:rsidRPr="00535A4B" w:rsidRDefault="00E618FE">
      <w:pPr>
        <w:pStyle w:val="a4"/>
        <w:rPr>
          <w:rFonts w:ascii="Times New Roman" w:hAnsi="Times New Roman"/>
          <w:b/>
          <w:i/>
          <w:iCs/>
          <w:color w:val="auto"/>
          <w:spacing w:val="24"/>
        </w:rPr>
      </w:pPr>
    </w:p>
    <w:p w:rsidR="00E618FE" w:rsidRPr="00535A4B" w:rsidRDefault="00800098">
      <w:pPr>
        <w:pStyle w:val="41"/>
        <w:rPr>
          <w:rFonts w:ascii="Times New Roman" w:hAnsi="Times New Roman"/>
          <w:i/>
          <w:iCs/>
          <w:lang w:val="ru-RU"/>
        </w:rPr>
      </w:pPr>
      <w:r w:rsidRPr="00535A4B">
        <w:rPr>
          <w:rFonts w:ascii="Times New Roman" w:hAnsi="Times New Roman"/>
          <w:lang w:val="ru-RU"/>
        </w:rPr>
        <w:t xml:space="preserve">Вызов № 1: Депопуляция Томской области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Основные тренды: </w:t>
      </w:r>
    </w:p>
    <w:p w:rsidR="00E618FE" w:rsidRPr="006B35B8" w:rsidRDefault="00800098">
      <w:pPr>
        <w:pStyle w:val="a4"/>
        <w:rPr>
          <w:rFonts w:ascii="Times New Roman" w:eastAsia="Calibri"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Сокращение численности населения</w:t>
      </w:r>
      <w:r w:rsidRPr="006B35B8">
        <w:rPr>
          <w:rFonts w:ascii="Times New Roman" w:hAnsi="Times New Roman"/>
          <w:color w:val="auto"/>
          <w:sz w:val="26"/>
          <w:szCs w:val="26"/>
        </w:rPr>
        <w:t>: тенденция к сокращению численности населения характерна для Томской области в целом и д</w:t>
      </w:r>
      <w:r w:rsidRPr="006B35B8">
        <w:rPr>
          <w:rFonts w:ascii="Times New Roman" w:eastAsia="Calibri" w:hAnsi="Times New Roman"/>
          <w:color w:val="auto"/>
          <w:sz w:val="26"/>
          <w:szCs w:val="26"/>
        </w:rPr>
        <w:t xml:space="preserve">ля большинства муниципальных образований. Эта тенденция обусловлена </w:t>
      </w:r>
      <w:r w:rsidRPr="006B35B8">
        <w:rPr>
          <w:rFonts w:ascii="Times New Roman" w:hAnsi="Times New Roman"/>
          <w:color w:val="auto"/>
          <w:sz w:val="26"/>
          <w:szCs w:val="26"/>
        </w:rPr>
        <w:t xml:space="preserve">сочетанием низкой рождаемости и высокой смертности, на фоне </w:t>
      </w:r>
      <w:r w:rsidRPr="006B35B8">
        <w:rPr>
          <w:rFonts w:ascii="Times New Roman" w:eastAsia="Calibri" w:hAnsi="Times New Roman"/>
          <w:color w:val="auto"/>
          <w:sz w:val="26"/>
          <w:szCs w:val="26"/>
        </w:rPr>
        <w:t>снижения экономического потенциала территорий, последствий пандемии COVID-19 и динамики миграционных процессов.</w:t>
      </w:r>
    </w:p>
    <w:p w:rsidR="00E618FE" w:rsidRPr="006B35B8" w:rsidRDefault="00800098">
      <w:pPr>
        <w:pStyle w:val="a4"/>
        <w:rPr>
          <w:rFonts w:ascii="Times New Roman" w:eastAsia="Calibri"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Сокращение численности мигрантов</w:t>
      </w:r>
      <w:r w:rsidRPr="006B35B8">
        <w:rPr>
          <w:rFonts w:ascii="Times New Roman" w:hAnsi="Times New Roman"/>
          <w:color w:val="auto"/>
          <w:sz w:val="26"/>
          <w:szCs w:val="26"/>
        </w:rPr>
        <w:t xml:space="preserve">: С 2022 года в Томской области наблюдается устойчивая тенденция превышения выбывших над прибывшими </w:t>
      </w:r>
      <w:r w:rsidR="006B35B8">
        <w:rPr>
          <w:rFonts w:ascii="Times New Roman" w:hAnsi="Times New Roman"/>
          <w:color w:val="auto"/>
          <w:sz w:val="26"/>
          <w:szCs w:val="26"/>
        </w:rPr>
        <w:br/>
      </w:r>
      <w:r w:rsidRPr="006B35B8">
        <w:rPr>
          <w:rFonts w:ascii="Times New Roman" w:hAnsi="Times New Roman"/>
          <w:color w:val="auto"/>
          <w:sz w:val="26"/>
          <w:szCs w:val="26"/>
        </w:rPr>
        <w:t>как в рамках международной, так и межрегиональной миграции. Отток рабочей силы в другие регионы и ограничения для внешней миграции создают существенный дефицит рабочей силы в г. Томске.</w:t>
      </w:r>
    </w:p>
    <w:p w:rsidR="00E618FE" w:rsidRPr="00535A4B" w:rsidRDefault="00800098">
      <w:pPr>
        <w:pStyle w:val="a4"/>
        <w:rPr>
          <w:rFonts w:ascii="Times New Roman" w:eastAsia="Calibri" w:hAnsi="Times New Roman"/>
          <w:color w:val="auto"/>
        </w:rPr>
      </w:pPr>
      <w:r w:rsidRPr="006B35B8">
        <w:rPr>
          <w:rFonts w:ascii="Times New Roman" w:hAnsi="Times New Roman"/>
          <w:color w:val="auto"/>
          <w:sz w:val="26"/>
          <w:szCs w:val="26"/>
        </w:rPr>
        <w:t xml:space="preserve">— </w:t>
      </w:r>
      <w:r w:rsidRPr="006B35B8">
        <w:rPr>
          <w:rFonts w:ascii="Times New Roman" w:hAnsi="Times New Roman"/>
          <w:b/>
          <w:bCs/>
          <w:color w:val="auto"/>
          <w:sz w:val="26"/>
          <w:szCs w:val="26"/>
        </w:rPr>
        <w:t>Усиление</w:t>
      </w:r>
      <w:r w:rsidRPr="006B35B8">
        <w:rPr>
          <w:rFonts w:ascii="Times New Roman" w:hAnsi="Times New Roman"/>
          <w:color w:val="auto"/>
          <w:sz w:val="26"/>
          <w:szCs w:val="26"/>
        </w:rPr>
        <w:t xml:space="preserve"> т</w:t>
      </w:r>
      <w:r w:rsidRPr="006B35B8">
        <w:rPr>
          <w:rFonts w:ascii="Times New Roman" w:hAnsi="Times New Roman"/>
          <w:b/>
          <w:bCs/>
          <w:color w:val="auto"/>
          <w:sz w:val="26"/>
          <w:szCs w:val="26"/>
        </w:rPr>
        <w:t>ерриториальных различий</w:t>
      </w:r>
      <w:r w:rsidRPr="006B35B8">
        <w:rPr>
          <w:rFonts w:ascii="Times New Roman" w:hAnsi="Times New Roman"/>
          <w:color w:val="auto"/>
          <w:sz w:val="26"/>
          <w:szCs w:val="26"/>
        </w:rPr>
        <w:t xml:space="preserve">: </w:t>
      </w:r>
      <w:r w:rsidRPr="006B35B8">
        <w:rPr>
          <w:rFonts w:ascii="Times New Roman" w:eastAsia="Calibri" w:hAnsi="Times New Roman"/>
          <w:color w:val="auto"/>
          <w:sz w:val="26"/>
          <w:szCs w:val="26"/>
        </w:rPr>
        <w:t>устойчивый тренд на увеличение численности населения характерен для муниципальных образований, которые располагаются вблизи Томской агломерации и характеризуются более развитым промышленным потенциалом, перспективами развития АПК и смежных отраслей; муниципальные образования, которые относятся к северным и (или) труднодоступным районам, характеризуются устойчивым трендом на депопуляцию. Таким образом, усиливается разрыв между южными и северными территориями Томской области, что создает дополнительные вызовы, связанные транспортной доступностью, бюджетной обеспеченностью, развитием социальной инфраструктуры.</w:t>
      </w:r>
    </w:p>
    <w:p w:rsidR="00E618FE" w:rsidRPr="00535A4B" w:rsidRDefault="00800098">
      <w:pPr>
        <w:spacing w:after="160" w:line="259" w:lineRule="auto"/>
        <w:rPr>
          <w:b/>
          <w:spacing w:val="24"/>
          <w:sz w:val="28"/>
          <w:szCs w:val="28"/>
          <w:lang w:eastAsia="en-US"/>
        </w:rPr>
      </w:pPr>
      <w:r w:rsidRPr="00535A4B">
        <w:br w:type="page" w:clear="all"/>
      </w:r>
    </w:p>
    <w:p w:rsidR="00E618FE" w:rsidRPr="00535A4B" w:rsidRDefault="00800098">
      <w:pPr>
        <w:pStyle w:val="41"/>
        <w:rPr>
          <w:rFonts w:ascii="Times New Roman" w:hAnsi="Times New Roman"/>
          <w:b w:val="0"/>
          <w:i/>
          <w:iCs/>
          <w:lang w:val="ru-RU"/>
        </w:rPr>
      </w:pPr>
      <w:r w:rsidRPr="00535A4B">
        <w:rPr>
          <w:rFonts w:ascii="Times New Roman" w:hAnsi="Times New Roman"/>
          <w:lang w:val="ru-RU"/>
        </w:rPr>
        <w:lastRenderedPageBreak/>
        <w:t xml:space="preserve">Вызов № 2: Зависимость экономики Томской области </w:t>
      </w:r>
      <w:r w:rsidR="006B35B8">
        <w:rPr>
          <w:rFonts w:ascii="Times New Roman" w:hAnsi="Times New Roman"/>
          <w:lang w:val="ru-RU"/>
        </w:rPr>
        <w:br/>
      </w:r>
      <w:r w:rsidRPr="00535A4B">
        <w:rPr>
          <w:rFonts w:ascii="Times New Roman" w:hAnsi="Times New Roman"/>
          <w:lang w:val="ru-RU"/>
        </w:rPr>
        <w:t>от добычи полезных ископаемых</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Основные тренды:</w:t>
      </w:r>
    </w:p>
    <w:p w:rsidR="00E618FE" w:rsidRPr="006B35B8" w:rsidRDefault="00800098">
      <w:pPr>
        <w:pStyle w:val="a4"/>
        <w:rPr>
          <w:rFonts w:ascii="Times New Roman" w:hAnsi="Times New Roman"/>
          <w:color w:val="auto"/>
          <w:sz w:val="26"/>
          <w:szCs w:val="26"/>
        </w:rPr>
      </w:pPr>
      <w:r w:rsidRPr="006B35B8">
        <w:rPr>
          <w:rFonts w:ascii="Times New Roman" w:hAnsi="Times New Roman"/>
          <w:b/>
          <w:bCs/>
          <w:color w:val="auto"/>
          <w:sz w:val="26"/>
          <w:szCs w:val="26"/>
        </w:rPr>
        <w:t>— </w:t>
      </w:r>
      <w:r w:rsidRPr="006B35B8">
        <w:rPr>
          <w:rFonts w:ascii="Times New Roman" w:hAnsi="Times New Roman"/>
          <w:b/>
          <w:color w:val="auto"/>
          <w:sz w:val="26"/>
          <w:szCs w:val="26"/>
        </w:rPr>
        <w:t>Добыча полезных ископаемых (ДПИ) остается основой экономики Томской области</w:t>
      </w:r>
      <w:r w:rsidRPr="006B35B8">
        <w:rPr>
          <w:rFonts w:ascii="Times New Roman" w:hAnsi="Times New Roman"/>
          <w:bCs/>
          <w:color w:val="auto"/>
          <w:sz w:val="26"/>
          <w:szCs w:val="26"/>
        </w:rPr>
        <w:t xml:space="preserve">: из всех видов экономической деятельности добыча полезных ископаемых вносит самый большой вклад в формирование </w:t>
      </w:r>
      <w:r w:rsidRPr="006B35B8">
        <w:rPr>
          <w:rFonts w:ascii="Times New Roman" w:hAnsi="Times New Roman"/>
          <w:color w:val="auto"/>
          <w:sz w:val="26"/>
          <w:szCs w:val="26"/>
        </w:rPr>
        <w:t xml:space="preserve">валовой добавленной стоимости в регионе. В добычу полезных ископаемых в последние годы направляется почти четверть всех инвестиций, вкладываемых в экономику Томской области. </w:t>
      </w:r>
    </w:p>
    <w:p w:rsidR="00E618FE" w:rsidRPr="006B35B8" w:rsidRDefault="00800098">
      <w:pPr>
        <w:pStyle w:val="a4"/>
        <w:rPr>
          <w:rFonts w:ascii="Times New Roman" w:hAnsi="Times New Roman"/>
          <w:color w:val="auto"/>
          <w:sz w:val="26"/>
          <w:szCs w:val="26"/>
        </w:rPr>
      </w:pPr>
      <w:bookmarkStart w:id="52" w:name="_Hlk216434382"/>
      <w:r w:rsidRPr="006B35B8">
        <w:rPr>
          <w:rFonts w:ascii="Times New Roman" w:hAnsi="Times New Roman"/>
          <w:b/>
          <w:bCs/>
          <w:color w:val="auto"/>
          <w:sz w:val="26"/>
          <w:szCs w:val="26"/>
        </w:rPr>
        <w:t>— </w:t>
      </w:r>
      <w:bookmarkEnd w:id="52"/>
      <w:r w:rsidRPr="006B35B8">
        <w:rPr>
          <w:rFonts w:ascii="Times New Roman" w:hAnsi="Times New Roman"/>
          <w:b/>
          <w:bCs/>
          <w:color w:val="auto"/>
          <w:sz w:val="26"/>
          <w:szCs w:val="26"/>
        </w:rPr>
        <w:t>Спад объемов добычи полезных ископаемых</w:t>
      </w:r>
      <w:r w:rsidRPr="006B35B8">
        <w:rPr>
          <w:rFonts w:ascii="Times New Roman" w:hAnsi="Times New Roman"/>
          <w:color w:val="auto"/>
          <w:sz w:val="26"/>
          <w:szCs w:val="26"/>
        </w:rPr>
        <w:t xml:space="preserve">: на протяжении всех последних лет в Томской области наблюдается сокращение объемов добычи нефти, природного газа и газового конденсата. Одной из главных особенностей ДПИ </w:t>
      </w:r>
      <w:r w:rsidR="006B35B8">
        <w:rPr>
          <w:rFonts w:ascii="Times New Roman" w:hAnsi="Times New Roman"/>
          <w:color w:val="auto"/>
          <w:sz w:val="26"/>
          <w:szCs w:val="26"/>
        </w:rPr>
        <w:br/>
      </w:r>
      <w:r w:rsidRPr="006B35B8">
        <w:rPr>
          <w:rFonts w:ascii="Times New Roman" w:hAnsi="Times New Roman"/>
          <w:color w:val="auto"/>
          <w:sz w:val="26"/>
          <w:szCs w:val="26"/>
        </w:rPr>
        <w:t xml:space="preserve">в Томской области является ее монопрофильность по видам добываемых ресурсов (доля добычи нефти и газа составляет более 90%). В условиях крайне низкой диверсификации добывающего комплекса показатели работы отрасли подвержены существенному негативному влиянию высокой степени выработки месторождений сырья, сокращения добычи нефти в рамках сделки ОПЕК+ и санкционного режима, введенного против России рядом стран мира и международных организаций. </w:t>
      </w:r>
    </w:p>
    <w:p w:rsidR="00E618FE" w:rsidRPr="00535A4B" w:rsidRDefault="00800098">
      <w:pPr>
        <w:pStyle w:val="41"/>
        <w:rPr>
          <w:rFonts w:ascii="Times New Roman" w:hAnsi="Times New Roman"/>
          <w:b w:val="0"/>
          <w:i/>
          <w:iCs/>
          <w:lang w:val="ru-RU"/>
        </w:rPr>
      </w:pPr>
      <w:r w:rsidRPr="00535A4B">
        <w:rPr>
          <w:rFonts w:ascii="Times New Roman" w:hAnsi="Times New Roman"/>
          <w:lang w:val="ru-RU"/>
        </w:rPr>
        <w:t xml:space="preserve">Вызов № 3: Бюджетные ограничения Томской области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Основные тренды:</w:t>
      </w:r>
    </w:p>
    <w:p w:rsidR="00E618FE" w:rsidRPr="006B35B8" w:rsidRDefault="006B35B8">
      <w:pPr>
        <w:pStyle w:val="a4"/>
        <w:rPr>
          <w:rFonts w:ascii="Times New Roman" w:hAnsi="Times New Roman"/>
          <w:color w:val="auto"/>
          <w:sz w:val="26"/>
          <w:szCs w:val="26"/>
          <w:shd w:val="clear" w:color="auto" w:fill="FEFEFE"/>
        </w:rPr>
      </w:pPr>
      <w:r>
        <w:rPr>
          <w:rFonts w:ascii="Times New Roman" w:hAnsi="Times New Roman"/>
          <w:b/>
          <w:bCs/>
          <w:color w:val="auto"/>
          <w:sz w:val="26"/>
          <w:szCs w:val="26"/>
        </w:rPr>
        <w:t>— </w:t>
      </w:r>
      <w:r w:rsidR="00800098" w:rsidRPr="006B35B8">
        <w:rPr>
          <w:rFonts w:ascii="Times New Roman" w:hAnsi="Times New Roman"/>
          <w:b/>
          <w:bCs/>
          <w:color w:val="auto"/>
          <w:sz w:val="26"/>
          <w:szCs w:val="26"/>
        </w:rPr>
        <w:t>Томская область как р</w:t>
      </w:r>
      <w:r w:rsidR="00800098" w:rsidRPr="006B35B8">
        <w:rPr>
          <w:rFonts w:ascii="Times New Roman" w:hAnsi="Times New Roman"/>
          <w:b/>
          <w:bCs/>
          <w:color w:val="auto"/>
          <w:sz w:val="26"/>
          <w:szCs w:val="26"/>
          <w:shd w:val="clear" w:color="auto" w:fill="FEFEFE"/>
        </w:rPr>
        <w:t xml:space="preserve">егион с высокой долей добычи топливно-энергетических полезных ископаемых в структуре экономики относится </w:t>
      </w:r>
      <w:r>
        <w:rPr>
          <w:rFonts w:ascii="Times New Roman" w:hAnsi="Times New Roman"/>
          <w:b/>
          <w:bCs/>
          <w:color w:val="auto"/>
          <w:sz w:val="26"/>
          <w:szCs w:val="26"/>
          <w:shd w:val="clear" w:color="auto" w:fill="FEFEFE"/>
        </w:rPr>
        <w:br/>
      </w:r>
      <w:r w:rsidR="00800098" w:rsidRPr="006B35B8">
        <w:rPr>
          <w:rFonts w:ascii="Times New Roman" w:hAnsi="Times New Roman"/>
          <w:b/>
          <w:bCs/>
          <w:color w:val="auto"/>
          <w:sz w:val="26"/>
          <w:szCs w:val="26"/>
          <w:shd w:val="clear" w:color="auto" w:fill="FEFEFE"/>
        </w:rPr>
        <w:t xml:space="preserve">к субъектам с растущим уровнем налоговой нагрузки: </w:t>
      </w:r>
      <w:r w:rsidR="00800098" w:rsidRPr="006B35B8">
        <w:rPr>
          <w:rFonts w:ascii="Times New Roman" w:hAnsi="Times New Roman"/>
          <w:color w:val="auto"/>
          <w:sz w:val="26"/>
          <w:szCs w:val="26"/>
          <w:shd w:val="clear" w:color="auto" w:fill="FEFEFE"/>
        </w:rPr>
        <w:t xml:space="preserve">Показатель налоговой нагрузки по администрируемым налогам в процентах к валовому региональному продукту (ВРП) в последние годы в Томской области был почти вдвое выше, </w:t>
      </w:r>
      <w:r>
        <w:rPr>
          <w:rFonts w:ascii="Times New Roman" w:hAnsi="Times New Roman"/>
          <w:color w:val="auto"/>
          <w:sz w:val="26"/>
          <w:szCs w:val="26"/>
          <w:shd w:val="clear" w:color="auto" w:fill="FEFEFE"/>
        </w:rPr>
        <w:br/>
      </w:r>
      <w:r w:rsidR="00800098" w:rsidRPr="006B35B8">
        <w:rPr>
          <w:rFonts w:ascii="Times New Roman" w:hAnsi="Times New Roman"/>
          <w:color w:val="auto"/>
          <w:sz w:val="26"/>
          <w:szCs w:val="26"/>
          <w:shd w:val="clear" w:color="auto" w:fill="FEFEFE"/>
        </w:rPr>
        <w:t>чем в среднем по Сибирскому федеральному округу и по России, существенно увеличившись с 2020 года.</w:t>
      </w:r>
    </w:p>
    <w:p w:rsidR="00E618FE" w:rsidRPr="006B35B8" w:rsidRDefault="00800098">
      <w:pPr>
        <w:pStyle w:val="a4"/>
        <w:rPr>
          <w:rFonts w:ascii="Times New Roman" w:hAnsi="Times New Roman"/>
          <w:color w:val="auto"/>
          <w:sz w:val="26"/>
          <w:szCs w:val="26"/>
          <w:shd w:val="clear" w:color="auto" w:fill="FEFEFE"/>
        </w:rPr>
      </w:pPr>
      <w:r w:rsidRPr="006B35B8">
        <w:rPr>
          <w:rFonts w:ascii="Times New Roman" w:hAnsi="Times New Roman"/>
          <w:b/>
          <w:bCs/>
          <w:color w:val="auto"/>
          <w:sz w:val="26"/>
          <w:szCs w:val="26"/>
        </w:rPr>
        <w:t xml:space="preserve">— Преобладающая часть собираемых в области налогов направляется </w:t>
      </w:r>
      <w:r w:rsidR="006B35B8">
        <w:rPr>
          <w:rFonts w:ascii="Times New Roman" w:hAnsi="Times New Roman"/>
          <w:b/>
          <w:bCs/>
          <w:color w:val="auto"/>
          <w:sz w:val="26"/>
          <w:szCs w:val="26"/>
        </w:rPr>
        <w:br/>
      </w:r>
      <w:r w:rsidRPr="006B35B8">
        <w:rPr>
          <w:rFonts w:ascii="Times New Roman" w:hAnsi="Times New Roman"/>
          <w:b/>
          <w:bCs/>
          <w:color w:val="auto"/>
          <w:sz w:val="26"/>
          <w:szCs w:val="26"/>
        </w:rPr>
        <w:t>в федеральный бюджет:</w:t>
      </w:r>
      <w:r w:rsidRPr="006B35B8">
        <w:rPr>
          <w:rFonts w:ascii="Times New Roman" w:hAnsi="Times New Roman"/>
          <w:color w:val="auto"/>
          <w:sz w:val="26"/>
          <w:szCs w:val="26"/>
        </w:rPr>
        <w:t xml:space="preserve"> </w:t>
      </w:r>
      <w:r w:rsidRPr="006B35B8">
        <w:rPr>
          <w:rFonts w:ascii="Times New Roman" w:hAnsi="Times New Roman"/>
          <w:color w:val="auto"/>
          <w:sz w:val="26"/>
          <w:szCs w:val="26"/>
          <w:shd w:val="clear" w:color="auto" w:fill="FEFEFE"/>
        </w:rPr>
        <w:t xml:space="preserve">из-за значительной доли НДПИ и НДС в структуре налогов, собираемых на территории Томской области, большая часть поступлений направляется в федеральный бюджет, а меньшая, соответственно, </w:t>
      </w:r>
      <w:r w:rsidR="006B35B8">
        <w:rPr>
          <w:rFonts w:ascii="Times New Roman" w:hAnsi="Times New Roman"/>
          <w:color w:val="auto"/>
          <w:sz w:val="26"/>
          <w:szCs w:val="26"/>
          <w:shd w:val="clear" w:color="auto" w:fill="FEFEFE"/>
        </w:rPr>
        <w:br/>
      </w:r>
      <w:r w:rsidRPr="006B35B8">
        <w:rPr>
          <w:rFonts w:ascii="Times New Roman" w:hAnsi="Times New Roman"/>
          <w:color w:val="auto"/>
          <w:sz w:val="26"/>
          <w:szCs w:val="26"/>
          <w:shd w:val="clear" w:color="auto" w:fill="FEFEFE"/>
        </w:rPr>
        <w:t xml:space="preserve">в консолидированный бюджет субъекта. Собственные доходы региона растут медленнее, чем федеральные, что обусловливает растущую зависимость региона </w:t>
      </w:r>
      <w:r w:rsidR="006B35B8">
        <w:rPr>
          <w:rFonts w:ascii="Times New Roman" w:hAnsi="Times New Roman"/>
          <w:color w:val="auto"/>
          <w:sz w:val="26"/>
          <w:szCs w:val="26"/>
          <w:shd w:val="clear" w:color="auto" w:fill="FEFEFE"/>
        </w:rPr>
        <w:br/>
      </w:r>
      <w:r w:rsidRPr="006B35B8">
        <w:rPr>
          <w:rFonts w:ascii="Times New Roman" w:hAnsi="Times New Roman"/>
          <w:color w:val="auto"/>
          <w:sz w:val="26"/>
          <w:szCs w:val="26"/>
          <w:shd w:val="clear" w:color="auto" w:fill="FEFEFE"/>
        </w:rPr>
        <w:t>от эксплуатации сырьевой базы и политики федерального центра.</w:t>
      </w:r>
    </w:p>
    <w:p w:rsidR="00E618FE" w:rsidRPr="00535A4B" w:rsidRDefault="00800098">
      <w:pPr>
        <w:pStyle w:val="a4"/>
        <w:rPr>
          <w:rFonts w:ascii="Times New Roman" w:hAnsi="Times New Roman"/>
          <w:b/>
          <w:color w:val="auto"/>
          <w:spacing w:val="24"/>
          <w:lang w:eastAsia="en-US"/>
        </w:rPr>
      </w:pPr>
      <w:r w:rsidRPr="006B35B8">
        <w:rPr>
          <w:rFonts w:ascii="Times New Roman" w:hAnsi="Times New Roman"/>
          <w:b/>
          <w:bCs/>
          <w:color w:val="auto"/>
          <w:sz w:val="26"/>
          <w:szCs w:val="26"/>
        </w:rPr>
        <w:t xml:space="preserve">— </w:t>
      </w:r>
      <w:r w:rsidRPr="006B35B8">
        <w:rPr>
          <w:rFonts w:ascii="Times New Roman" w:hAnsi="Times New Roman"/>
          <w:b/>
          <w:bCs/>
          <w:color w:val="auto"/>
          <w:sz w:val="26"/>
          <w:szCs w:val="26"/>
          <w:shd w:val="clear" w:color="auto" w:fill="FEFEFE"/>
        </w:rPr>
        <w:t>Внутри области значительную долю налоговых поступлений обеспечивают город Томск и еще несколько муниципальных образований</w:t>
      </w:r>
      <w:r w:rsidRPr="006B35B8">
        <w:rPr>
          <w:rFonts w:ascii="Times New Roman" w:hAnsi="Times New Roman"/>
          <w:color w:val="auto"/>
          <w:sz w:val="26"/>
          <w:szCs w:val="26"/>
          <w:shd w:val="clear" w:color="auto" w:fill="FEFEFE"/>
        </w:rPr>
        <w:t>: эта модель крайне нестабильна и не может служить надежной основой для бюджетного планирования.</w:t>
      </w:r>
      <w:r w:rsidRPr="00535A4B">
        <w:rPr>
          <w:rFonts w:ascii="Times New Roman" w:hAnsi="Times New Roman"/>
          <w:color w:val="auto"/>
        </w:rPr>
        <w:br w:type="page" w:clear="all"/>
      </w:r>
    </w:p>
    <w:p w:rsidR="00E618FE" w:rsidRPr="00535A4B" w:rsidRDefault="00800098">
      <w:pPr>
        <w:pStyle w:val="41"/>
        <w:rPr>
          <w:rFonts w:ascii="Times New Roman" w:hAnsi="Times New Roman"/>
          <w:b w:val="0"/>
          <w:i/>
          <w:iCs/>
          <w:lang w:val="ru-RU"/>
        </w:rPr>
      </w:pPr>
      <w:r w:rsidRPr="00535A4B">
        <w:rPr>
          <w:rFonts w:ascii="Times New Roman" w:hAnsi="Times New Roman"/>
          <w:lang w:val="ru-RU"/>
        </w:rPr>
        <w:lastRenderedPageBreak/>
        <w:t xml:space="preserve">Вызов № 4: Растущий износ основных фондов в Томской области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Основные тренды:</w:t>
      </w:r>
    </w:p>
    <w:p w:rsidR="00E618FE" w:rsidRPr="006B35B8" w:rsidRDefault="00800098">
      <w:pPr>
        <w:pStyle w:val="a4"/>
        <w:rPr>
          <w:rFonts w:ascii="Times New Roman" w:hAnsi="Times New Roman"/>
          <w:color w:val="auto"/>
          <w:sz w:val="26"/>
          <w:szCs w:val="26"/>
        </w:rPr>
      </w:pPr>
      <w:r w:rsidRPr="006B35B8">
        <w:rPr>
          <w:rFonts w:ascii="Times New Roman" w:hAnsi="Times New Roman"/>
          <w:b/>
          <w:bCs/>
          <w:color w:val="auto"/>
          <w:sz w:val="26"/>
          <w:szCs w:val="26"/>
        </w:rPr>
        <w:t xml:space="preserve">— Для Томской области характерен самый высокий и при этом растущий показатель износа основных фондов в </w:t>
      </w:r>
      <w:r w:rsidRPr="006B35B8">
        <w:rPr>
          <w:rFonts w:ascii="Times New Roman" w:hAnsi="Times New Roman"/>
          <w:b/>
          <w:bCs/>
          <w:color w:val="auto"/>
          <w:sz w:val="26"/>
          <w:szCs w:val="26"/>
          <w:shd w:val="clear" w:color="auto" w:fill="FEFEFE"/>
        </w:rPr>
        <w:t>Сибирском федеральном округе</w:t>
      </w:r>
      <w:r w:rsidRPr="006B35B8">
        <w:rPr>
          <w:rFonts w:ascii="Times New Roman" w:hAnsi="Times New Roman"/>
          <w:color w:val="auto"/>
          <w:sz w:val="26"/>
          <w:szCs w:val="26"/>
        </w:rPr>
        <w:t xml:space="preserve">: 51,4% на конец 2024 года (48% в конце 2023 года). В среднем по </w:t>
      </w:r>
      <w:r w:rsidRPr="006B35B8">
        <w:rPr>
          <w:rFonts w:ascii="Times New Roman" w:hAnsi="Times New Roman"/>
          <w:color w:val="auto"/>
          <w:sz w:val="26"/>
          <w:szCs w:val="26"/>
          <w:shd w:val="clear" w:color="auto" w:fill="FEFEFE"/>
        </w:rPr>
        <w:t>Сибирскому федеральному округу</w:t>
      </w:r>
      <w:r w:rsidRPr="006B35B8">
        <w:rPr>
          <w:rFonts w:ascii="Times New Roman" w:hAnsi="Times New Roman"/>
          <w:color w:val="auto"/>
          <w:sz w:val="26"/>
          <w:szCs w:val="26"/>
        </w:rPr>
        <w:t xml:space="preserve"> износ основных фондов составил в 2024</w:t>
      </w:r>
      <w:r w:rsidR="006B35B8">
        <w:rPr>
          <w:rFonts w:ascii="Times New Roman" w:hAnsi="Times New Roman"/>
          <w:color w:val="auto"/>
          <w:sz w:val="26"/>
          <w:szCs w:val="26"/>
        </w:rPr>
        <w:t xml:space="preserve"> году 43,2% (в конце 2023 года –</w:t>
      </w:r>
      <w:r w:rsidRPr="006B35B8">
        <w:rPr>
          <w:rFonts w:ascii="Times New Roman" w:hAnsi="Times New Roman"/>
          <w:color w:val="auto"/>
          <w:sz w:val="26"/>
          <w:szCs w:val="26"/>
        </w:rPr>
        <w:t xml:space="preserve"> 43,1%), в среднем по России </w:t>
      </w:r>
      <w:r w:rsidR="006B35B8">
        <w:rPr>
          <w:rFonts w:ascii="Times New Roman" w:hAnsi="Times New Roman"/>
          <w:color w:val="auto"/>
          <w:sz w:val="26"/>
          <w:szCs w:val="26"/>
        </w:rPr>
        <w:t>–</w:t>
      </w:r>
      <w:r w:rsidRPr="006B35B8">
        <w:rPr>
          <w:rFonts w:ascii="Times New Roman" w:hAnsi="Times New Roman"/>
          <w:color w:val="auto"/>
          <w:sz w:val="26"/>
          <w:szCs w:val="26"/>
        </w:rPr>
        <w:t xml:space="preserve"> 42,3% (41,2%) соответственно. </w:t>
      </w:r>
    </w:p>
    <w:p w:rsidR="00E618FE" w:rsidRPr="006B35B8" w:rsidRDefault="00800098">
      <w:pPr>
        <w:pStyle w:val="a4"/>
        <w:rPr>
          <w:rFonts w:ascii="Times New Roman" w:hAnsi="Times New Roman"/>
          <w:color w:val="auto"/>
          <w:sz w:val="26"/>
          <w:szCs w:val="26"/>
        </w:rPr>
      </w:pPr>
      <w:r w:rsidRPr="006B35B8">
        <w:rPr>
          <w:rFonts w:ascii="Times New Roman" w:hAnsi="Times New Roman"/>
          <w:b/>
          <w:bCs/>
          <w:color w:val="auto"/>
          <w:sz w:val="26"/>
          <w:szCs w:val="26"/>
        </w:rPr>
        <w:t xml:space="preserve">— Наиболее высокий уровень износа основных фондов характерен </w:t>
      </w:r>
      <w:r w:rsidR="006B35B8">
        <w:rPr>
          <w:rFonts w:ascii="Times New Roman" w:hAnsi="Times New Roman"/>
          <w:b/>
          <w:bCs/>
          <w:color w:val="auto"/>
          <w:sz w:val="26"/>
          <w:szCs w:val="26"/>
        </w:rPr>
        <w:br/>
      </w:r>
      <w:r w:rsidRPr="006B35B8">
        <w:rPr>
          <w:rFonts w:ascii="Times New Roman" w:hAnsi="Times New Roman"/>
          <w:b/>
          <w:bCs/>
          <w:color w:val="auto"/>
          <w:sz w:val="26"/>
          <w:szCs w:val="26"/>
        </w:rPr>
        <w:t>для ключевых для развития области сферах</w:t>
      </w:r>
      <w:r w:rsidRPr="006B35B8">
        <w:rPr>
          <w:rFonts w:ascii="Times New Roman" w:hAnsi="Times New Roman"/>
          <w:color w:val="auto"/>
          <w:sz w:val="26"/>
          <w:szCs w:val="26"/>
        </w:rPr>
        <w:t xml:space="preserve">: на конец 2024 года в добыче полезных ископаемых показатель составил 78,5%, </w:t>
      </w:r>
      <w:r w:rsidR="006B35B8">
        <w:rPr>
          <w:rFonts w:ascii="Times New Roman" w:hAnsi="Times New Roman"/>
          <w:color w:val="auto"/>
          <w:sz w:val="26"/>
          <w:szCs w:val="26"/>
        </w:rPr>
        <w:t xml:space="preserve">в транспортировке </w:t>
      </w:r>
      <w:r w:rsidR="006B35B8">
        <w:rPr>
          <w:rFonts w:ascii="Times New Roman" w:hAnsi="Times New Roman"/>
          <w:color w:val="auto"/>
          <w:sz w:val="26"/>
          <w:szCs w:val="26"/>
        </w:rPr>
        <w:br/>
        <w:t>и хранении –</w:t>
      </w:r>
      <w:r w:rsidRPr="006B35B8">
        <w:rPr>
          <w:rFonts w:ascii="Times New Roman" w:hAnsi="Times New Roman"/>
          <w:color w:val="auto"/>
          <w:sz w:val="26"/>
          <w:szCs w:val="26"/>
        </w:rPr>
        <w:t xml:space="preserve"> 75,6%, при этом в обрабатывающих производствах – 63,7%.</w:t>
      </w:r>
    </w:p>
    <w:p w:rsidR="00E618FE" w:rsidRPr="00535A4B" w:rsidRDefault="00E618FE">
      <w:pPr>
        <w:pStyle w:val="a4"/>
        <w:rPr>
          <w:rFonts w:ascii="Times New Roman" w:eastAsia="PT Astra Serif" w:hAnsi="Times New Roman"/>
          <w:color w:val="auto"/>
          <w:lang w:bidi="en-US"/>
        </w:rPr>
      </w:pPr>
    </w:p>
    <w:p w:rsidR="00E618FE" w:rsidRPr="00535A4B" w:rsidRDefault="00800098">
      <w:pPr>
        <w:pStyle w:val="21"/>
        <w:rPr>
          <w:rFonts w:ascii="Times New Roman" w:hAnsi="Times New Roman" w:cs="Times New Roman"/>
        </w:rPr>
      </w:pPr>
      <w:bookmarkStart w:id="53" w:name="_Toc235810137"/>
      <w:bookmarkStart w:id="54" w:name="_Toc238554525"/>
      <w:r w:rsidRPr="00535A4B">
        <w:rPr>
          <w:rFonts w:ascii="Times New Roman" w:hAnsi="Times New Roman" w:cs="Times New Roman"/>
        </w:rPr>
        <w:t>Внешние вызовы</w:t>
      </w:r>
      <w:bookmarkEnd w:id="53"/>
      <w:bookmarkEnd w:id="54"/>
    </w:p>
    <w:p w:rsidR="00E618FE" w:rsidRPr="00535A4B" w:rsidRDefault="00E618FE">
      <w:pPr>
        <w:pStyle w:val="a4"/>
        <w:rPr>
          <w:rFonts w:ascii="Times New Roman" w:eastAsia="PT Astra Serif" w:hAnsi="Times New Roman"/>
          <w:color w:val="auto"/>
          <w:lang w:eastAsia="en-US" w:bidi="en-US"/>
        </w:rPr>
      </w:pPr>
    </w:p>
    <w:p w:rsidR="00E618FE" w:rsidRPr="00535A4B" w:rsidRDefault="00800098">
      <w:pPr>
        <w:pStyle w:val="41"/>
        <w:rPr>
          <w:rFonts w:ascii="Times New Roman" w:hAnsi="Times New Roman"/>
          <w:lang w:val="ru-RU"/>
        </w:rPr>
      </w:pPr>
      <w:bookmarkStart w:id="55" w:name="_Toc228126825"/>
      <w:r w:rsidRPr="00535A4B">
        <w:rPr>
          <w:rFonts w:ascii="Times New Roman" w:hAnsi="Times New Roman"/>
          <w:lang w:val="ru-RU"/>
        </w:rPr>
        <w:t xml:space="preserve">Вызов № 1: Обострение конкуренции стран и регионов </w:t>
      </w:r>
      <w:r w:rsidRPr="00535A4B">
        <w:rPr>
          <w:rFonts w:ascii="Times New Roman" w:hAnsi="Times New Roman"/>
          <w:lang w:val="ru-RU"/>
        </w:rPr>
        <w:br/>
        <w:t>за рынки сбыта, инвестиционные, человеческие и иные ресурсы</w:t>
      </w:r>
      <w:bookmarkEnd w:id="55"/>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Основные тренды: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Рост цен на энергоносители и топливо в связи с геополитическими конфликтами</w:t>
      </w:r>
      <w:r w:rsidRPr="006B35B8">
        <w:rPr>
          <w:rFonts w:ascii="Times New Roman" w:hAnsi="Times New Roman"/>
          <w:color w:val="auto"/>
          <w:sz w:val="26"/>
          <w:szCs w:val="26"/>
        </w:rPr>
        <w:t xml:space="preserve">: в совокупности с ожидаемым смягчением денежно-кредитной политики в России рост цен на энергоносители будет в краткой и среднесрочной перспективе способствовать смягчению проблемы бюджетного дефицита на всех уровнях бюджетной системы страны, относительному ускорению темпов экономического роста и активизации инвестиционной активности; вместе </w:t>
      </w:r>
      <w:r w:rsidRPr="006B35B8">
        <w:rPr>
          <w:rFonts w:ascii="Times New Roman" w:hAnsi="Times New Roman"/>
          <w:color w:val="auto"/>
          <w:sz w:val="26"/>
          <w:szCs w:val="26"/>
        </w:rPr>
        <w:br/>
        <w:t>с тем в долгосрочной перспективе резкий рост цен на энергоносители может способствовать более решительному переходу стран-импортеров энергоносителей на альтернативные источники энергии, что в конечном итоге приведет к снижению спроса на нефть и газ, в том числе добываемые в России.</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Общее замедление темпов роста глобального валового внутреннего продукта (ВВП) на фоне энергетического кризиса</w:t>
      </w:r>
      <w:r w:rsidRPr="006B35B8">
        <w:rPr>
          <w:rFonts w:ascii="Times New Roman" w:hAnsi="Times New Roman"/>
          <w:color w:val="auto"/>
          <w:sz w:val="26"/>
          <w:szCs w:val="26"/>
        </w:rPr>
        <w:t xml:space="preserve">: неопределенность </w:t>
      </w:r>
      <w:r w:rsidR="006B35B8">
        <w:rPr>
          <w:rFonts w:ascii="Times New Roman" w:hAnsi="Times New Roman"/>
          <w:color w:val="auto"/>
          <w:sz w:val="26"/>
          <w:szCs w:val="26"/>
        </w:rPr>
        <w:br/>
      </w:r>
      <w:r w:rsidRPr="006B35B8">
        <w:rPr>
          <w:rFonts w:ascii="Times New Roman" w:hAnsi="Times New Roman"/>
          <w:color w:val="auto"/>
          <w:sz w:val="26"/>
          <w:szCs w:val="26"/>
        </w:rPr>
        <w:t>и возросшие издержки будут способствовать снижению темпов роста мирового ВВП, что также обусловливает и снижение темпов роста мировых сбережений, это в совокупности с ростом глобальной долговой нагрузки определяет возрастающую конкуренцию за финансовые ресурсы / инвестиции.</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Трансформация глобальных производственно-сбытовых цепочек:</w:t>
      </w:r>
      <w:r w:rsidRPr="006B35B8">
        <w:rPr>
          <w:rFonts w:ascii="Times New Roman" w:hAnsi="Times New Roman"/>
          <w:color w:val="auto"/>
          <w:sz w:val="26"/>
          <w:szCs w:val="26"/>
        </w:rPr>
        <w:t xml:space="preserve"> на фоне роста геополитической неопределенности соображения безопасности требуют от участников международных экономических отношений диверсификации производственно-сбытовых связей, что создает новые возможности для встраивания в международное разделение труда и международную производственную кооперацию.</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Глобальный рост производительности труда за счет увеличения технической вооруженности и развития методов и технологий повышения эффективности</w:t>
      </w:r>
      <w:r w:rsidRPr="006B35B8">
        <w:rPr>
          <w:rFonts w:ascii="Times New Roman" w:hAnsi="Times New Roman"/>
          <w:color w:val="auto"/>
          <w:sz w:val="26"/>
          <w:szCs w:val="26"/>
        </w:rPr>
        <w:t>: рост производительности способствует высвобождению времени персонала, влияя при этом на масштабы и формы занятости.</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lastRenderedPageBreak/>
        <w:t>— </w:t>
      </w:r>
      <w:r w:rsidRPr="006B35B8">
        <w:rPr>
          <w:rFonts w:ascii="Times New Roman" w:hAnsi="Times New Roman"/>
          <w:b/>
          <w:bCs/>
          <w:color w:val="auto"/>
          <w:sz w:val="26"/>
          <w:szCs w:val="26"/>
        </w:rPr>
        <w:t>Повышение роли экономики знаний, сектора высокотехнологичных наукоемких производств</w:t>
      </w:r>
      <w:r w:rsidRPr="006B35B8">
        <w:rPr>
          <w:rFonts w:ascii="Times New Roman" w:hAnsi="Times New Roman"/>
          <w:color w:val="auto"/>
          <w:sz w:val="26"/>
          <w:szCs w:val="26"/>
        </w:rPr>
        <w:t xml:space="preserve">: увеличение спроса в новой экономике </w:t>
      </w:r>
      <w:r w:rsidR="006B35B8">
        <w:rPr>
          <w:rFonts w:ascii="Times New Roman" w:hAnsi="Times New Roman"/>
          <w:color w:val="auto"/>
          <w:sz w:val="26"/>
          <w:szCs w:val="26"/>
        </w:rPr>
        <w:br/>
      </w:r>
      <w:r w:rsidRPr="006B35B8">
        <w:rPr>
          <w:rFonts w:ascii="Times New Roman" w:hAnsi="Times New Roman"/>
          <w:color w:val="auto"/>
          <w:sz w:val="26"/>
          <w:szCs w:val="26"/>
        </w:rPr>
        <w:t>на высококвалифицированных специалистов актуализирует для хозяйствующих субъектов и органов управления территорий задачу привлечения и удержания ценных кадров, умножения и развития имеющегося человеческого потенциала.</w:t>
      </w:r>
    </w:p>
    <w:p w:rsidR="00E618FE" w:rsidRPr="00535A4B" w:rsidRDefault="00800098">
      <w:pPr>
        <w:pStyle w:val="41"/>
        <w:rPr>
          <w:rFonts w:ascii="Times New Roman" w:hAnsi="Times New Roman"/>
          <w:lang w:val="ru-RU"/>
        </w:rPr>
      </w:pPr>
      <w:bookmarkStart w:id="56" w:name="_Toc228126826"/>
      <w:r w:rsidRPr="00535A4B">
        <w:rPr>
          <w:rFonts w:ascii="Times New Roman" w:hAnsi="Times New Roman"/>
          <w:lang w:val="ru-RU"/>
        </w:rPr>
        <w:t>Вызов№</w:t>
      </w:r>
      <w:r w:rsidR="00F90C4C">
        <w:rPr>
          <w:rFonts w:ascii="Times New Roman" w:hAnsi="Times New Roman"/>
          <w:lang w:val="ru-RU"/>
        </w:rPr>
        <w:t xml:space="preserve"> </w:t>
      </w:r>
      <w:r w:rsidRPr="00535A4B">
        <w:rPr>
          <w:rFonts w:ascii="Times New Roman" w:hAnsi="Times New Roman"/>
          <w:lang w:val="ru-RU"/>
        </w:rPr>
        <w:t>2: Возросшая геополитическая неопределенность</w:t>
      </w:r>
      <w:bookmarkEnd w:id="56"/>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Основные тренды:</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Обострение международной политической обстановки</w:t>
      </w:r>
      <w:r w:rsidRPr="006B35B8">
        <w:rPr>
          <w:rFonts w:ascii="Times New Roman" w:hAnsi="Times New Roman"/>
          <w:color w:val="auto"/>
          <w:sz w:val="26"/>
          <w:szCs w:val="26"/>
        </w:rPr>
        <w:t xml:space="preserve">: резкое ухудшение отношений между Россией, Китаем, Ираном, с одной стороны, </w:t>
      </w:r>
      <w:r w:rsidRPr="006B35B8">
        <w:rPr>
          <w:rFonts w:ascii="Times New Roman" w:hAnsi="Times New Roman"/>
          <w:color w:val="auto"/>
          <w:sz w:val="26"/>
          <w:szCs w:val="26"/>
        </w:rPr>
        <w:br/>
        <w:t>и США, ЕС и другими ведущими странами «глобального Запада» и союзами государств, с другой, что приводит к введению разного рода санкций и анти-санкций, ограничительных мер (антидемпинговые расследования и т. п.), препятствующих доступу российских хозяйствующих субъектов к глобальным рынкам товаров, услуг и ресурсов.</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Специальная военная операция и участие в локальных конфликтах России</w:t>
      </w:r>
      <w:r w:rsidRPr="006B35B8">
        <w:rPr>
          <w:rFonts w:ascii="Times New Roman" w:hAnsi="Times New Roman"/>
          <w:color w:val="auto"/>
          <w:sz w:val="26"/>
          <w:szCs w:val="26"/>
        </w:rPr>
        <w:t>: происходит разделение мира на страны крайне недружественные, недружественные и сдержанно дружественные по отношению к России, растет число и интенсивность гибридных военных конфликтов и, как следствие, бюджетные расходы на оборону и национальную безопасность.</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Переход от гегемонии Запада к многополярному миру</w:t>
      </w:r>
      <w:r w:rsidRPr="006B35B8">
        <w:rPr>
          <w:rFonts w:ascii="Times New Roman" w:hAnsi="Times New Roman"/>
          <w:color w:val="auto"/>
          <w:sz w:val="26"/>
          <w:szCs w:val="26"/>
        </w:rPr>
        <w:t>: роль глобального экономического центра смещается в сторону «глобального Юга» (Азиатско-Тихоокеанского, Ближневосточного и Африканского регионов, BRICS+); одновременно происходит снижение роли ООН и других международных организаций, действующих под ее эгидой, в решении вопросов и проблем современного мира.</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Возрастание угрозы расширения международного терроризма</w:t>
      </w:r>
      <w:r w:rsidRPr="006B35B8">
        <w:rPr>
          <w:rFonts w:ascii="Times New Roman" w:hAnsi="Times New Roman"/>
          <w:color w:val="auto"/>
          <w:sz w:val="26"/>
          <w:szCs w:val="26"/>
        </w:rPr>
        <w:t xml:space="preserve">: рост неонацистских настроений, нестабильности на Ближнем Востоке, числа локальных международных конфликтов, с одной стороны, и широкое распространение </w:t>
      </w:r>
      <w:r w:rsidR="006B35B8">
        <w:rPr>
          <w:rFonts w:ascii="Times New Roman" w:hAnsi="Times New Roman"/>
          <w:color w:val="auto"/>
          <w:sz w:val="26"/>
          <w:szCs w:val="26"/>
        </w:rPr>
        <w:br/>
      </w:r>
      <w:r w:rsidRPr="006B35B8">
        <w:rPr>
          <w:rFonts w:ascii="Times New Roman" w:hAnsi="Times New Roman"/>
          <w:color w:val="auto"/>
          <w:sz w:val="26"/>
          <w:szCs w:val="26"/>
        </w:rPr>
        <w:t xml:space="preserve">и увеличение доступности современных технологий для террористических организаций, с другой стороны. </w:t>
      </w:r>
    </w:p>
    <w:p w:rsidR="00E618FE" w:rsidRPr="006B35B8" w:rsidRDefault="00800098">
      <w:pPr>
        <w:ind w:firstLine="708"/>
        <w:contextualSpacing/>
        <w:jc w:val="both"/>
        <w:rPr>
          <w:sz w:val="26"/>
          <w:szCs w:val="26"/>
          <w:lang w:eastAsia="ar-SA"/>
        </w:rPr>
      </w:pPr>
      <w:r w:rsidRPr="006B35B8">
        <w:rPr>
          <w:sz w:val="26"/>
          <w:szCs w:val="26"/>
          <w:lang w:eastAsia="ar-SA"/>
        </w:rPr>
        <w:t xml:space="preserve">— </w:t>
      </w:r>
      <w:r w:rsidRPr="006B35B8">
        <w:rPr>
          <w:b/>
          <w:bCs/>
          <w:sz w:val="26"/>
          <w:szCs w:val="26"/>
          <w:lang w:eastAsia="ar-SA"/>
        </w:rPr>
        <w:t xml:space="preserve">Ограничение доступа к передовым знаниям и компетенциям </w:t>
      </w:r>
      <w:r w:rsidRPr="006B35B8">
        <w:rPr>
          <w:b/>
          <w:bCs/>
          <w:sz w:val="26"/>
          <w:szCs w:val="26"/>
          <w:lang w:eastAsia="ar-SA"/>
        </w:rPr>
        <w:br/>
        <w:t xml:space="preserve">на фоне сдвига философии национального и регионального развития </w:t>
      </w:r>
      <w:r w:rsidRPr="006B35B8">
        <w:rPr>
          <w:b/>
          <w:bCs/>
          <w:sz w:val="26"/>
          <w:szCs w:val="26"/>
          <w:lang w:eastAsia="ar-SA"/>
        </w:rPr>
        <w:br/>
        <w:t>к автаркии</w:t>
      </w:r>
      <w:r w:rsidRPr="006B35B8">
        <w:rPr>
          <w:sz w:val="26"/>
          <w:szCs w:val="26"/>
          <w:lang w:eastAsia="ar-SA"/>
        </w:rPr>
        <w:t xml:space="preserve">: соображения безопасности и необходимость достижения технологического суверенитета все более двигают экономики многих стран </w:t>
      </w:r>
      <w:r w:rsidR="006B35B8">
        <w:rPr>
          <w:sz w:val="26"/>
          <w:szCs w:val="26"/>
          <w:lang w:eastAsia="ar-SA"/>
        </w:rPr>
        <w:br/>
      </w:r>
      <w:r w:rsidRPr="006B35B8">
        <w:rPr>
          <w:sz w:val="26"/>
          <w:szCs w:val="26"/>
          <w:lang w:eastAsia="ar-SA"/>
        </w:rPr>
        <w:t xml:space="preserve">к закрытости, внедрению замкнутой системы самообеспечения с минимальной зависимостью от внешнего мира; на этом фоне заметно сокращается научно-технологическое сотрудничество, что сказывается на скорости трансфера </w:t>
      </w:r>
      <w:r w:rsidR="006B35B8">
        <w:rPr>
          <w:sz w:val="26"/>
          <w:szCs w:val="26"/>
          <w:lang w:eastAsia="ar-SA"/>
        </w:rPr>
        <w:br/>
      </w:r>
      <w:r w:rsidRPr="006B35B8">
        <w:rPr>
          <w:sz w:val="26"/>
          <w:szCs w:val="26"/>
          <w:lang w:eastAsia="ar-SA"/>
        </w:rPr>
        <w:t xml:space="preserve">и внедрения технологий; при этом в современном мире скорость развития науки </w:t>
      </w:r>
      <w:r w:rsidR="006B35B8">
        <w:rPr>
          <w:sz w:val="26"/>
          <w:szCs w:val="26"/>
          <w:lang w:eastAsia="ar-SA"/>
        </w:rPr>
        <w:br/>
      </w:r>
      <w:r w:rsidRPr="006B35B8">
        <w:rPr>
          <w:sz w:val="26"/>
          <w:szCs w:val="26"/>
          <w:lang w:eastAsia="ar-SA"/>
        </w:rPr>
        <w:t xml:space="preserve">и технологий не позволяет опираться исключительно на собственные возможности; принципиально важно соблюдение баланса между импортозамещением </w:t>
      </w:r>
      <w:r w:rsidR="006B35B8">
        <w:rPr>
          <w:sz w:val="26"/>
          <w:szCs w:val="26"/>
          <w:lang w:eastAsia="ar-SA"/>
        </w:rPr>
        <w:br/>
      </w:r>
      <w:r w:rsidRPr="006B35B8">
        <w:rPr>
          <w:sz w:val="26"/>
          <w:szCs w:val="26"/>
          <w:lang w:eastAsia="ar-SA"/>
        </w:rPr>
        <w:t>и интеграцией в мировую науку и производство.</w:t>
      </w:r>
    </w:p>
    <w:p w:rsidR="00E618FE" w:rsidRPr="00535A4B" w:rsidRDefault="00800098">
      <w:pPr>
        <w:pStyle w:val="41"/>
        <w:rPr>
          <w:rFonts w:ascii="Times New Roman" w:hAnsi="Times New Roman"/>
          <w:b w:val="0"/>
          <w:i/>
          <w:iCs/>
          <w:lang w:val="ru-RU"/>
        </w:rPr>
      </w:pPr>
      <w:bookmarkStart w:id="57" w:name="_Toc228126828"/>
      <w:r w:rsidRPr="00535A4B">
        <w:rPr>
          <w:rFonts w:ascii="Times New Roman" w:hAnsi="Times New Roman"/>
          <w:lang w:val="ru-RU"/>
        </w:rPr>
        <w:t>Вызов № 3: Проникновение новейших технологий во все сферы человеческой жизнедеятельности</w:t>
      </w:r>
      <w:bookmarkEnd w:id="57"/>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Основные тренды:</w:t>
      </w:r>
    </w:p>
    <w:p w:rsidR="00E618FE" w:rsidRPr="006B35B8" w:rsidRDefault="00800098">
      <w:pPr>
        <w:ind w:firstLine="709"/>
        <w:jc w:val="both"/>
        <w:rPr>
          <w:sz w:val="26"/>
          <w:szCs w:val="26"/>
        </w:rPr>
      </w:pPr>
      <w:r w:rsidRPr="006B35B8">
        <w:rPr>
          <w:sz w:val="26"/>
          <w:szCs w:val="26"/>
          <w:lang w:eastAsia="ar-SA"/>
        </w:rPr>
        <w:t>—</w:t>
      </w:r>
      <w:r w:rsidRPr="006B35B8">
        <w:rPr>
          <w:sz w:val="26"/>
          <w:szCs w:val="26"/>
        </w:rPr>
        <w:t> </w:t>
      </w:r>
      <w:r w:rsidRPr="006B35B8">
        <w:rPr>
          <w:b/>
          <w:bCs/>
          <w:sz w:val="26"/>
          <w:szCs w:val="26"/>
        </w:rPr>
        <w:t xml:space="preserve">Цифровизация и внедрение искусственного интеллекта </w:t>
      </w:r>
      <w:r w:rsidRPr="006B35B8">
        <w:rPr>
          <w:b/>
          <w:bCs/>
          <w:sz w:val="26"/>
          <w:szCs w:val="26"/>
        </w:rPr>
        <w:br/>
        <w:t>в ключевых отраслях</w:t>
      </w:r>
      <w:r w:rsidRPr="006B35B8">
        <w:rPr>
          <w:sz w:val="26"/>
          <w:szCs w:val="26"/>
        </w:rPr>
        <w:t xml:space="preserve">: стремительный рост использования цифровых технологий </w:t>
      </w:r>
      <w:r w:rsidR="006B35B8">
        <w:rPr>
          <w:sz w:val="26"/>
          <w:szCs w:val="26"/>
        </w:rPr>
        <w:br/>
      </w:r>
      <w:r w:rsidRPr="006B35B8">
        <w:rPr>
          <w:sz w:val="26"/>
          <w:szCs w:val="26"/>
        </w:rPr>
        <w:lastRenderedPageBreak/>
        <w:t>в области процессов и систем жизнедеятельности и управления, включая автоматизацию значительной части типовых взаимодействий в большинстве отраслей на основе цифровых платформ, широкое внедрение в общественном и частном секторах инструментов управления на основе технологий искусственного интеллекта, машинного обучения и обработки больших объемов данных, обеспечение возможности электронного взаимодействия при получении подавляющего большинства социально значимых государственных и муниципальных услуг.</w:t>
      </w:r>
    </w:p>
    <w:p w:rsidR="00E618FE" w:rsidRPr="006B35B8" w:rsidRDefault="00800098">
      <w:pPr>
        <w:pStyle w:val="a4"/>
        <w:rPr>
          <w:rFonts w:ascii="Times New Roman" w:hAnsi="Times New Roman"/>
          <w:color w:val="auto"/>
          <w:sz w:val="26"/>
          <w:szCs w:val="26"/>
        </w:rPr>
      </w:pPr>
      <w:r w:rsidRPr="006B35B8">
        <w:rPr>
          <w:rFonts w:ascii="Times New Roman" w:hAnsi="Times New Roman"/>
          <w:sz w:val="26"/>
          <w:szCs w:val="26"/>
        </w:rPr>
        <w:t>—</w:t>
      </w:r>
      <w:r w:rsidR="006B35B8">
        <w:rPr>
          <w:rFonts w:ascii="Times New Roman" w:hAnsi="Times New Roman"/>
          <w:sz w:val="26"/>
          <w:szCs w:val="26"/>
        </w:rPr>
        <w:t xml:space="preserve"> </w:t>
      </w:r>
      <w:r w:rsidRPr="006B35B8">
        <w:rPr>
          <w:rFonts w:ascii="Times New Roman" w:hAnsi="Times New Roman"/>
          <w:b/>
          <w:bCs/>
          <w:color w:val="auto"/>
          <w:sz w:val="26"/>
          <w:szCs w:val="26"/>
        </w:rPr>
        <w:t>Усиление рисков в сфере кибербезопасности</w:t>
      </w:r>
      <w:r w:rsidRPr="006B35B8">
        <w:rPr>
          <w:rFonts w:ascii="Times New Roman" w:hAnsi="Times New Roman"/>
          <w:color w:val="auto"/>
          <w:sz w:val="26"/>
          <w:szCs w:val="26"/>
        </w:rPr>
        <w:t>: по мере цифровизации разнообразных сторон жизнедеятельности и экономики существенно возрастают риски, связанные с кибербезопасностью.</w:t>
      </w:r>
    </w:p>
    <w:p w:rsidR="00E618FE" w:rsidRPr="006B35B8" w:rsidRDefault="00800098">
      <w:pPr>
        <w:pStyle w:val="a4"/>
        <w:rPr>
          <w:rFonts w:ascii="Times New Roman" w:hAnsi="Times New Roman"/>
          <w:color w:val="auto"/>
          <w:sz w:val="26"/>
          <w:szCs w:val="26"/>
        </w:rPr>
      </w:pPr>
      <w:r w:rsidRPr="006B35B8">
        <w:rPr>
          <w:rFonts w:ascii="Times New Roman" w:hAnsi="Times New Roman"/>
          <w:sz w:val="26"/>
          <w:szCs w:val="26"/>
        </w:rPr>
        <w:t>—</w:t>
      </w:r>
      <w:r w:rsidR="006B35B8">
        <w:rPr>
          <w:rFonts w:ascii="Times New Roman" w:hAnsi="Times New Roman"/>
          <w:sz w:val="26"/>
          <w:szCs w:val="26"/>
        </w:rPr>
        <w:t xml:space="preserve"> </w:t>
      </w:r>
      <w:r w:rsidRPr="006B35B8">
        <w:rPr>
          <w:rFonts w:ascii="Times New Roman" w:hAnsi="Times New Roman"/>
          <w:b/>
          <w:bCs/>
          <w:color w:val="auto"/>
          <w:sz w:val="26"/>
          <w:szCs w:val="26"/>
        </w:rPr>
        <w:t>Активное развитие прорывных технологий</w:t>
      </w:r>
      <w:r w:rsidRPr="006B35B8">
        <w:rPr>
          <w:rFonts w:ascii="Times New Roman" w:hAnsi="Times New Roman"/>
          <w:color w:val="auto"/>
          <w:sz w:val="26"/>
          <w:szCs w:val="26"/>
        </w:rPr>
        <w:t xml:space="preserve">: биотехнологии, информационные технологии, когнитивные технологии, социогуманитарные технологии, большие данные, облачные хранилища и вычисления; расширение применения квантовых технологий (квантовых вычислений, сенсоров и коммуникаций); развитие гиперсвязности (расширение географического охвата сетей и внедрение таких  новых технологий связи,  как 5G / 6G и низкоорбитальные спутники); распространение технологий расширенной реальности (AR / VR); переход к децентрализованному интернету (в парадигме Web 3.0); развитие интернета вещей и расширение их возможностей; активное использование распределенных реестров и смарт-контрактов; роботизация и производство </w:t>
      </w:r>
      <w:r w:rsidR="006B35B8">
        <w:rPr>
          <w:rFonts w:ascii="Times New Roman" w:hAnsi="Times New Roman"/>
          <w:color w:val="auto"/>
          <w:sz w:val="26"/>
          <w:szCs w:val="26"/>
        </w:rPr>
        <w:br/>
      </w:r>
      <w:r w:rsidRPr="006B35B8">
        <w:rPr>
          <w:rFonts w:ascii="Times New Roman" w:hAnsi="Times New Roman"/>
          <w:color w:val="auto"/>
          <w:sz w:val="26"/>
          <w:szCs w:val="26"/>
        </w:rPr>
        <w:t>на основе созидания и выращивания, а не вы</w:t>
      </w:r>
      <w:r w:rsidR="006B35B8">
        <w:rPr>
          <w:rFonts w:ascii="Times New Roman" w:hAnsi="Times New Roman"/>
          <w:color w:val="auto"/>
          <w:sz w:val="26"/>
          <w:szCs w:val="26"/>
        </w:rPr>
        <w:t>резания –</w:t>
      </w:r>
      <w:r w:rsidRPr="006B35B8">
        <w:rPr>
          <w:rFonts w:ascii="Times New Roman" w:hAnsi="Times New Roman"/>
          <w:color w:val="auto"/>
          <w:sz w:val="26"/>
          <w:szCs w:val="26"/>
        </w:rPr>
        <w:t xml:space="preserve"> 3D печать из композитов или атомарной пыли (Apple, Alcoa и прочие технологические компании); развитие космических технологий и других передовых изобретений.</w:t>
      </w:r>
    </w:p>
    <w:p w:rsidR="00E618FE" w:rsidRPr="00535A4B" w:rsidRDefault="00800098">
      <w:pPr>
        <w:pStyle w:val="41"/>
        <w:rPr>
          <w:rFonts w:ascii="Times New Roman" w:hAnsi="Times New Roman"/>
          <w:bCs/>
          <w:lang w:val="ru-RU"/>
        </w:rPr>
      </w:pPr>
      <w:bookmarkStart w:id="58" w:name="_Toc228126829"/>
      <w:r w:rsidRPr="00535A4B">
        <w:rPr>
          <w:rFonts w:ascii="Times New Roman" w:hAnsi="Times New Roman"/>
          <w:lang w:val="ru-RU"/>
        </w:rPr>
        <w:t xml:space="preserve">Вызов № 4: Растущее в глобальном масштабе осознание важности состояния окружающей среды </w:t>
      </w:r>
      <w:r w:rsidR="00F90C4C">
        <w:rPr>
          <w:rFonts w:ascii="Times New Roman" w:hAnsi="Times New Roman"/>
          <w:lang w:val="ru-RU"/>
        </w:rPr>
        <w:br/>
      </w:r>
      <w:r w:rsidRPr="00535A4B">
        <w:rPr>
          <w:rFonts w:ascii="Times New Roman" w:hAnsi="Times New Roman"/>
          <w:lang w:val="ru-RU"/>
        </w:rPr>
        <w:t>как фундаментального фактор</w:t>
      </w:r>
      <w:r w:rsidR="006B35B8">
        <w:rPr>
          <w:rFonts w:ascii="Times New Roman" w:hAnsi="Times New Roman"/>
          <w:lang w:val="ru-RU"/>
        </w:rPr>
        <w:t xml:space="preserve">а, определяющего условия жизни </w:t>
      </w:r>
      <w:r w:rsidRPr="00535A4B">
        <w:rPr>
          <w:rFonts w:ascii="Times New Roman" w:hAnsi="Times New Roman"/>
          <w:lang w:val="ru-RU"/>
        </w:rPr>
        <w:t>и хозяйствования людей</w:t>
      </w:r>
      <w:bookmarkEnd w:id="58"/>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Основные тренды:</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Глобальное изменение климата</w:t>
      </w:r>
      <w:r w:rsidRPr="006B35B8">
        <w:rPr>
          <w:rFonts w:ascii="Times New Roman" w:hAnsi="Times New Roman"/>
          <w:color w:val="auto"/>
          <w:sz w:val="26"/>
          <w:szCs w:val="26"/>
        </w:rPr>
        <w:t>: ожидается увеличение средней глобальной температуры воздуха, деградация биоразнообразия экосистем и почв, рост числа и интенсивности экстремальных природных явлений, разрушение вечной мерзлоты и, как следствие, рост экономического ущерба и затрат на предотвращение и / или ликвидацию последствий неблагоприятных природных явлений; обострится дефицит ряда ресурсов (пресная вода, плодородные почвы), но повысится доступность значительных запасов топливно-энергетических ресурсов, имеющихся на севере России, а также на континентальном шельфе в Арктике.</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Нарастание уровня загрязнения окружающей среды</w:t>
      </w:r>
      <w:r w:rsidRPr="006B35B8">
        <w:rPr>
          <w:rFonts w:ascii="Times New Roman" w:hAnsi="Times New Roman"/>
          <w:color w:val="auto"/>
          <w:sz w:val="26"/>
          <w:szCs w:val="26"/>
        </w:rPr>
        <w:t xml:space="preserve">: рост объема вредных выбросов в окружающую среду и увеличение объема бытовых </w:t>
      </w:r>
      <w:r w:rsidR="006B35B8">
        <w:rPr>
          <w:rFonts w:ascii="Times New Roman" w:hAnsi="Times New Roman"/>
          <w:color w:val="auto"/>
          <w:sz w:val="26"/>
          <w:szCs w:val="26"/>
        </w:rPr>
        <w:br/>
      </w:r>
      <w:r w:rsidRPr="006B35B8">
        <w:rPr>
          <w:rFonts w:ascii="Times New Roman" w:hAnsi="Times New Roman"/>
          <w:color w:val="auto"/>
          <w:sz w:val="26"/>
          <w:szCs w:val="26"/>
        </w:rPr>
        <w:t>и промышленных отходов актуализируют задачу внедрения рационального природопользования, природосберегающих, безотходных и экологически чистых технологий.</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w:t>
      </w:r>
      <w:r w:rsidRPr="006B35B8">
        <w:rPr>
          <w:rFonts w:ascii="Times New Roman" w:hAnsi="Times New Roman"/>
          <w:b/>
          <w:bCs/>
          <w:color w:val="auto"/>
          <w:sz w:val="26"/>
          <w:szCs w:val="26"/>
        </w:rPr>
        <w:t>Глобальное развитие «зеленой» экономики</w:t>
      </w:r>
      <w:r w:rsidRPr="006B35B8">
        <w:rPr>
          <w:rFonts w:ascii="Times New Roman" w:hAnsi="Times New Roman"/>
          <w:color w:val="auto"/>
          <w:sz w:val="26"/>
          <w:szCs w:val="26"/>
        </w:rPr>
        <w:t xml:space="preserve">: под «зеленой» экономикой понимается экономика с низкими выбросами углеродных соединений, эффективно использующая ресурсы и отвечающая долгосрочным интересам всего общества; </w:t>
      </w:r>
      <w:r w:rsidR="006B35B8">
        <w:rPr>
          <w:rFonts w:ascii="Times New Roman" w:hAnsi="Times New Roman"/>
          <w:color w:val="auto"/>
          <w:sz w:val="26"/>
          <w:szCs w:val="26"/>
        </w:rPr>
        <w:br/>
      </w:r>
      <w:r w:rsidRPr="006B35B8">
        <w:rPr>
          <w:rFonts w:ascii="Times New Roman" w:hAnsi="Times New Roman"/>
          <w:color w:val="auto"/>
          <w:sz w:val="26"/>
          <w:szCs w:val="26"/>
        </w:rPr>
        <w:t xml:space="preserve">в целях снижения масштабов негативного влияния на окружающую среду, а также повышения конкурентоспособности развитых экономик за счет сокращения </w:t>
      </w:r>
      <w:r w:rsidRPr="006B35B8">
        <w:rPr>
          <w:rFonts w:ascii="Times New Roman" w:hAnsi="Times New Roman"/>
          <w:color w:val="auto"/>
          <w:sz w:val="26"/>
          <w:szCs w:val="26"/>
        </w:rPr>
        <w:lastRenderedPageBreak/>
        <w:t xml:space="preserve">зависимости от углеводородного сырья и его доли в стоимости конечного продукта продолжится разработка эффективных ресурсо- и энергосберегающих технологий, </w:t>
      </w:r>
      <w:r w:rsidR="006B35B8">
        <w:rPr>
          <w:rFonts w:ascii="Times New Roman" w:hAnsi="Times New Roman"/>
          <w:color w:val="auto"/>
          <w:sz w:val="26"/>
          <w:szCs w:val="26"/>
        </w:rPr>
        <w:br/>
      </w:r>
      <w:r w:rsidRPr="006B35B8">
        <w:rPr>
          <w:rFonts w:ascii="Times New Roman" w:hAnsi="Times New Roman"/>
          <w:color w:val="auto"/>
          <w:sz w:val="26"/>
          <w:szCs w:val="26"/>
        </w:rPr>
        <w:t xml:space="preserve">а также введение и применение разного рода ограничений доступа на глобальные рынки продукции, не соответствующей требованиям экологичности; будет происходить переход на модель устойчивого развития (на основе целей устойчивого развития и ESG-принципов) с постепенным ужесточением экологических стандартов и нормативов, ограничивающих рост антропогенной нагрузки </w:t>
      </w:r>
      <w:r w:rsidR="006B35B8">
        <w:rPr>
          <w:rFonts w:ascii="Times New Roman" w:hAnsi="Times New Roman"/>
          <w:color w:val="auto"/>
          <w:sz w:val="26"/>
          <w:szCs w:val="26"/>
        </w:rPr>
        <w:br/>
      </w:r>
      <w:r w:rsidRPr="006B35B8">
        <w:rPr>
          <w:rFonts w:ascii="Times New Roman" w:hAnsi="Times New Roman"/>
          <w:color w:val="auto"/>
          <w:sz w:val="26"/>
          <w:szCs w:val="26"/>
        </w:rPr>
        <w:t>на окружающую среду.</w:t>
      </w:r>
    </w:p>
    <w:p w:rsidR="00E618FE" w:rsidRPr="006B35B8" w:rsidRDefault="00800098">
      <w:pPr>
        <w:pStyle w:val="a4"/>
        <w:rPr>
          <w:rFonts w:ascii="Times New Roman" w:hAnsi="Times New Roman"/>
          <w:color w:val="auto"/>
          <w:sz w:val="26"/>
          <w:szCs w:val="26"/>
        </w:rPr>
      </w:pPr>
      <w:r w:rsidRPr="006B35B8">
        <w:rPr>
          <w:rFonts w:ascii="Times New Roman" w:hAnsi="Times New Roman"/>
          <w:i/>
          <w:iCs/>
          <w:color w:val="auto"/>
          <w:sz w:val="26"/>
          <w:szCs w:val="26"/>
        </w:rPr>
        <w:t>— </w:t>
      </w:r>
      <w:r w:rsidRPr="006B35B8">
        <w:rPr>
          <w:rFonts w:ascii="Times New Roman" w:hAnsi="Times New Roman"/>
          <w:b/>
          <w:bCs/>
          <w:color w:val="auto"/>
          <w:sz w:val="26"/>
          <w:szCs w:val="26"/>
        </w:rPr>
        <w:t>Энергетический переход</w:t>
      </w:r>
      <w:r w:rsidRPr="006B35B8">
        <w:rPr>
          <w:rFonts w:ascii="Times New Roman" w:hAnsi="Times New Roman"/>
          <w:color w:val="auto"/>
          <w:sz w:val="26"/>
          <w:szCs w:val="26"/>
        </w:rPr>
        <w:t xml:space="preserve">: при росте глобального потребления энергии и дефиците традиционных энергоносителей в условиях глобального энергетического кризиса будет развиваться альтернативная энергетика; будет осуществляться постепенный переход от использования угля, нефти и нефтепродуктов </w:t>
      </w:r>
      <w:r w:rsidR="006B35B8">
        <w:rPr>
          <w:rFonts w:ascii="Times New Roman" w:hAnsi="Times New Roman"/>
          <w:color w:val="auto"/>
          <w:sz w:val="26"/>
          <w:szCs w:val="26"/>
        </w:rPr>
        <w:br/>
      </w:r>
      <w:r w:rsidRPr="006B35B8">
        <w:rPr>
          <w:rFonts w:ascii="Times New Roman" w:hAnsi="Times New Roman"/>
          <w:color w:val="auto"/>
          <w:sz w:val="26"/>
          <w:szCs w:val="26"/>
        </w:rPr>
        <w:t xml:space="preserve">к использованию природного газа, атомной энергии и других альтернатив; развитие атомной энергетики будет происходить за счет увеличения производства электроэнергии на базе использования конкурентоспособных ядерных реакторов третьего и последующих поколений, имеющих более низкую стоимость производства энергии, повышенные характеристики безопасности и лучшие характеристики проектов с точки зрения ядерных отходов и угроз распространения ядерных материалов. </w:t>
      </w:r>
    </w:p>
    <w:p w:rsidR="00E618FE" w:rsidRPr="006B35B8" w:rsidRDefault="00E618FE">
      <w:pPr>
        <w:pStyle w:val="a4"/>
        <w:rPr>
          <w:rFonts w:ascii="Times New Roman" w:hAnsi="Times New Roman"/>
          <w:color w:val="auto"/>
          <w:sz w:val="26"/>
          <w:szCs w:val="26"/>
        </w:rPr>
      </w:pPr>
    </w:p>
    <w:p w:rsidR="00E618FE" w:rsidRPr="00535A4B" w:rsidRDefault="00800098">
      <w:pPr>
        <w:pStyle w:val="a4"/>
        <w:ind w:firstLine="708"/>
        <w:rPr>
          <w:rFonts w:ascii="Times New Roman" w:hAnsi="Times New Roman"/>
          <w:b/>
          <w:bCs/>
          <w:color w:val="auto"/>
        </w:rPr>
      </w:pPr>
      <w:r w:rsidRPr="00535A4B">
        <w:rPr>
          <w:rFonts w:ascii="Times New Roman" w:hAnsi="Times New Roman"/>
          <w:b/>
          <w:bCs/>
          <w:color w:val="auto"/>
        </w:rPr>
        <w:t>Основные риски</w:t>
      </w:r>
    </w:p>
    <w:p w:rsidR="00E618FE" w:rsidRPr="00535A4B" w:rsidRDefault="00E618FE">
      <w:pPr>
        <w:pStyle w:val="a4"/>
        <w:ind w:firstLine="708"/>
        <w:rPr>
          <w:rFonts w:ascii="Times New Roman" w:hAnsi="Times New Roman"/>
          <w:b/>
          <w:bCs/>
          <w:color w:val="auto"/>
        </w:rPr>
      </w:pPr>
    </w:p>
    <w:p w:rsidR="00E618FE" w:rsidRPr="006B35B8" w:rsidRDefault="00800098">
      <w:pPr>
        <w:pStyle w:val="a4"/>
        <w:rPr>
          <w:rFonts w:ascii="Times New Roman" w:hAnsi="Times New Roman"/>
          <w:color w:val="auto"/>
          <w:sz w:val="26"/>
          <w:szCs w:val="26"/>
        </w:rPr>
      </w:pPr>
      <w:r w:rsidRPr="006B35B8">
        <w:rPr>
          <w:rFonts w:ascii="Times New Roman" w:hAnsi="Times New Roman"/>
          <w:sz w:val="26"/>
          <w:szCs w:val="26"/>
        </w:rPr>
        <w:t>—</w:t>
      </w:r>
      <w:r w:rsidR="006B35B8">
        <w:rPr>
          <w:rFonts w:ascii="Times New Roman" w:hAnsi="Times New Roman"/>
          <w:sz w:val="26"/>
          <w:szCs w:val="26"/>
        </w:rPr>
        <w:t xml:space="preserve"> </w:t>
      </w:r>
      <w:r w:rsidRPr="006B35B8">
        <w:rPr>
          <w:rFonts w:ascii="Times New Roman" w:hAnsi="Times New Roman"/>
          <w:b/>
          <w:bCs/>
          <w:color w:val="auto"/>
          <w:sz w:val="26"/>
          <w:szCs w:val="26"/>
        </w:rPr>
        <w:t>Геополитические:</w:t>
      </w:r>
      <w:r w:rsidRPr="006B35B8">
        <w:rPr>
          <w:rFonts w:ascii="Times New Roman" w:hAnsi="Times New Roman"/>
          <w:color w:val="auto"/>
          <w:sz w:val="26"/>
          <w:szCs w:val="26"/>
        </w:rPr>
        <w:t xml:space="preserve"> геополитическая неопределенность, вызванная текущим противостоянием Российской Федерации странам «коллективного Запада»</w:t>
      </w:r>
      <w:bookmarkStart w:id="59" w:name="_Hlk133318555"/>
      <w:r w:rsidRPr="006B35B8">
        <w:rPr>
          <w:rFonts w:ascii="Times New Roman" w:hAnsi="Times New Roman"/>
          <w:color w:val="auto"/>
          <w:sz w:val="26"/>
          <w:szCs w:val="26"/>
        </w:rPr>
        <w:t xml:space="preserve">; внешние санкции; </w:t>
      </w:r>
      <w:bookmarkEnd w:id="59"/>
      <w:r w:rsidRPr="006B35B8">
        <w:rPr>
          <w:rFonts w:ascii="Times New Roman" w:hAnsi="Times New Roman"/>
          <w:color w:val="auto"/>
          <w:sz w:val="26"/>
          <w:szCs w:val="26"/>
        </w:rPr>
        <w:t xml:space="preserve">неспособность системы управления среагировать </w:t>
      </w:r>
      <w:r w:rsidR="006B35B8">
        <w:rPr>
          <w:rFonts w:ascii="Times New Roman" w:hAnsi="Times New Roman"/>
          <w:color w:val="auto"/>
          <w:sz w:val="26"/>
          <w:szCs w:val="26"/>
        </w:rPr>
        <w:br/>
      </w:r>
      <w:r w:rsidRPr="006B35B8">
        <w:rPr>
          <w:rFonts w:ascii="Times New Roman" w:hAnsi="Times New Roman"/>
          <w:color w:val="auto"/>
          <w:sz w:val="26"/>
          <w:szCs w:val="26"/>
        </w:rPr>
        <w:t>на новые, в том числе глобальные, вызовы; снижение качества и активности общественных институтов.</w:t>
      </w:r>
    </w:p>
    <w:p w:rsidR="00E618FE" w:rsidRPr="006B35B8" w:rsidRDefault="00800098">
      <w:pPr>
        <w:pStyle w:val="a4"/>
        <w:rPr>
          <w:rFonts w:ascii="Times New Roman" w:hAnsi="Times New Roman"/>
          <w:color w:val="auto"/>
          <w:sz w:val="26"/>
          <w:szCs w:val="26"/>
        </w:rPr>
      </w:pPr>
      <w:r w:rsidRPr="006B35B8">
        <w:rPr>
          <w:rFonts w:ascii="Times New Roman" w:hAnsi="Times New Roman"/>
          <w:sz w:val="26"/>
          <w:szCs w:val="26"/>
        </w:rPr>
        <w:t xml:space="preserve">— </w:t>
      </w:r>
      <w:r w:rsidRPr="006B35B8">
        <w:rPr>
          <w:rFonts w:ascii="Times New Roman" w:hAnsi="Times New Roman"/>
          <w:b/>
          <w:bCs/>
          <w:color w:val="auto"/>
          <w:sz w:val="26"/>
          <w:szCs w:val="26"/>
        </w:rPr>
        <w:t>Экономические:</w:t>
      </w:r>
      <w:r w:rsidRPr="006B35B8">
        <w:rPr>
          <w:rFonts w:ascii="Times New Roman" w:hAnsi="Times New Roman"/>
          <w:color w:val="auto"/>
          <w:sz w:val="26"/>
          <w:szCs w:val="26"/>
        </w:rPr>
        <w:t xml:space="preserve"> снижение покупательной способности граждан России на фоне замедления роста российской экономики; снижение внешнего спроса </w:t>
      </w:r>
      <w:r w:rsidR="006B35B8">
        <w:rPr>
          <w:rFonts w:ascii="Times New Roman" w:hAnsi="Times New Roman"/>
          <w:color w:val="auto"/>
          <w:sz w:val="26"/>
          <w:szCs w:val="26"/>
        </w:rPr>
        <w:br/>
      </w:r>
      <w:r w:rsidRPr="006B35B8">
        <w:rPr>
          <w:rFonts w:ascii="Times New Roman" w:hAnsi="Times New Roman"/>
          <w:color w:val="auto"/>
          <w:sz w:val="26"/>
          <w:szCs w:val="26"/>
        </w:rPr>
        <w:t xml:space="preserve">на продукцию, производимую в Томской области; проигрыш соседним регионам </w:t>
      </w:r>
      <w:r w:rsidR="006B35B8">
        <w:rPr>
          <w:rFonts w:ascii="Times New Roman" w:hAnsi="Times New Roman"/>
          <w:color w:val="auto"/>
          <w:sz w:val="26"/>
          <w:szCs w:val="26"/>
        </w:rPr>
        <w:br/>
      </w:r>
      <w:r w:rsidRPr="006B35B8">
        <w:rPr>
          <w:rFonts w:ascii="Times New Roman" w:hAnsi="Times New Roman"/>
          <w:color w:val="auto"/>
          <w:sz w:val="26"/>
          <w:szCs w:val="26"/>
        </w:rPr>
        <w:t xml:space="preserve">в конкурентной борьбе (Красноярский край, Новосибирская, Кемеровская </w:t>
      </w:r>
      <w:r w:rsidR="006B35B8">
        <w:rPr>
          <w:rFonts w:ascii="Times New Roman" w:hAnsi="Times New Roman"/>
          <w:color w:val="auto"/>
          <w:sz w:val="26"/>
          <w:szCs w:val="26"/>
        </w:rPr>
        <w:br/>
      </w:r>
      <w:r w:rsidRPr="006B35B8">
        <w:rPr>
          <w:rFonts w:ascii="Times New Roman" w:hAnsi="Times New Roman"/>
          <w:color w:val="auto"/>
          <w:sz w:val="26"/>
          <w:szCs w:val="26"/>
        </w:rPr>
        <w:t>и Иркутская области); рост зависимости от внешних поставок потребительских товаров (оптово-распределительные центры в Новосибирске и Кемерово); снижение числа предприятий, осуществляющих инновационную и высокотехнологичную деятельность, за счет их оттока в другие регионы с более привлекательной инновационной средой.</w:t>
      </w:r>
    </w:p>
    <w:p w:rsidR="00E618FE" w:rsidRPr="006B35B8" w:rsidRDefault="00800098">
      <w:pPr>
        <w:pStyle w:val="a4"/>
        <w:rPr>
          <w:rFonts w:ascii="Times New Roman" w:hAnsi="Times New Roman"/>
          <w:color w:val="auto"/>
          <w:sz w:val="26"/>
          <w:szCs w:val="26"/>
        </w:rPr>
      </w:pPr>
      <w:r w:rsidRPr="006B35B8">
        <w:rPr>
          <w:rFonts w:ascii="Times New Roman" w:hAnsi="Times New Roman"/>
          <w:sz w:val="26"/>
          <w:szCs w:val="26"/>
        </w:rPr>
        <w:t xml:space="preserve">— </w:t>
      </w:r>
      <w:r w:rsidRPr="006B35B8">
        <w:rPr>
          <w:rFonts w:ascii="Times New Roman" w:hAnsi="Times New Roman"/>
          <w:b/>
          <w:bCs/>
          <w:color w:val="auto"/>
          <w:sz w:val="26"/>
          <w:szCs w:val="26"/>
        </w:rPr>
        <w:t>Финансово-бюджетные:</w:t>
      </w:r>
      <w:r w:rsidRPr="006B35B8">
        <w:rPr>
          <w:rFonts w:ascii="Times New Roman" w:hAnsi="Times New Roman"/>
          <w:color w:val="auto"/>
          <w:sz w:val="26"/>
          <w:szCs w:val="26"/>
        </w:rPr>
        <w:t xml:space="preserve"> консервация невыгодной для Томской области модели финансово-бюджетных отношений с федеральным центром; ограничение прав регионов в области налогообложения, в том числе по установлению элементов региональных налогов; сужение финансовых возможностей бюджетов всех уровней; сужение возможностей внебюджетного инвестирования приоритетных проектов и инициатив. </w:t>
      </w:r>
    </w:p>
    <w:p w:rsidR="00E618FE" w:rsidRPr="006B35B8" w:rsidRDefault="00800098">
      <w:pPr>
        <w:pStyle w:val="a4"/>
        <w:rPr>
          <w:rFonts w:ascii="Times New Roman" w:hAnsi="Times New Roman"/>
          <w:color w:val="auto"/>
          <w:sz w:val="26"/>
          <w:szCs w:val="26"/>
        </w:rPr>
      </w:pPr>
      <w:r w:rsidRPr="006B35B8">
        <w:rPr>
          <w:rFonts w:ascii="Times New Roman" w:hAnsi="Times New Roman"/>
          <w:sz w:val="26"/>
          <w:szCs w:val="26"/>
        </w:rPr>
        <w:t xml:space="preserve">— </w:t>
      </w:r>
      <w:r w:rsidRPr="006B35B8">
        <w:rPr>
          <w:rFonts w:ascii="Times New Roman" w:hAnsi="Times New Roman"/>
          <w:b/>
          <w:bCs/>
          <w:color w:val="auto"/>
          <w:sz w:val="26"/>
          <w:szCs w:val="26"/>
        </w:rPr>
        <w:t>Демографические:</w:t>
      </w:r>
      <w:r w:rsidRPr="006B35B8">
        <w:rPr>
          <w:rFonts w:ascii="Times New Roman" w:hAnsi="Times New Roman"/>
          <w:color w:val="auto"/>
          <w:sz w:val="26"/>
          <w:szCs w:val="26"/>
        </w:rPr>
        <w:t xml:space="preserve"> обострение дефицита квалифицированных кадров </w:t>
      </w:r>
      <w:r w:rsidR="006B35B8">
        <w:rPr>
          <w:rFonts w:ascii="Times New Roman" w:hAnsi="Times New Roman"/>
          <w:color w:val="auto"/>
          <w:sz w:val="26"/>
          <w:szCs w:val="26"/>
        </w:rPr>
        <w:br/>
      </w:r>
      <w:r w:rsidRPr="006B35B8">
        <w:rPr>
          <w:rFonts w:ascii="Times New Roman" w:hAnsi="Times New Roman"/>
          <w:color w:val="auto"/>
          <w:sz w:val="26"/>
          <w:szCs w:val="26"/>
        </w:rPr>
        <w:t>в приоритетных для области отраслях</w:t>
      </w:r>
      <w:bookmarkStart w:id="60" w:name="_Hlk127449116"/>
      <w:r w:rsidRPr="006B35B8">
        <w:rPr>
          <w:rFonts w:ascii="Times New Roman" w:hAnsi="Times New Roman"/>
          <w:color w:val="auto"/>
          <w:sz w:val="26"/>
          <w:szCs w:val="26"/>
        </w:rPr>
        <w:t xml:space="preserve">; снижение конкурентоспособности области </w:t>
      </w:r>
      <w:r w:rsidR="006B35B8">
        <w:rPr>
          <w:rFonts w:ascii="Times New Roman" w:hAnsi="Times New Roman"/>
          <w:color w:val="auto"/>
          <w:sz w:val="26"/>
          <w:szCs w:val="26"/>
        </w:rPr>
        <w:br/>
      </w:r>
      <w:r w:rsidRPr="006B35B8">
        <w:rPr>
          <w:rFonts w:ascii="Times New Roman" w:hAnsi="Times New Roman"/>
          <w:color w:val="auto"/>
          <w:sz w:val="26"/>
          <w:szCs w:val="26"/>
        </w:rPr>
        <w:t xml:space="preserve">в борьбе за лучшие трудовые ресурсы; дефицит квалифицированных кадров, необходимых для разработки передовых технологий в рамках приоритетных направлений развития; отток молодежи и молодых профессиональных кадров </w:t>
      </w:r>
      <w:r w:rsidR="006B35B8">
        <w:rPr>
          <w:rFonts w:ascii="Times New Roman" w:hAnsi="Times New Roman"/>
          <w:color w:val="auto"/>
          <w:sz w:val="26"/>
          <w:szCs w:val="26"/>
        </w:rPr>
        <w:br/>
      </w:r>
      <w:r w:rsidRPr="006B35B8">
        <w:rPr>
          <w:rFonts w:ascii="Times New Roman" w:hAnsi="Times New Roman"/>
          <w:color w:val="auto"/>
          <w:sz w:val="26"/>
          <w:szCs w:val="26"/>
        </w:rPr>
        <w:lastRenderedPageBreak/>
        <w:t xml:space="preserve">в другие страны и регионы при общем риске деформации системы ценностей </w:t>
      </w:r>
      <w:r w:rsidR="006B35B8">
        <w:rPr>
          <w:rFonts w:ascii="Times New Roman" w:hAnsi="Times New Roman"/>
          <w:color w:val="auto"/>
          <w:sz w:val="26"/>
          <w:szCs w:val="26"/>
        </w:rPr>
        <w:br/>
      </w:r>
      <w:r w:rsidRPr="006B35B8">
        <w:rPr>
          <w:rFonts w:ascii="Times New Roman" w:hAnsi="Times New Roman"/>
          <w:color w:val="auto"/>
          <w:sz w:val="26"/>
          <w:szCs w:val="26"/>
        </w:rPr>
        <w:t>и снижения уровня образованности молодежи; кризис института семьи.</w:t>
      </w:r>
    </w:p>
    <w:p w:rsidR="00E618FE" w:rsidRPr="006B35B8" w:rsidRDefault="00800098">
      <w:pPr>
        <w:pStyle w:val="a4"/>
        <w:rPr>
          <w:rFonts w:ascii="Times New Roman" w:hAnsi="Times New Roman"/>
          <w:b/>
          <w:bCs/>
          <w:color w:val="auto"/>
          <w:sz w:val="26"/>
          <w:szCs w:val="26"/>
        </w:rPr>
      </w:pPr>
      <w:r w:rsidRPr="006B35B8">
        <w:rPr>
          <w:rFonts w:ascii="Times New Roman" w:hAnsi="Times New Roman"/>
          <w:sz w:val="26"/>
          <w:szCs w:val="26"/>
        </w:rPr>
        <w:t xml:space="preserve">— </w:t>
      </w:r>
      <w:r w:rsidRPr="006B35B8">
        <w:rPr>
          <w:rFonts w:ascii="Times New Roman" w:hAnsi="Times New Roman"/>
          <w:b/>
          <w:bCs/>
          <w:color w:val="auto"/>
          <w:sz w:val="26"/>
          <w:szCs w:val="26"/>
        </w:rPr>
        <w:t xml:space="preserve">Социальные: </w:t>
      </w:r>
      <w:r w:rsidRPr="006B35B8">
        <w:rPr>
          <w:rFonts w:ascii="Times New Roman" w:hAnsi="Times New Roman"/>
          <w:color w:val="auto"/>
          <w:sz w:val="26"/>
          <w:szCs w:val="26"/>
        </w:rPr>
        <w:t xml:space="preserve">несформированность среди населения понимания сути </w:t>
      </w:r>
      <w:r w:rsidR="006B35B8">
        <w:rPr>
          <w:rFonts w:ascii="Times New Roman" w:hAnsi="Times New Roman"/>
          <w:color w:val="auto"/>
          <w:sz w:val="26"/>
          <w:szCs w:val="26"/>
        </w:rPr>
        <w:br/>
      </w:r>
      <w:r w:rsidRPr="006B35B8">
        <w:rPr>
          <w:rFonts w:ascii="Times New Roman" w:hAnsi="Times New Roman"/>
          <w:color w:val="auto"/>
          <w:sz w:val="26"/>
          <w:szCs w:val="26"/>
        </w:rPr>
        <w:t xml:space="preserve">и масштаба стоящих перед областью и страной вызовов, возможности </w:t>
      </w:r>
      <w:r w:rsidR="006B35B8">
        <w:rPr>
          <w:rFonts w:ascii="Times New Roman" w:hAnsi="Times New Roman"/>
          <w:color w:val="auto"/>
          <w:sz w:val="26"/>
          <w:szCs w:val="26"/>
        </w:rPr>
        <w:br/>
      </w:r>
      <w:r w:rsidRPr="006B35B8">
        <w:rPr>
          <w:rFonts w:ascii="Times New Roman" w:hAnsi="Times New Roman"/>
          <w:color w:val="auto"/>
          <w:sz w:val="26"/>
          <w:szCs w:val="26"/>
        </w:rPr>
        <w:t>и необходимости консолидированного ответа на них; вероятность роста социальной, межнациональной и межрелигиозной напряженности.</w:t>
      </w:r>
    </w:p>
    <w:p w:rsidR="00E618FE" w:rsidRPr="006B35B8" w:rsidRDefault="00800098">
      <w:pPr>
        <w:pStyle w:val="a4"/>
        <w:rPr>
          <w:rFonts w:ascii="Times New Roman" w:hAnsi="Times New Roman"/>
          <w:color w:val="auto"/>
          <w:sz w:val="26"/>
          <w:szCs w:val="26"/>
        </w:rPr>
      </w:pPr>
      <w:r w:rsidRPr="006B35B8">
        <w:rPr>
          <w:rFonts w:ascii="Times New Roman" w:hAnsi="Times New Roman"/>
          <w:sz w:val="26"/>
          <w:szCs w:val="26"/>
        </w:rPr>
        <w:t xml:space="preserve">— </w:t>
      </w:r>
      <w:r w:rsidRPr="006B35B8">
        <w:rPr>
          <w:rFonts w:ascii="Times New Roman" w:hAnsi="Times New Roman"/>
          <w:b/>
          <w:bCs/>
          <w:color w:val="auto"/>
          <w:sz w:val="26"/>
          <w:szCs w:val="26"/>
        </w:rPr>
        <w:t>Экологические</w:t>
      </w:r>
      <w:r w:rsidRPr="006B35B8">
        <w:rPr>
          <w:rFonts w:ascii="Times New Roman" w:hAnsi="Times New Roman"/>
          <w:color w:val="auto"/>
          <w:sz w:val="26"/>
          <w:szCs w:val="26"/>
        </w:rPr>
        <w:t xml:space="preserve">: климатические изменения и дальнейший рост антропогенной нагрузки, способствующие увеличению числа природных </w:t>
      </w:r>
      <w:r w:rsidR="006B35B8">
        <w:rPr>
          <w:rFonts w:ascii="Times New Roman" w:hAnsi="Times New Roman"/>
          <w:color w:val="auto"/>
          <w:sz w:val="26"/>
          <w:szCs w:val="26"/>
        </w:rPr>
        <w:br/>
      </w:r>
      <w:r w:rsidRPr="006B35B8">
        <w:rPr>
          <w:rFonts w:ascii="Times New Roman" w:hAnsi="Times New Roman"/>
          <w:color w:val="auto"/>
          <w:sz w:val="26"/>
          <w:szCs w:val="26"/>
        </w:rPr>
        <w:t xml:space="preserve">и техногенных катастроф; деградация биоразнообразия экосистем и почв; учащение природных катастроф; ухудшение экологической обстановки </w:t>
      </w:r>
      <w:bookmarkEnd w:id="60"/>
      <w:r w:rsidRPr="006B35B8">
        <w:rPr>
          <w:rFonts w:ascii="Times New Roman" w:hAnsi="Times New Roman"/>
          <w:color w:val="auto"/>
          <w:sz w:val="26"/>
          <w:szCs w:val="26"/>
        </w:rPr>
        <w:t xml:space="preserve">снижение привлекательности Томской области для проживания и ведения хозяйственной деятельности. </w:t>
      </w:r>
    </w:p>
    <w:p w:rsidR="00E618FE" w:rsidRPr="00535A4B" w:rsidRDefault="00E618FE">
      <w:pPr>
        <w:pStyle w:val="a4"/>
        <w:rPr>
          <w:rFonts w:ascii="Times New Roman" w:hAnsi="Times New Roman"/>
          <w:color w:val="auto"/>
        </w:rPr>
      </w:pPr>
    </w:p>
    <w:p w:rsidR="00E618FE" w:rsidRPr="00535A4B" w:rsidRDefault="00800098">
      <w:pPr>
        <w:pStyle w:val="10"/>
        <w:rPr>
          <w:rFonts w:ascii="Times New Roman" w:eastAsia="PT Astra Serif" w:hAnsi="Times New Roman" w:cs="Times New Roman"/>
          <w:lang w:val="ru-RU"/>
        </w:rPr>
      </w:pPr>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61" w:name="_Toc235810138"/>
      <w:bookmarkStart w:id="62" w:name="_Toc238554526"/>
      <w:bookmarkStart w:id="63" w:name="_Hlk231182374"/>
      <w:r w:rsidRPr="00535A4B">
        <w:rPr>
          <w:rFonts w:ascii="Times New Roman" w:eastAsia="PT Astra Serif" w:hAnsi="Times New Roman" w:cs="Times New Roman"/>
          <w:lang w:val="ru-RU"/>
        </w:rPr>
        <w:lastRenderedPageBreak/>
        <w:t>6. Анализ критически важных внешних и внутренних событий, задающих «сценарные рамки» на период до 2036 года</w:t>
      </w:r>
      <w:bookmarkEnd w:id="61"/>
      <w:bookmarkEnd w:id="62"/>
    </w:p>
    <w:p w:rsidR="00E618FE" w:rsidRPr="00535A4B" w:rsidRDefault="00E618FE">
      <w:pPr>
        <w:pStyle w:val="a4"/>
        <w:rPr>
          <w:rFonts w:ascii="Times New Roman" w:hAnsi="Times New Roman"/>
          <w:color w:val="auto"/>
          <w:lang w:bidi="en-US"/>
        </w:rPr>
      </w:pPr>
      <w:bookmarkStart w:id="64" w:name="Xc3bc1963d85c7835de7d8266ada43458ddc7dde"/>
      <w:bookmarkStart w:id="65" w:name="сводная-характеристика-сценариев"/>
    </w:p>
    <w:p w:rsidR="00E618FE" w:rsidRPr="006B35B8" w:rsidRDefault="00800098">
      <w:pPr>
        <w:pStyle w:val="a4"/>
        <w:rPr>
          <w:rFonts w:ascii="Times New Roman" w:hAnsi="Times New Roman"/>
          <w:color w:val="auto"/>
          <w:sz w:val="26"/>
          <w:szCs w:val="26"/>
        </w:rPr>
      </w:pPr>
      <w:bookmarkStart w:id="66" w:name="X09a9ebafb5ed05f8b3957583a44b3fa2f18c5dd"/>
      <w:r w:rsidRPr="006B35B8">
        <w:rPr>
          <w:rFonts w:ascii="Times New Roman" w:hAnsi="Times New Roman"/>
          <w:color w:val="auto"/>
          <w:sz w:val="26"/>
          <w:szCs w:val="26"/>
        </w:rPr>
        <w:t>Перечень критически важных событий составлен на основе данных федеральных органов власти, международных организаций, научных институтов (Сибирское отделение Российской академии наук, Национальный исследовательский Томский государственный университет), стратегических документов. Анализ охватывает период 2026 – 2036 годов с выделением ключевых промежуточ</w:t>
      </w:r>
      <w:r w:rsidR="006B35B8">
        <w:rPr>
          <w:rFonts w:ascii="Times New Roman" w:hAnsi="Times New Roman"/>
          <w:color w:val="auto"/>
          <w:sz w:val="26"/>
          <w:szCs w:val="26"/>
        </w:rPr>
        <w:t>ных периодов: 2026 – 2028 годы –</w:t>
      </w:r>
      <w:r w:rsidRPr="006B35B8">
        <w:rPr>
          <w:rFonts w:ascii="Times New Roman" w:hAnsi="Times New Roman"/>
          <w:color w:val="auto"/>
          <w:sz w:val="26"/>
          <w:szCs w:val="26"/>
        </w:rPr>
        <w:t xml:space="preserve"> период электоральных циклов и адаптации к новым </w:t>
      </w:r>
      <w:r w:rsidR="006B35B8">
        <w:rPr>
          <w:rFonts w:ascii="Times New Roman" w:hAnsi="Times New Roman"/>
          <w:color w:val="auto"/>
          <w:sz w:val="26"/>
          <w:szCs w:val="26"/>
        </w:rPr>
        <w:t>геополитическим условиям; 2025 – 2035 годы –</w:t>
      </w:r>
      <w:r w:rsidRPr="006B35B8">
        <w:rPr>
          <w:rFonts w:ascii="Times New Roman" w:hAnsi="Times New Roman"/>
          <w:color w:val="auto"/>
          <w:sz w:val="26"/>
          <w:szCs w:val="26"/>
        </w:rPr>
        <w:t xml:space="preserve"> период реализации особо значимых проектов (БРЕСТ-ОД-300, «Элеонор» и других) </w:t>
      </w:r>
      <w:r w:rsidR="006B35B8">
        <w:rPr>
          <w:rFonts w:ascii="Times New Roman" w:hAnsi="Times New Roman"/>
          <w:color w:val="auto"/>
          <w:sz w:val="26"/>
          <w:szCs w:val="26"/>
        </w:rPr>
        <w:br/>
      </w:r>
      <w:r w:rsidRPr="006B35B8">
        <w:rPr>
          <w:rFonts w:ascii="Times New Roman" w:hAnsi="Times New Roman"/>
          <w:color w:val="auto"/>
          <w:sz w:val="26"/>
          <w:szCs w:val="26"/>
        </w:rPr>
        <w:t xml:space="preserve">и технологической трансформации; </w:t>
      </w:r>
      <w:r w:rsidR="006B35B8">
        <w:rPr>
          <w:rFonts w:ascii="Times New Roman" w:hAnsi="Times New Roman"/>
          <w:color w:val="auto"/>
          <w:sz w:val="26"/>
          <w:szCs w:val="26"/>
        </w:rPr>
        <w:t>2035 – 2036 годы –</w:t>
      </w:r>
      <w:r w:rsidRPr="006B35B8">
        <w:rPr>
          <w:rFonts w:ascii="Times New Roman" w:hAnsi="Times New Roman"/>
          <w:color w:val="auto"/>
          <w:sz w:val="26"/>
          <w:szCs w:val="26"/>
        </w:rPr>
        <w:t xml:space="preserve"> период достижения целевых показателей и завершения формирования новых экономических связей в Евразийском экономическом союзе (ЕАЭС). Критически важные события затрагивают внутриполитическую и внешнеполитическую сферы, экономические, социальные, технологические, природные тренды перспективного развития.</w:t>
      </w:r>
      <w:bookmarkEnd w:id="66"/>
    </w:p>
    <w:p w:rsidR="00E618FE" w:rsidRPr="006B35B8" w:rsidRDefault="00800098">
      <w:pPr>
        <w:pStyle w:val="a4"/>
        <w:rPr>
          <w:rFonts w:ascii="Times New Roman" w:hAnsi="Times New Roman"/>
          <w:color w:val="auto"/>
          <w:sz w:val="26"/>
          <w:szCs w:val="26"/>
        </w:rPr>
      </w:pPr>
      <w:r w:rsidRPr="006B35B8">
        <w:rPr>
          <w:rFonts w:ascii="Times New Roman" w:hAnsi="Times New Roman"/>
          <w:b/>
          <w:bCs/>
          <w:color w:val="auto"/>
          <w:sz w:val="26"/>
          <w:szCs w:val="26"/>
        </w:rPr>
        <w:t xml:space="preserve">Внутриполитические события и электоральные циклы Российской Федерации. </w:t>
      </w:r>
      <w:r w:rsidRPr="006B35B8">
        <w:rPr>
          <w:rFonts w:ascii="Times New Roman" w:hAnsi="Times New Roman"/>
          <w:color w:val="auto"/>
          <w:sz w:val="26"/>
          <w:szCs w:val="26"/>
        </w:rPr>
        <w:t xml:space="preserve">Период 2026 – 2036 годов характеризуется высокой плотностью электоральных событий, которые формируют политический контекст </w:t>
      </w:r>
      <w:r w:rsidRPr="006B35B8">
        <w:rPr>
          <w:rFonts w:ascii="Times New Roman" w:hAnsi="Times New Roman"/>
          <w:color w:val="auto"/>
          <w:sz w:val="26"/>
          <w:szCs w:val="26"/>
        </w:rPr>
        <w:br/>
        <w:t>для реализации Стратегии социально-экономического развития Томской области. Ключевыми вехами являются выборы в Государственную Думу Федерального Собрания Российской Федерации (2026 г., 2031 г.), выборы в Законодательную Думу Томской области (2026 г., 2031 г.) и выборы Губернатора Томской области (2027 г., 2032 г.).</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Анализ показывает, что сохранение большинства у партии «Единая Россия» на федеральном и региональном уровнях обеспечит преемственность курса </w:t>
      </w:r>
      <w:r w:rsidR="006B35B8">
        <w:rPr>
          <w:rFonts w:ascii="Times New Roman" w:hAnsi="Times New Roman"/>
          <w:color w:val="auto"/>
          <w:sz w:val="26"/>
          <w:szCs w:val="26"/>
        </w:rPr>
        <w:br/>
      </w:r>
      <w:r w:rsidRPr="006B35B8">
        <w:rPr>
          <w:rFonts w:ascii="Times New Roman" w:hAnsi="Times New Roman"/>
          <w:color w:val="auto"/>
          <w:sz w:val="26"/>
          <w:szCs w:val="26"/>
        </w:rPr>
        <w:t xml:space="preserve">и исключит радикальные изменения в государственной политике. </w:t>
      </w:r>
      <w:r w:rsidRPr="006B35B8">
        <w:rPr>
          <w:rFonts w:ascii="Times New Roman" w:hAnsi="Times New Roman"/>
          <w:color w:val="auto"/>
          <w:sz w:val="26"/>
          <w:szCs w:val="26"/>
        </w:rPr>
        <w:br/>
        <w:t xml:space="preserve">Это критически важно для стабильности инвестиционной повестки региона, поскольку долгосрочные проекты, такие как строительство реактора </w:t>
      </w:r>
      <w:r w:rsidR="006B35B8">
        <w:rPr>
          <w:rFonts w:ascii="Times New Roman" w:hAnsi="Times New Roman"/>
          <w:color w:val="auto"/>
          <w:sz w:val="26"/>
          <w:szCs w:val="26"/>
        </w:rPr>
        <w:br/>
      </w:r>
      <w:r w:rsidRPr="006B35B8">
        <w:rPr>
          <w:rFonts w:ascii="Times New Roman" w:hAnsi="Times New Roman"/>
          <w:color w:val="auto"/>
          <w:sz w:val="26"/>
          <w:szCs w:val="26"/>
        </w:rPr>
        <w:t xml:space="preserve">БРЕСТ-ОД-300, ТОР «Северск» или созданием современного межвузовского кампуса в г. Томске требуют предсказуемых условий и поддержки </w:t>
      </w:r>
      <w:r w:rsidRPr="006B35B8">
        <w:rPr>
          <w:rFonts w:ascii="Times New Roman" w:hAnsi="Times New Roman"/>
          <w:color w:val="auto"/>
          <w:sz w:val="26"/>
          <w:szCs w:val="26"/>
        </w:rPr>
        <w:br/>
        <w:t xml:space="preserve">на федеральном уровне.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Выборы Президента Российской Федерации в марте 2030 года станут определяющим фактором для федеральной повестки. Независимо от сценария (сохранение действующего руководства или смена) высокие рейтинги и поддержка «Единой России» гарантируют сохранение приоритетов, заложенных в Указе № 309. Это снижает политические риски для долгосрочных инфраструктурных вложений </w:t>
      </w:r>
      <w:r w:rsidR="00840DA3">
        <w:rPr>
          <w:rFonts w:ascii="Times New Roman" w:hAnsi="Times New Roman"/>
          <w:color w:val="auto"/>
          <w:sz w:val="26"/>
          <w:szCs w:val="26"/>
        </w:rPr>
        <w:br/>
      </w:r>
      <w:r w:rsidRPr="006B35B8">
        <w:rPr>
          <w:rFonts w:ascii="Times New Roman" w:hAnsi="Times New Roman"/>
          <w:color w:val="auto"/>
          <w:sz w:val="26"/>
          <w:szCs w:val="26"/>
        </w:rPr>
        <w:t>и позволяет региону рассчитывать на стабильное финансирование национальных проектов.</w:t>
      </w:r>
    </w:p>
    <w:p w:rsidR="00E618FE" w:rsidRPr="006B35B8" w:rsidRDefault="00800098">
      <w:pPr>
        <w:pStyle w:val="a4"/>
        <w:rPr>
          <w:rFonts w:ascii="Times New Roman" w:hAnsi="Times New Roman"/>
          <w:color w:val="auto"/>
          <w:sz w:val="26"/>
          <w:szCs w:val="26"/>
        </w:rPr>
      </w:pPr>
      <w:bookmarkStart w:id="67" w:name="_Hlk229668493"/>
      <w:bookmarkStart w:id="68" w:name="Xec7d094b92bc05c5f29b6c169b26707362ce184"/>
      <w:r w:rsidRPr="006B35B8">
        <w:rPr>
          <w:rFonts w:ascii="Times New Roman" w:hAnsi="Times New Roman"/>
          <w:b/>
          <w:bCs/>
          <w:color w:val="auto"/>
          <w:sz w:val="26"/>
          <w:szCs w:val="26"/>
        </w:rPr>
        <w:t xml:space="preserve">Внешнеполитические события и геополитическая трансформация. </w:t>
      </w:r>
      <w:bookmarkEnd w:id="67"/>
      <w:r w:rsidRPr="006B35B8">
        <w:rPr>
          <w:rFonts w:ascii="Times New Roman" w:hAnsi="Times New Roman"/>
          <w:color w:val="auto"/>
          <w:sz w:val="26"/>
          <w:szCs w:val="26"/>
        </w:rPr>
        <w:t xml:space="preserve">Геополитическая обстановка в период до 2036 года останется ключевым фактором неопределенности. Продолжение СВО и санкционное давление будут ограничивать доступ к западным технологиям, что вынуждает Томскую область ускорять импортозамещение в топливно-энергетическом комплексе (ТЭК) и развивать собственные научно-образовательные платформы. Санкции, введенные против России, создают угрозу разрывов в цепочках поставок для обрабатывающей </w:t>
      </w:r>
      <w:r w:rsidRPr="006B35B8">
        <w:rPr>
          <w:rFonts w:ascii="Times New Roman" w:hAnsi="Times New Roman"/>
          <w:color w:val="auto"/>
          <w:sz w:val="26"/>
          <w:szCs w:val="26"/>
        </w:rPr>
        <w:lastRenderedPageBreak/>
        <w:t>промышленности и удорожания себестоимости производства, особенно в сфере микроэлектроники и приборостроения.</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Внешнеполитические события, такие как выборы в США (2028, 2032 годы), выборы в ФРГ (2026, 2029 годы) и выборы в КНР (2028, 2033 годы), будут определять жесткость санкционного давления и доступность технологий. Изменения в политике США и ЕС могут влиять на темпы модернизации промышленности Томской области. В то же время выборы</w:t>
      </w:r>
      <w:r w:rsidR="00840DA3">
        <w:rPr>
          <w:rFonts w:ascii="Times New Roman" w:hAnsi="Times New Roman"/>
          <w:color w:val="auto"/>
          <w:sz w:val="26"/>
          <w:szCs w:val="26"/>
        </w:rPr>
        <w:t xml:space="preserve"> </w:t>
      </w:r>
      <w:r w:rsidRPr="006B35B8">
        <w:rPr>
          <w:rFonts w:ascii="Times New Roman" w:hAnsi="Times New Roman"/>
          <w:color w:val="auto"/>
          <w:sz w:val="26"/>
          <w:szCs w:val="26"/>
        </w:rPr>
        <w:t>в странах СНГ и ЕАЭС (Казахстан, Беларусь, Узбекистан, Армения, Киргизия) будут способствовать укреплению региональной интеграции.</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Ключевым трендом является смещение экспортных потоков Томской области на рынки Китая, Индии и стран «Глобального Юга». Потеря доступа к рынкам ЕС, США и Японии требует переориентации на новые рынки, где продукция часто реализуется со скидками, что снижает выручку экспортеров. Однако развитие новых систем международных расчетов и рост значения региональных валют позволят минимизировать валютные риски.</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Интеграция в рамках ЕАЭС к 2036 году, включая формирование общих рынков газа и нефти и реализацию «четырех свобод», создаст новые возможности. Это упростит логистику и позволит Томской области интегрироваться в единое экономическое пространство без торговых барьеров, усиливая экономические связи с Казахстаном, Беларусью и Узбекистаном. Лесоперерабатывающая, пищевая </w:t>
      </w:r>
      <w:r w:rsidR="00840DA3">
        <w:rPr>
          <w:rFonts w:ascii="Times New Roman" w:hAnsi="Times New Roman"/>
          <w:color w:val="auto"/>
          <w:sz w:val="26"/>
          <w:szCs w:val="26"/>
        </w:rPr>
        <w:br/>
      </w:r>
      <w:r w:rsidRPr="006B35B8">
        <w:rPr>
          <w:rFonts w:ascii="Times New Roman" w:hAnsi="Times New Roman"/>
          <w:color w:val="auto"/>
          <w:sz w:val="26"/>
          <w:szCs w:val="26"/>
        </w:rPr>
        <w:t>и химическая отрасли региона получат доступ к новым рынкам сбыта.</w:t>
      </w:r>
    </w:p>
    <w:p w:rsidR="00E618FE" w:rsidRPr="006B35B8" w:rsidRDefault="00800098">
      <w:pPr>
        <w:pStyle w:val="a4"/>
        <w:rPr>
          <w:rFonts w:ascii="Times New Roman" w:hAnsi="Times New Roman"/>
          <w:color w:val="auto"/>
          <w:sz w:val="26"/>
          <w:szCs w:val="26"/>
        </w:rPr>
      </w:pPr>
      <w:bookmarkStart w:id="69" w:name="X924f5f7a9008f8bbbd56758873584340d6c9065"/>
      <w:bookmarkEnd w:id="68"/>
      <w:r w:rsidRPr="006B35B8">
        <w:rPr>
          <w:rFonts w:ascii="Times New Roman" w:hAnsi="Times New Roman"/>
          <w:b/>
          <w:bCs/>
          <w:color w:val="auto"/>
          <w:sz w:val="26"/>
          <w:szCs w:val="26"/>
        </w:rPr>
        <w:t>Экономические тренды (сырьевые и несырьевые рынки, декарбонизация, ИИ-инвестиции, ЕАЭС)</w:t>
      </w:r>
      <w:r w:rsidRPr="006B35B8">
        <w:rPr>
          <w:rFonts w:ascii="Times New Roman" w:hAnsi="Times New Roman"/>
          <w:color w:val="auto"/>
          <w:sz w:val="26"/>
          <w:szCs w:val="26"/>
        </w:rPr>
        <w:t xml:space="preserve">. Экономическая структура Томской области в период до 2036 года будет находиться в процессе глубокой трансформации. В нефтегазовом секторе, дающем около 24% ВРП и 22% налоговых доходов, существует вероятность стагнации из-за истощения запасов, что создает риски бюджетной устойчивости. Вместе с тем в 2024 году в Парабельском районе открыто новое месторождение «Нежданный мыс» с извлекаемыми запасами более 30 млн тонн углеводородов. Для поддержания уровня нефтедобычи принципиально важными являются геологоразведка и вопрос льгот в рамках добычи трудноизвлекаемых полезных ископаемых, повышающих экономическую целесообразность их освоения.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Глобальный энергопереход и декарбонизация стран ЕС и США создают риски для традиционного экспорта сырья. В ответ регион планирует реструктуризацию сектора, развивая альтернативную энергетику и атомную энергетику (Северская АЭС), что к 2037 году сделает регион энергопрофицитным. Развитие биоэкономики становится альтернативой экспорту сырья, используя уникальный природный потенциал (лес, дикоросы, водные ресурсы).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Инвестиционный бум в сфере искусственного интеллекта </w:t>
      </w:r>
      <w:r w:rsidRPr="006B35B8">
        <w:rPr>
          <w:rFonts w:ascii="Times New Roman" w:hAnsi="Times New Roman"/>
          <w:color w:val="auto"/>
          <w:sz w:val="26"/>
          <w:szCs w:val="26"/>
        </w:rPr>
        <w:br/>
        <w:t xml:space="preserve">(2026 – 2036 годы) открывает возможности для Томской области, обладающей мощным человеческим капиталом (2-е место в Российской Федерации по числу студентов вузов на 10 тыс. человек) и более 20% ВРП, создаваемого </w:t>
      </w:r>
      <w:r w:rsidR="00840DA3">
        <w:rPr>
          <w:rFonts w:ascii="Times New Roman" w:hAnsi="Times New Roman"/>
          <w:color w:val="auto"/>
          <w:sz w:val="26"/>
          <w:szCs w:val="26"/>
        </w:rPr>
        <w:br/>
      </w:r>
      <w:r w:rsidRPr="006B35B8">
        <w:rPr>
          <w:rFonts w:ascii="Times New Roman" w:hAnsi="Times New Roman"/>
          <w:color w:val="auto"/>
          <w:sz w:val="26"/>
          <w:szCs w:val="26"/>
        </w:rPr>
        <w:t>в высокотехнологичных отраслях. Регион планирует усилить интеграцию ИТ и промышленности, развивая научно-производственные кластеры и экспортно-ориентированные ИТ-продукты.</w:t>
      </w:r>
    </w:p>
    <w:p w:rsidR="00E618FE" w:rsidRPr="006B35B8" w:rsidRDefault="00800098">
      <w:pPr>
        <w:pStyle w:val="a4"/>
        <w:rPr>
          <w:rFonts w:ascii="Times New Roman" w:hAnsi="Times New Roman"/>
          <w:color w:val="auto"/>
          <w:sz w:val="26"/>
          <w:szCs w:val="26"/>
        </w:rPr>
      </w:pPr>
      <w:bookmarkStart w:id="70" w:name="X221149f30883186ccca58a7ba119c3c82846fe8"/>
      <w:bookmarkEnd w:id="64"/>
      <w:bookmarkEnd w:id="65"/>
      <w:bookmarkEnd w:id="69"/>
      <w:r w:rsidRPr="006B35B8">
        <w:rPr>
          <w:rFonts w:ascii="Times New Roman" w:hAnsi="Times New Roman"/>
          <w:b/>
          <w:bCs/>
          <w:color w:val="auto"/>
          <w:sz w:val="26"/>
          <w:szCs w:val="26"/>
        </w:rPr>
        <w:t>Технологические тренды (ИИ, 6G, персонализированная медицина, микроэлектроника)</w:t>
      </w:r>
      <w:r w:rsidRPr="006B35B8">
        <w:rPr>
          <w:rFonts w:ascii="Times New Roman" w:hAnsi="Times New Roman"/>
          <w:color w:val="auto"/>
          <w:sz w:val="26"/>
          <w:szCs w:val="26"/>
        </w:rPr>
        <w:t xml:space="preserve">. Технологическое развитие Томской области в период до 2036 </w:t>
      </w:r>
      <w:r w:rsidRPr="006B35B8">
        <w:rPr>
          <w:rFonts w:ascii="Times New Roman" w:hAnsi="Times New Roman"/>
          <w:color w:val="auto"/>
          <w:sz w:val="26"/>
          <w:szCs w:val="26"/>
        </w:rPr>
        <w:lastRenderedPageBreak/>
        <w:t xml:space="preserve">года будет определяться курсом на технологический суверенитет </w:t>
      </w:r>
      <w:r w:rsidRPr="006B35B8">
        <w:rPr>
          <w:rFonts w:ascii="Times New Roman" w:hAnsi="Times New Roman"/>
          <w:color w:val="auto"/>
          <w:sz w:val="26"/>
          <w:szCs w:val="26"/>
        </w:rPr>
        <w:br/>
        <w:t xml:space="preserve">и цифровую трансформацию.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В промышленном секторе к 2036 году планируется создание научно-производственных кластеров, где ИИ будет интегрирован в процессы управления и производства, особенно в сферах приборостроения и ИТ-услуг. </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С периода 2030 – 2036 годов ожидается начало коммерческой эксплуатации новых низкоорбитальных систем связи, что позволит обеспечить стабильный широкополосный доступ (4G/5G) в северных и труднодоступных районах, снизив цифровое неравенство. Это критически важно для развития удаленных территорий и обеспечения их связанности с центром.</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В сфере </w:t>
      </w:r>
      <w:r w:rsidRPr="006B35B8">
        <w:rPr>
          <w:rFonts w:ascii="Times New Roman" w:hAnsi="Times New Roman"/>
          <w:color w:val="auto"/>
          <w:sz w:val="26"/>
          <w:szCs w:val="26"/>
          <w:shd w:val="clear" w:color="auto" w:fill="FFFFFF" w:themeFill="background1"/>
        </w:rPr>
        <w:t>здравоохранения Сибирский государственный медицинский университет и биофармакластер Томской области внедрят массовые технологии анализа генома и носимых биодатчиков, сместив фокус здравоохранения с лечени</w:t>
      </w:r>
      <w:r w:rsidRPr="006B35B8">
        <w:rPr>
          <w:rFonts w:ascii="Times New Roman" w:hAnsi="Times New Roman"/>
          <w:color w:val="auto"/>
          <w:sz w:val="26"/>
          <w:szCs w:val="26"/>
        </w:rPr>
        <w:t>я на профилактику и мониторинг здоровья на протяжении жизненного цикла.</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Развитие микроэлектроники и радиотехники является приоритетом </w:t>
      </w:r>
      <w:r w:rsidRPr="006B35B8">
        <w:rPr>
          <w:rFonts w:ascii="Times New Roman" w:hAnsi="Times New Roman"/>
          <w:color w:val="auto"/>
          <w:sz w:val="26"/>
          <w:szCs w:val="26"/>
        </w:rPr>
        <w:br/>
        <w:t xml:space="preserve">для обеспечения технологического суверенитета. К 2030 году регион нацелен на создание собственных оптических компонентов и критически важного оборудования для ТЭК, а также развитие твердотельной СВЧ-электроники </w:t>
      </w:r>
      <w:r w:rsidRPr="006B35B8">
        <w:rPr>
          <w:rFonts w:ascii="Times New Roman" w:hAnsi="Times New Roman"/>
          <w:color w:val="auto"/>
          <w:sz w:val="26"/>
          <w:szCs w:val="26"/>
        </w:rPr>
        <w:br/>
        <w:t>и беспилотных систем.</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Приоритетным направлением станет разработка новых материалов (в том числе редкоземельных металлов) и создание реактора БРЕСТ-ОД-300, что позволит Томской области стать центром атомной энергетики и переработки сырья.</w:t>
      </w:r>
    </w:p>
    <w:p w:rsidR="00E618FE" w:rsidRPr="006B35B8" w:rsidRDefault="00800098">
      <w:pPr>
        <w:pStyle w:val="a4"/>
        <w:rPr>
          <w:rFonts w:ascii="Times New Roman" w:hAnsi="Times New Roman"/>
          <w:color w:val="auto"/>
          <w:sz w:val="26"/>
          <w:szCs w:val="26"/>
        </w:rPr>
      </w:pPr>
      <w:bookmarkStart w:id="71" w:name="Xb2430a09f3c879d8fa63ddf7fb0ad41d577894c"/>
      <w:bookmarkEnd w:id="70"/>
      <w:r w:rsidRPr="006B35B8">
        <w:rPr>
          <w:rFonts w:ascii="Times New Roman" w:hAnsi="Times New Roman"/>
          <w:b/>
          <w:bCs/>
          <w:color w:val="auto"/>
          <w:sz w:val="26"/>
          <w:szCs w:val="26"/>
        </w:rPr>
        <w:t>Природные тренды и климатические сценарии</w:t>
      </w:r>
      <w:r w:rsidRPr="006B35B8">
        <w:rPr>
          <w:rFonts w:ascii="Times New Roman" w:hAnsi="Times New Roman"/>
          <w:color w:val="auto"/>
          <w:sz w:val="26"/>
          <w:szCs w:val="26"/>
        </w:rPr>
        <w:t xml:space="preserve">. Изменение климата является одним из наиболее критических вызовов для Томской области. Ожидается опережающий рост температур и количества летних и зимних осадков, увеличивая риски паводков. Риски высокой опасности (экстремальные осадки, низкие температуры) требуют усиления мониторинга, а риски среднего уровня (лесные пожары) </w:t>
      </w:r>
      <w:r w:rsidR="00840DA3">
        <w:rPr>
          <w:rFonts w:ascii="Times New Roman" w:hAnsi="Times New Roman"/>
          <w:color w:val="auto"/>
          <w:sz w:val="26"/>
          <w:szCs w:val="26"/>
        </w:rPr>
        <w:t>–</w:t>
      </w:r>
      <w:r w:rsidRPr="006B35B8">
        <w:rPr>
          <w:rFonts w:ascii="Times New Roman" w:hAnsi="Times New Roman"/>
          <w:color w:val="auto"/>
          <w:sz w:val="26"/>
          <w:szCs w:val="26"/>
        </w:rPr>
        <w:t xml:space="preserve"> модернизации лесопожарной службы.</w:t>
      </w:r>
    </w:p>
    <w:p w:rsidR="00E618FE" w:rsidRPr="006B35B8" w:rsidRDefault="00800098">
      <w:pPr>
        <w:pStyle w:val="a4"/>
        <w:rPr>
          <w:rFonts w:ascii="Times New Roman" w:hAnsi="Times New Roman"/>
          <w:color w:val="auto"/>
          <w:sz w:val="26"/>
          <w:szCs w:val="26"/>
        </w:rPr>
      </w:pPr>
      <w:bookmarkStart w:id="72" w:name="X0a2536d1c5a3e05c124e04cf5e2b144a14ffbca"/>
      <w:bookmarkEnd w:id="71"/>
      <w:r w:rsidRPr="006B35B8">
        <w:rPr>
          <w:rFonts w:ascii="Times New Roman" w:hAnsi="Times New Roman"/>
          <w:color w:val="auto"/>
          <w:sz w:val="26"/>
          <w:szCs w:val="26"/>
        </w:rPr>
        <w:t xml:space="preserve">Риски эпидемий и эпизоотий создают системные вызовы </w:t>
      </w:r>
      <w:r w:rsidRPr="006B35B8">
        <w:rPr>
          <w:rFonts w:ascii="Times New Roman" w:hAnsi="Times New Roman"/>
          <w:color w:val="auto"/>
          <w:sz w:val="26"/>
          <w:szCs w:val="26"/>
        </w:rPr>
        <w:br/>
        <w:t>для здравоохранения, агропромышленного комплекса и туризма. Эпидемии способны резко повысить заболеваемость и смертность, снизить экономическую активность населения области, обусловливая повышенную нагрузку на систему здравоохранения и социального обеспечения. Эпизоотии способны повлечь значительное сокращение поголовья ск</w:t>
      </w:r>
      <w:r w:rsidR="00840DA3">
        <w:rPr>
          <w:rFonts w:ascii="Times New Roman" w:hAnsi="Times New Roman"/>
          <w:color w:val="auto"/>
          <w:sz w:val="26"/>
          <w:szCs w:val="26"/>
        </w:rPr>
        <w:t xml:space="preserve">ота. </w:t>
      </w:r>
      <w:r w:rsidRPr="006B35B8">
        <w:rPr>
          <w:rFonts w:ascii="Times New Roman" w:hAnsi="Times New Roman"/>
          <w:color w:val="auto"/>
          <w:sz w:val="26"/>
          <w:szCs w:val="26"/>
        </w:rPr>
        <w:t>Сокращение производства продукции агропромышленного комплекса способно привести к кризису в обеспечении продуктами питания собственного производства населения области. Эпидемиологическая и эпизоотическая безопасность становятся приоритетом для сохранения социально-экономической и бюджетной устойчивости в условиях неопределенности.</w:t>
      </w:r>
    </w:p>
    <w:p w:rsidR="00E618FE" w:rsidRPr="006B35B8" w:rsidRDefault="00800098">
      <w:pPr>
        <w:pStyle w:val="a4"/>
        <w:rPr>
          <w:rFonts w:ascii="Times New Roman" w:hAnsi="Times New Roman"/>
          <w:color w:val="auto"/>
          <w:sz w:val="26"/>
          <w:szCs w:val="26"/>
        </w:rPr>
      </w:pPr>
      <w:r w:rsidRPr="006B35B8">
        <w:rPr>
          <w:rFonts w:ascii="Times New Roman" w:hAnsi="Times New Roman"/>
          <w:b/>
          <w:bCs/>
          <w:color w:val="auto"/>
          <w:sz w:val="26"/>
          <w:szCs w:val="26"/>
        </w:rPr>
        <w:t>Демографические тренды (поколение</w:t>
      </w:r>
      <w:r w:rsidR="00840DA3">
        <w:rPr>
          <w:rFonts w:ascii="Times New Roman" w:hAnsi="Times New Roman"/>
          <w:b/>
          <w:bCs/>
          <w:color w:val="auto"/>
          <w:sz w:val="26"/>
          <w:szCs w:val="26"/>
        </w:rPr>
        <w:t>,</w:t>
      </w:r>
      <w:r w:rsidRPr="006B35B8">
        <w:rPr>
          <w:rFonts w:ascii="Times New Roman" w:hAnsi="Times New Roman"/>
          <w:b/>
          <w:bCs/>
          <w:color w:val="auto"/>
          <w:sz w:val="26"/>
          <w:szCs w:val="26"/>
        </w:rPr>
        <w:t xml:space="preserve"> рожд</w:t>
      </w:r>
      <w:r w:rsidR="00840DA3">
        <w:rPr>
          <w:rFonts w:ascii="Times New Roman" w:hAnsi="Times New Roman"/>
          <w:b/>
          <w:bCs/>
          <w:color w:val="auto"/>
          <w:sz w:val="26"/>
          <w:szCs w:val="26"/>
        </w:rPr>
        <w:t xml:space="preserve">енное в 2010-х годах, миграция </w:t>
      </w:r>
      <w:r w:rsidRPr="006B35B8">
        <w:rPr>
          <w:rFonts w:ascii="Times New Roman" w:hAnsi="Times New Roman"/>
          <w:b/>
          <w:bCs/>
          <w:color w:val="auto"/>
          <w:sz w:val="26"/>
          <w:szCs w:val="26"/>
        </w:rPr>
        <w:t>из Центральной Азии)</w:t>
      </w:r>
      <w:r w:rsidRPr="006B35B8">
        <w:rPr>
          <w:rFonts w:ascii="Times New Roman" w:hAnsi="Times New Roman"/>
          <w:color w:val="auto"/>
          <w:sz w:val="26"/>
          <w:szCs w:val="26"/>
        </w:rPr>
        <w:t>. В 2030</w:t>
      </w:r>
      <w:r w:rsidR="00840DA3">
        <w:rPr>
          <w:rFonts w:ascii="Times New Roman" w:hAnsi="Times New Roman"/>
          <w:color w:val="auto"/>
          <w:sz w:val="26"/>
          <w:szCs w:val="26"/>
        </w:rPr>
        <w:t xml:space="preserve"> </w:t>
      </w:r>
      <w:r w:rsidRPr="006B35B8">
        <w:rPr>
          <w:rFonts w:ascii="Times New Roman" w:hAnsi="Times New Roman"/>
          <w:color w:val="auto"/>
          <w:sz w:val="26"/>
          <w:szCs w:val="26"/>
        </w:rPr>
        <w:t>–</w:t>
      </w:r>
      <w:r w:rsidR="00840DA3">
        <w:rPr>
          <w:rFonts w:ascii="Times New Roman" w:hAnsi="Times New Roman"/>
          <w:color w:val="auto"/>
          <w:sz w:val="26"/>
          <w:szCs w:val="26"/>
        </w:rPr>
        <w:t xml:space="preserve"> </w:t>
      </w:r>
      <w:r w:rsidRPr="006B35B8">
        <w:rPr>
          <w:rFonts w:ascii="Times New Roman" w:hAnsi="Times New Roman"/>
          <w:color w:val="auto"/>
          <w:sz w:val="26"/>
          <w:szCs w:val="26"/>
        </w:rPr>
        <w:t>2036 годах в активный репродуктивный возраст начнет входить поколение</w:t>
      </w:r>
      <w:r w:rsidR="00840DA3">
        <w:rPr>
          <w:rFonts w:ascii="Times New Roman" w:hAnsi="Times New Roman"/>
          <w:color w:val="auto"/>
          <w:sz w:val="26"/>
          <w:szCs w:val="26"/>
        </w:rPr>
        <w:t>,</w:t>
      </w:r>
      <w:r w:rsidRPr="006B35B8">
        <w:rPr>
          <w:rFonts w:ascii="Times New Roman" w:hAnsi="Times New Roman"/>
          <w:color w:val="auto"/>
          <w:sz w:val="26"/>
          <w:szCs w:val="26"/>
        </w:rPr>
        <w:t xml:space="preserve"> рожденное в 2010-х годах, что может привести </w:t>
      </w:r>
      <w:r w:rsidR="00840DA3">
        <w:rPr>
          <w:rFonts w:ascii="Times New Roman" w:hAnsi="Times New Roman"/>
          <w:color w:val="auto"/>
          <w:sz w:val="26"/>
          <w:szCs w:val="26"/>
        </w:rPr>
        <w:br/>
      </w:r>
      <w:r w:rsidRPr="006B35B8">
        <w:rPr>
          <w:rFonts w:ascii="Times New Roman" w:hAnsi="Times New Roman"/>
          <w:color w:val="auto"/>
          <w:sz w:val="26"/>
          <w:szCs w:val="26"/>
        </w:rPr>
        <w:t>к относительному подъему рождаемости. Однако для реализации этого потенциала необходимы системные меры по поддержке рождаемости и развитию социальной инфраструктуры.</w:t>
      </w:r>
    </w:p>
    <w:p w:rsidR="00E618FE" w:rsidRPr="006B35B8" w:rsidRDefault="00800098">
      <w:pPr>
        <w:pStyle w:val="a4"/>
        <w:rPr>
          <w:rFonts w:ascii="Times New Roman" w:hAnsi="Times New Roman"/>
          <w:color w:val="auto"/>
          <w:sz w:val="26"/>
          <w:szCs w:val="26"/>
        </w:rPr>
      </w:pPr>
      <w:r w:rsidRPr="006B35B8">
        <w:rPr>
          <w:rFonts w:ascii="Times New Roman" w:hAnsi="Times New Roman"/>
          <w:color w:val="auto"/>
          <w:sz w:val="26"/>
          <w:szCs w:val="26"/>
        </w:rPr>
        <w:t xml:space="preserve">Кадровый кризис и отток молодежи (особенно 25 – 29 лет) остаются критическими проблемами. Для удержания выпускников вузов необходимо </w:t>
      </w:r>
      <w:r w:rsidRPr="006B35B8">
        <w:rPr>
          <w:rFonts w:ascii="Times New Roman" w:hAnsi="Times New Roman"/>
          <w:color w:val="auto"/>
          <w:sz w:val="26"/>
          <w:szCs w:val="26"/>
        </w:rPr>
        <w:lastRenderedPageBreak/>
        <w:t>создание условий для жизни и самореализации, включая развитие городской среды и социальных сервисов.</w:t>
      </w:r>
      <w:bookmarkEnd w:id="63"/>
    </w:p>
    <w:p w:rsidR="00E618FE" w:rsidRPr="006B35B8" w:rsidRDefault="00E618FE">
      <w:pPr>
        <w:pStyle w:val="a4"/>
        <w:rPr>
          <w:rFonts w:ascii="Times New Roman" w:hAnsi="Times New Roman"/>
          <w:color w:val="auto"/>
          <w:sz w:val="26"/>
          <w:szCs w:val="26"/>
        </w:rPr>
      </w:pPr>
    </w:p>
    <w:p w:rsidR="00E618FE" w:rsidRPr="00535A4B" w:rsidRDefault="00E618FE">
      <w:pPr>
        <w:pStyle w:val="10"/>
        <w:rPr>
          <w:rFonts w:ascii="Times New Roman" w:eastAsia="PT Astra Serif" w:hAnsi="Times New Roman" w:cs="Times New Roman"/>
          <w:lang w:val="ru-RU"/>
        </w:rPr>
      </w:pPr>
      <w:bookmarkStart w:id="73" w:name="_Toc229484466"/>
      <w:bookmarkEnd w:id="72"/>
      <w:bookmarkEnd w:id="73"/>
    </w:p>
    <w:p w:rsidR="00E618FE" w:rsidRPr="00535A4B" w:rsidRDefault="00800098">
      <w:pPr>
        <w:pStyle w:val="10"/>
        <w:rPr>
          <w:rFonts w:ascii="Times New Roman" w:eastAsia="PT Astra Serif" w:hAnsi="Times New Roman" w:cs="Times New Roman"/>
          <w:lang w:val="ru-RU"/>
        </w:rPr>
      </w:pPr>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74" w:name="_Toc235810139"/>
      <w:bookmarkStart w:id="75" w:name="_Toc238554527"/>
      <w:r w:rsidRPr="00535A4B">
        <w:rPr>
          <w:rFonts w:ascii="Times New Roman" w:eastAsia="PT Astra Serif" w:hAnsi="Times New Roman" w:cs="Times New Roman"/>
          <w:lang w:val="ru-RU"/>
        </w:rPr>
        <w:lastRenderedPageBreak/>
        <w:t>7. Сценарии социально-экономического развития Томской области</w:t>
      </w:r>
      <w:bookmarkEnd w:id="74"/>
      <w:bookmarkEnd w:id="75"/>
      <w:r w:rsidRPr="00535A4B">
        <w:rPr>
          <w:rFonts w:ascii="Times New Roman" w:eastAsia="PT Astra Serif" w:hAnsi="Times New Roman" w:cs="Times New Roman"/>
          <w:lang w:val="ru-RU"/>
        </w:rPr>
        <w:t xml:space="preserve"> </w:t>
      </w:r>
    </w:p>
    <w:p w:rsidR="00E618FE" w:rsidRPr="00535A4B" w:rsidRDefault="00E618FE">
      <w:pPr>
        <w:pStyle w:val="a4"/>
        <w:rPr>
          <w:rFonts w:ascii="Times New Roman" w:hAnsi="Times New Roman"/>
          <w:color w:val="auto"/>
        </w:rPr>
      </w:pP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 xml:space="preserve">С момента разработки предыдущей редакции Стратегии социально-экономического развития Томской области произошли значимые изменения </w:t>
      </w:r>
      <w:r w:rsidR="00840DA3">
        <w:rPr>
          <w:rFonts w:ascii="Times New Roman" w:hAnsi="Times New Roman"/>
          <w:color w:val="auto"/>
          <w:sz w:val="26"/>
          <w:szCs w:val="26"/>
        </w:rPr>
        <w:br/>
      </w:r>
      <w:r w:rsidRPr="00840DA3">
        <w:rPr>
          <w:rFonts w:ascii="Times New Roman" w:hAnsi="Times New Roman"/>
          <w:color w:val="auto"/>
          <w:sz w:val="26"/>
          <w:szCs w:val="26"/>
        </w:rPr>
        <w:t xml:space="preserve">как во внешнем, так и во внутреннем контексте, что потребовало актуализации сценариев развития региона. Предыдущая версия документа готовилась в условиях постковидного восстановления, когда основными вызовами считались последствия пандемии COVID-19, локдауны, сценарии выхода глобальной экономики из кризиса на фоне относительно предсказуемой внешнеэкономической конъюнктуры. Целевые показатели того периода </w:t>
      </w:r>
      <w:r w:rsidR="00840DA3">
        <w:rPr>
          <w:rFonts w:ascii="Times New Roman" w:hAnsi="Times New Roman"/>
          <w:color w:val="auto"/>
          <w:sz w:val="26"/>
          <w:szCs w:val="26"/>
        </w:rPr>
        <w:t>–</w:t>
      </w:r>
      <w:r w:rsidRPr="00840DA3">
        <w:rPr>
          <w:rFonts w:ascii="Times New Roman" w:hAnsi="Times New Roman"/>
          <w:color w:val="auto"/>
          <w:sz w:val="26"/>
          <w:szCs w:val="26"/>
        </w:rPr>
        <w:t xml:space="preserve"> рост обрабатывающих производств в 2,6 раза </w:t>
      </w:r>
      <w:r w:rsidR="00840DA3">
        <w:rPr>
          <w:rFonts w:ascii="Times New Roman" w:hAnsi="Times New Roman"/>
          <w:color w:val="auto"/>
          <w:sz w:val="26"/>
          <w:szCs w:val="26"/>
        </w:rPr>
        <w:br/>
      </w:r>
      <w:r w:rsidRPr="00840DA3">
        <w:rPr>
          <w:rFonts w:ascii="Times New Roman" w:hAnsi="Times New Roman"/>
          <w:color w:val="auto"/>
          <w:sz w:val="26"/>
          <w:szCs w:val="26"/>
        </w:rPr>
        <w:t xml:space="preserve">к 2030 году, увеличение экспорта товаров на 80%, среднегодовые темпы роста ВРП </w:t>
      </w:r>
      <w:r w:rsidRPr="00840DA3">
        <w:rPr>
          <w:rFonts w:ascii="Times New Roman" w:hAnsi="Times New Roman"/>
          <w:color w:val="auto"/>
          <w:sz w:val="26"/>
          <w:szCs w:val="26"/>
        </w:rPr>
        <w:br/>
        <w:t xml:space="preserve">на уровне 4% </w:t>
      </w:r>
      <w:r w:rsidR="00840DA3">
        <w:rPr>
          <w:rFonts w:ascii="Times New Roman" w:hAnsi="Times New Roman"/>
          <w:color w:val="auto"/>
          <w:sz w:val="26"/>
          <w:szCs w:val="26"/>
        </w:rPr>
        <w:t>–</w:t>
      </w:r>
      <w:r w:rsidRPr="00840DA3">
        <w:rPr>
          <w:rFonts w:ascii="Times New Roman" w:hAnsi="Times New Roman"/>
          <w:color w:val="auto"/>
          <w:sz w:val="26"/>
          <w:szCs w:val="26"/>
        </w:rPr>
        <w:t xml:space="preserve"> исходили из инерционного продолжения докризисных трендов </w:t>
      </w:r>
      <w:r w:rsidR="00840DA3">
        <w:rPr>
          <w:rFonts w:ascii="Times New Roman" w:hAnsi="Times New Roman"/>
          <w:color w:val="auto"/>
          <w:sz w:val="26"/>
          <w:szCs w:val="26"/>
        </w:rPr>
        <w:br/>
      </w:r>
      <w:r w:rsidRPr="00840DA3">
        <w:rPr>
          <w:rFonts w:ascii="Times New Roman" w:hAnsi="Times New Roman"/>
          <w:color w:val="auto"/>
          <w:sz w:val="26"/>
          <w:szCs w:val="26"/>
        </w:rPr>
        <w:t>и благоприятной внешней среды.</w:t>
      </w: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 xml:space="preserve">Нынешняя ситуация кардинально отличается. На смену пандемийным ограничениям пришли долгосрочные геополитические и санкционные вызовы, структурная перестройка мировой торговли, переориентация экспортных потоков, </w:t>
      </w:r>
      <w:r w:rsidR="00840DA3">
        <w:rPr>
          <w:rFonts w:ascii="Times New Roman" w:hAnsi="Times New Roman"/>
          <w:color w:val="auto"/>
          <w:sz w:val="26"/>
          <w:szCs w:val="26"/>
        </w:rPr>
        <w:br/>
      </w:r>
      <w:r w:rsidRPr="00840DA3">
        <w:rPr>
          <w:rFonts w:ascii="Times New Roman" w:hAnsi="Times New Roman"/>
          <w:color w:val="auto"/>
          <w:sz w:val="26"/>
          <w:szCs w:val="26"/>
        </w:rPr>
        <w:t xml:space="preserve">а также жесткая денежно-кредитная политика с высокими ключевыми ставками. Прежние ориентиры по росту экспорта и обрабатывающих производств утратили актуальность из-за изменения структуры внешнего спроса и логистических цепочек. В этих условиях требуется не просто корректировка цифровых значений, </w:t>
      </w:r>
      <w:r w:rsidR="00840DA3">
        <w:rPr>
          <w:rFonts w:ascii="Times New Roman" w:hAnsi="Times New Roman"/>
          <w:color w:val="auto"/>
          <w:sz w:val="26"/>
          <w:szCs w:val="26"/>
        </w:rPr>
        <w:br/>
      </w:r>
      <w:r w:rsidRPr="00840DA3">
        <w:rPr>
          <w:rFonts w:ascii="Times New Roman" w:hAnsi="Times New Roman"/>
          <w:color w:val="auto"/>
          <w:sz w:val="26"/>
          <w:szCs w:val="26"/>
        </w:rPr>
        <w:t>а переосм</w:t>
      </w:r>
      <w:r w:rsidR="00840DA3">
        <w:rPr>
          <w:rFonts w:ascii="Times New Roman" w:hAnsi="Times New Roman"/>
          <w:color w:val="auto"/>
          <w:sz w:val="26"/>
          <w:szCs w:val="26"/>
        </w:rPr>
        <w:t>ысление самой логики сценариев –</w:t>
      </w:r>
      <w:r w:rsidRPr="00840DA3">
        <w:rPr>
          <w:rFonts w:ascii="Times New Roman" w:hAnsi="Times New Roman"/>
          <w:color w:val="auto"/>
          <w:sz w:val="26"/>
          <w:szCs w:val="26"/>
        </w:rPr>
        <w:t xml:space="preserve"> с учетом разнонаправленных макроэкономических сигналов, реалий бюджетного федерализма и необходимости достижения технологического суверенитета в рамках новых национальных проектов.</w:t>
      </w: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Таким образом, актуализация сценариев развития Томской области обусловлена объективным разрывом между прежними долгосрочными ориентирами и новой реальностью, что делает предыдущие прогнозы неприменимыми без фундаментального пересмотра исходных параметров.</w:t>
      </w: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Среди ключевых внешних для региона фа</w:t>
      </w:r>
      <w:r w:rsidR="00840DA3">
        <w:rPr>
          <w:rFonts w:ascii="Times New Roman" w:hAnsi="Times New Roman"/>
          <w:color w:val="auto"/>
          <w:sz w:val="26"/>
          <w:szCs w:val="26"/>
        </w:rPr>
        <w:t>кторов –</w:t>
      </w:r>
      <w:r w:rsidRPr="00840DA3">
        <w:rPr>
          <w:rFonts w:ascii="Times New Roman" w:hAnsi="Times New Roman"/>
          <w:color w:val="auto"/>
          <w:sz w:val="26"/>
          <w:szCs w:val="26"/>
        </w:rPr>
        <w:t xml:space="preserve"> текущая геополитическая обстановка и связанные с ней внешнеторговые и финансовые ограничения, состояние экономики Российской Федерации в целом и ситуация в банковском секторе, включая динамику ключевой ставки Банка России и реализацию основных направлений единой государственной денежно-кредитной политики. Согласно актуальному прогнозу Минэкономразвития России (май 2026 года) рост ВВП Российской Федерации в 2026 году ожидается на уровне 0,4% в базовом сценарии при постепенном ускорении до 1,4% в 2027 году, 1,9% в 2028 году и 2,4% </w:t>
      </w:r>
      <w:r w:rsidRPr="00840DA3">
        <w:rPr>
          <w:rFonts w:ascii="Times New Roman" w:hAnsi="Times New Roman"/>
          <w:color w:val="auto"/>
          <w:sz w:val="26"/>
          <w:szCs w:val="26"/>
        </w:rPr>
        <w:br/>
        <w:t>в 2029 году. Международные эксперты дают более сдержанные прогнозы: Международный валютный фонд оценивает рост ВВП России в 2026 и 2027 годах на уровне 1,1%, Всемирный банк — 0,8% в 2026 году и 0,7% в 2027 году, Организация экономического со</w:t>
      </w:r>
      <w:r w:rsidR="00840DA3">
        <w:rPr>
          <w:rFonts w:ascii="Times New Roman" w:hAnsi="Times New Roman"/>
          <w:color w:val="auto"/>
          <w:sz w:val="26"/>
          <w:szCs w:val="26"/>
        </w:rPr>
        <w:t>трудничества и развития (ОЭСР) –</w:t>
      </w:r>
      <w:r w:rsidRPr="00840DA3">
        <w:rPr>
          <w:rFonts w:ascii="Times New Roman" w:hAnsi="Times New Roman"/>
          <w:color w:val="auto"/>
          <w:sz w:val="26"/>
          <w:szCs w:val="26"/>
        </w:rPr>
        <w:t xml:space="preserve"> 0,6% в 2026 году и 0,8% в 2027 году.</w:t>
      </w: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 xml:space="preserve">Сдерживающее влияние на экономическую активность продолжит оказывать денежно-кредитная политика. По среднесрочному прогнозу Банка России </w:t>
      </w:r>
      <w:r w:rsidR="00840DA3">
        <w:rPr>
          <w:rFonts w:ascii="Times New Roman" w:hAnsi="Times New Roman"/>
          <w:color w:val="auto"/>
          <w:sz w:val="26"/>
          <w:szCs w:val="26"/>
        </w:rPr>
        <w:br/>
      </w:r>
      <w:r w:rsidRPr="00840DA3">
        <w:rPr>
          <w:rFonts w:ascii="Times New Roman" w:hAnsi="Times New Roman"/>
          <w:color w:val="auto"/>
          <w:sz w:val="26"/>
          <w:szCs w:val="26"/>
        </w:rPr>
        <w:t xml:space="preserve">(май 2026 года), средняя ключевая ставка в 2026 году ожидается в диапазоне 14,0 – 14,5%, с постепенным смягчением до 8,0 – 10,0% в 2027 году и возвращением к нейтральному уровню 7,5 – 8,5% в 2028 году. Инфляция, по прогнозу Банка России, составит 4,5 – 5,5% по итогам 2026 года и вернется к целевому уровню 4% </w:t>
      </w:r>
      <w:r w:rsidR="00840DA3">
        <w:rPr>
          <w:rFonts w:ascii="Times New Roman" w:hAnsi="Times New Roman"/>
          <w:color w:val="auto"/>
          <w:sz w:val="26"/>
          <w:szCs w:val="26"/>
        </w:rPr>
        <w:br/>
      </w:r>
      <w:r w:rsidRPr="00840DA3">
        <w:rPr>
          <w:rFonts w:ascii="Times New Roman" w:hAnsi="Times New Roman"/>
          <w:color w:val="auto"/>
          <w:sz w:val="26"/>
          <w:szCs w:val="26"/>
        </w:rPr>
        <w:lastRenderedPageBreak/>
        <w:t xml:space="preserve">в 2027 году, тогда как ОЭСР прогнозирует инфляцию в России на уровне 6,4% </w:t>
      </w:r>
      <w:r w:rsidR="00840DA3">
        <w:rPr>
          <w:rFonts w:ascii="Times New Roman" w:hAnsi="Times New Roman"/>
          <w:color w:val="auto"/>
          <w:sz w:val="26"/>
          <w:szCs w:val="26"/>
        </w:rPr>
        <w:br/>
      </w:r>
      <w:r w:rsidRPr="00840DA3">
        <w:rPr>
          <w:rFonts w:ascii="Times New Roman" w:hAnsi="Times New Roman"/>
          <w:color w:val="auto"/>
          <w:sz w:val="26"/>
          <w:szCs w:val="26"/>
        </w:rPr>
        <w:t xml:space="preserve">в 2026 году со снижением до 4,5% в 2027 году. Среди ключевых рисков </w:t>
      </w:r>
      <w:r w:rsidR="00840DA3">
        <w:rPr>
          <w:rFonts w:ascii="Times New Roman" w:hAnsi="Times New Roman"/>
          <w:color w:val="auto"/>
          <w:sz w:val="26"/>
          <w:szCs w:val="26"/>
        </w:rPr>
        <w:br/>
      </w:r>
      <w:r w:rsidRPr="00840DA3">
        <w:rPr>
          <w:rFonts w:ascii="Times New Roman" w:hAnsi="Times New Roman"/>
          <w:color w:val="auto"/>
          <w:sz w:val="26"/>
          <w:szCs w:val="26"/>
        </w:rPr>
        <w:t xml:space="preserve">для экономики региона эксперты выделяют возможное замедление мировой экономики, снижающее спрос на экспортные товары, сохранение жесткой денежно-кредитной политики, а также усиление санкционного давления. В числе внутренних факторов учитываются региональные меры, направленные на обеспечение устойчивости основных сфер социально-экономического развития </w:t>
      </w:r>
      <w:r w:rsidRPr="00840DA3">
        <w:rPr>
          <w:rFonts w:ascii="Times New Roman" w:hAnsi="Times New Roman"/>
          <w:color w:val="auto"/>
          <w:sz w:val="26"/>
          <w:szCs w:val="26"/>
        </w:rPr>
        <w:br/>
        <w:t xml:space="preserve">и выполнение обязательств региона, а также потенциальный эффект </w:t>
      </w:r>
      <w:r w:rsidRPr="00840DA3">
        <w:rPr>
          <w:rFonts w:ascii="Times New Roman" w:hAnsi="Times New Roman"/>
          <w:color w:val="auto"/>
          <w:sz w:val="26"/>
          <w:szCs w:val="26"/>
        </w:rPr>
        <w:br/>
        <w:t>от реализации планируемых в рамках Стратегии мероприятий и проектов.</w:t>
      </w: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При разработке настоящего раздела Стратегии учтены следующие долгосрочные факторы и тенденции, которые формируют коридор возможностей для региона.</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Первое.</w:t>
      </w:r>
      <w:r w:rsidRPr="00840DA3">
        <w:rPr>
          <w:rFonts w:ascii="Times New Roman" w:hAnsi="Times New Roman"/>
          <w:color w:val="auto"/>
          <w:sz w:val="26"/>
          <w:szCs w:val="26"/>
        </w:rPr>
        <w:t xml:space="preserve"> После 2030 года ожидается снижение доли нефтегазовых доходов </w:t>
      </w:r>
      <w:r w:rsidR="00840DA3">
        <w:rPr>
          <w:rFonts w:ascii="Times New Roman" w:hAnsi="Times New Roman"/>
          <w:color w:val="auto"/>
          <w:sz w:val="26"/>
          <w:szCs w:val="26"/>
        </w:rPr>
        <w:br/>
      </w:r>
      <w:r w:rsidRPr="00840DA3">
        <w:rPr>
          <w:rFonts w:ascii="Times New Roman" w:hAnsi="Times New Roman"/>
          <w:color w:val="auto"/>
          <w:sz w:val="26"/>
          <w:szCs w:val="26"/>
        </w:rPr>
        <w:t xml:space="preserve">в федеральном бюджете (с 5,5% ВВП в 2024 году до 1,9% ВВП к 2042 году согласно Бюджетному прогнозу Российской Федерации). Это объективно ограничит возможности федерального софинансирования региональных программ. Следовательно, региону необходимо уже сейчас делать ставку на частные инвестиции, механизмы государственно-частного партнерства, концессии </w:t>
      </w:r>
      <w:r w:rsidR="00840DA3">
        <w:rPr>
          <w:rFonts w:ascii="Times New Roman" w:hAnsi="Times New Roman"/>
          <w:color w:val="auto"/>
          <w:sz w:val="26"/>
          <w:szCs w:val="26"/>
        </w:rPr>
        <w:br/>
      </w:r>
      <w:r w:rsidRPr="00840DA3">
        <w:rPr>
          <w:rFonts w:ascii="Times New Roman" w:hAnsi="Times New Roman"/>
          <w:color w:val="auto"/>
          <w:sz w:val="26"/>
          <w:szCs w:val="26"/>
        </w:rPr>
        <w:t>и инфраструктурные облигации, а также на повышение собственной доходной базы.</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 xml:space="preserve">Второе. </w:t>
      </w:r>
      <w:r w:rsidRPr="00840DA3">
        <w:rPr>
          <w:rFonts w:ascii="Times New Roman" w:hAnsi="Times New Roman"/>
          <w:color w:val="auto"/>
          <w:sz w:val="26"/>
          <w:szCs w:val="26"/>
        </w:rPr>
        <w:t xml:space="preserve">В Томской области после завершения крупных инвестиционных проектов, в первую очередь опытно-демонстрационного энергоблока </w:t>
      </w:r>
      <w:r w:rsidR="00840DA3">
        <w:rPr>
          <w:rFonts w:ascii="Times New Roman" w:hAnsi="Times New Roman"/>
          <w:color w:val="auto"/>
          <w:sz w:val="26"/>
          <w:szCs w:val="26"/>
        </w:rPr>
        <w:br/>
      </w:r>
      <w:r w:rsidRPr="00840DA3">
        <w:rPr>
          <w:rFonts w:ascii="Times New Roman" w:hAnsi="Times New Roman"/>
          <w:color w:val="auto"/>
          <w:sz w:val="26"/>
          <w:szCs w:val="26"/>
        </w:rPr>
        <w:t xml:space="preserve">БРЕСТ-ОД-300, возникает риск замедления темпов роста обрабатывающих производств и инвестиционной активности. Чтобы избежать «инвестиционной ямы», необходимо заблаговременно сформировать портфель новых крупных проектов </w:t>
      </w:r>
      <w:r w:rsidR="00840DA3">
        <w:rPr>
          <w:rFonts w:ascii="Times New Roman" w:hAnsi="Times New Roman"/>
          <w:color w:val="auto"/>
          <w:sz w:val="26"/>
          <w:szCs w:val="26"/>
        </w:rPr>
        <w:t>–</w:t>
      </w:r>
      <w:r w:rsidRPr="00840DA3">
        <w:rPr>
          <w:rFonts w:ascii="Times New Roman" w:hAnsi="Times New Roman"/>
          <w:color w:val="auto"/>
          <w:sz w:val="26"/>
          <w:szCs w:val="26"/>
        </w:rPr>
        <w:t xml:space="preserve"> в атомной энергетике (АЭС в Северске), глубокой переработке ресурсов, логистике.</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Третье.</w:t>
      </w:r>
      <w:r w:rsidRPr="00840DA3">
        <w:rPr>
          <w:rFonts w:ascii="Times New Roman" w:hAnsi="Times New Roman"/>
          <w:color w:val="auto"/>
          <w:sz w:val="26"/>
          <w:szCs w:val="26"/>
        </w:rPr>
        <w:t xml:space="preserve"> Мировые рынки предъявляют растущий спрос на продукцию </w:t>
      </w:r>
      <w:r w:rsidR="00840DA3">
        <w:rPr>
          <w:rFonts w:ascii="Times New Roman" w:hAnsi="Times New Roman"/>
          <w:color w:val="auto"/>
          <w:sz w:val="26"/>
          <w:szCs w:val="26"/>
        </w:rPr>
        <w:br/>
      </w:r>
      <w:r w:rsidRPr="00840DA3">
        <w:rPr>
          <w:rFonts w:ascii="Times New Roman" w:hAnsi="Times New Roman"/>
          <w:color w:val="auto"/>
          <w:sz w:val="26"/>
          <w:szCs w:val="26"/>
        </w:rPr>
        <w:t xml:space="preserve">с высокой добавленной стоимостью. Для Томской области это означает обязательный переход от вывоза сырья (лес, углеводороды, титано-циркониевые концентраты) к их глубокой переработке на месте. Лесохимия, производство пигментного диоксида титана, малотоннажная химия из углеводородного сырья </w:t>
      </w:r>
      <w:r w:rsidR="00840DA3">
        <w:rPr>
          <w:rFonts w:ascii="Times New Roman" w:hAnsi="Times New Roman"/>
          <w:color w:val="auto"/>
          <w:sz w:val="26"/>
          <w:szCs w:val="26"/>
        </w:rPr>
        <w:t>–</w:t>
      </w:r>
      <w:r w:rsidRPr="00840DA3">
        <w:rPr>
          <w:rFonts w:ascii="Times New Roman" w:hAnsi="Times New Roman"/>
          <w:color w:val="auto"/>
          <w:sz w:val="26"/>
          <w:szCs w:val="26"/>
        </w:rPr>
        <w:t xml:space="preserve"> ключевые направления повышения конкурентоспособности.</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Четвертое.</w:t>
      </w:r>
      <w:r w:rsidRPr="00840DA3">
        <w:rPr>
          <w:rFonts w:ascii="Times New Roman" w:hAnsi="Times New Roman"/>
          <w:color w:val="auto"/>
          <w:sz w:val="26"/>
          <w:szCs w:val="26"/>
        </w:rPr>
        <w:t xml:space="preserve"> Сибирь остается транспортно-изолированным макрорегионом </w:t>
      </w:r>
      <w:r w:rsidR="00840DA3">
        <w:rPr>
          <w:rFonts w:ascii="Times New Roman" w:hAnsi="Times New Roman"/>
          <w:color w:val="auto"/>
          <w:sz w:val="26"/>
          <w:szCs w:val="26"/>
        </w:rPr>
        <w:br/>
      </w:r>
      <w:r w:rsidRPr="00840DA3">
        <w:rPr>
          <w:rFonts w:ascii="Times New Roman" w:hAnsi="Times New Roman"/>
          <w:color w:val="auto"/>
          <w:sz w:val="26"/>
          <w:szCs w:val="26"/>
        </w:rPr>
        <w:t xml:space="preserve">с недостаточной меридиональной связанностью (отсутствие надежных северных широтных ходов, зависимость от широтных магистралей). Томская область не имеет выхода к Северному морскому пути, а ее внутренняя транспортная сеть требует развития. Поэтому промышленная политика должна быть жестко увязана </w:t>
      </w:r>
      <w:r w:rsidR="00840DA3">
        <w:rPr>
          <w:rFonts w:ascii="Times New Roman" w:hAnsi="Times New Roman"/>
          <w:color w:val="auto"/>
          <w:sz w:val="26"/>
          <w:szCs w:val="26"/>
        </w:rPr>
        <w:br/>
      </w:r>
      <w:r w:rsidRPr="00840DA3">
        <w:rPr>
          <w:rFonts w:ascii="Times New Roman" w:hAnsi="Times New Roman"/>
          <w:color w:val="auto"/>
          <w:sz w:val="26"/>
          <w:szCs w:val="26"/>
        </w:rPr>
        <w:t>с развитие</w:t>
      </w:r>
      <w:r w:rsidR="00840DA3">
        <w:rPr>
          <w:rFonts w:ascii="Times New Roman" w:hAnsi="Times New Roman"/>
          <w:color w:val="auto"/>
          <w:sz w:val="26"/>
          <w:szCs w:val="26"/>
        </w:rPr>
        <w:t>м логистической инфраструктуры –</w:t>
      </w:r>
      <w:r w:rsidRPr="00840DA3">
        <w:rPr>
          <w:rFonts w:ascii="Times New Roman" w:hAnsi="Times New Roman"/>
          <w:color w:val="auto"/>
          <w:sz w:val="26"/>
          <w:szCs w:val="26"/>
        </w:rPr>
        <w:t xml:space="preserve"> речных портов, малой авиации, автомобильных дорог, связывающих север и юг региона.</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Пятое.</w:t>
      </w:r>
      <w:r w:rsidRPr="00840DA3">
        <w:rPr>
          <w:rFonts w:ascii="Times New Roman" w:hAnsi="Times New Roman"/>
          <w:color w:val="auto"/>
          <w:sz w:val="26"/>
          <w:szCs w:val="26"/>
        </w:rPr>
        <w:t xml:space="preserve"> Кадровый дефицит и отток выпускников (особенно инженерных и ИТ-специальностей) в крупные агломерации и за рубеж остаются системной проблемой. Без интеграции кластерной политики с программами целевого обучения, жилищной поддержки, повышения престижа рабочих профессий регион не сможет обеспечить новое индустриальное развитие.</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Шестое.</w:t>
      </w:r>
      <w:r w:rsidRPr="00840DA3">
        <w:rPr>
          <w:rFonts w:ascii="Times New Roman" w:hAnsi="Times New Roman"/>
          <w:color w:val="auto"/>
          <w:sz w:val="26"/>
          <w:szCs w:val="26"/>
        </w:rPr>
        <w:t xml:space="preserve"> В Сибирском федеральном округе накоплен значительный потенциал межрегиональной кооперации </w:t>
      </w:r>
      <w:r w:rsidR="00840DA3">
        <w:rPr>
          <w:rFonts w:ascii="Times New Roman" w:hAnsi="Times New Roman"/>
          <w:color w:val="auto"/>
          <w:sz w:val="26"/>
          <w:szCs w:val="26"/>
        </w:rPr>
        <w:t>–</w:t>
      </w:r>
      <w:r w:rsidRPr="00840DA3">
        <w:rPr>
          <w:rFonts w:ascii="Times New Roman" w:hAnsi="Times New Roman"/>
          <w:color w:val="auto"/>
          <w:sz w:val="26"/>
          <w:szCs w:val="26"/>
        </w:rPr>
        <w:t xml:space="preserve"> совместные проекты в области машиностроения, энергетики, химии, беспилотных систем. Томская область должна выступать не изолированно, а как ядро технологической кооперации с Красноярским </w:t>
      </w:r>
      <w:r w:rsidRPr="00840DA3">
        <w:rPr>
          <w:rFonts w:ascii="Times New Roman" w:hAnsi="Times New Roman"/>
          <w:color w:val="auto"/>
          <w:sz w:val="26"/>
          <w:szCs w:val="26"/>
        </w:rPr>
        <w:lastRenderedPageBreak/>
        <w:t>краем, Кемеровской, Новосибирской, Омской областями, Республиками Хакасия и Тыва. Создание критической массы компетенций возможно только через объединение усилий.</w:t>
      </w: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С учетом этих шести факторов и динамики внешних условий (макроэкономика, санкции, денежно-кредитная политика) формируются три сценария.</w:t>
      </w:r>
    </w:p>
    <w:p w:rsidR="00E618FE" w:rsidRPr="00535A4B" w:rsidRDefault="00800098">
      <w:pPr>
        <w:pStyle w:val="41"/>
        <w:rPr>
          <w:rFonts w:ascii="Times New Roman" w:hAnsi="Times New Roman"/>
          <w:lang w:val="ru-RU"/>
        </w:rPr>
      </w:pPr>
      <w:r w:rsidRPr="00535A4B">
        <w:rPr>
          <w:rFonts w:ascii="Times New Roman" w:hAnsi="Times New Roman"/>
          <w:lang w:val="ru-RU"/>
        </w:rPr>
        <w:t>1) Антикризисный сценарий</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Условия реализации</w:t>
      </w:r>
      <w:r w:rsidRPr="00840DA3">
        <w:rPr>
          <w:rFonts w:ascii="Times New Roman" w:hAnsi="Times New Roman"/>
          <w:color w:val="auto"/>
          <w:sz w:val="26"/>
          <w:szCs w:val="26"/>
        </w:rPr>
        <w:t>.</w:t>
      </w:r>
      <w:r w:rsidRPr="00840DA3">
        <w:rPr>
          <w:rFonts w:ascii="Times New Roman" w:hAnsi="Times New Roman"/>
          <w:b/>
          <w:bCs/>
          <w:color w:val="auto"/>
          <w:sz w:val="26"/>
          <w:szCs w:val="26"/>
        </w:rPr>
        <w:t xml:space="preserve"> </w:t>
      </w:r>
      <w:r w:rsidRPr="00840DA3">
        <w:rPr>
          <w:rFonts w:ascii="Times New Roman" w:hAnsi="Times New Roman"/>
          <w:color w:val="auto"/>
          <w:sz w:val="26"/>
          <w:szCs w:val="26"/>
        </w:rPr>
        <w:t>Антикризисный сценарий реализуется в условиях устойчиво неблагоприятной внешней конъюнктуры: усиление санкционного давления, сокращение объемов федерального софинансирования (вследствие падения доли нефтегазовых доходов федерального бюджета), ограничение доступа к заемному капиталу, стагнация или рецессия российской экономики. В рамках данного сценария органы исполнительной власти Томской области реализуют комплекс антикризисных мер, направленных на минимизацию негативных последствий, сохранение социальной стабильности и недопущение коллапса ключевых секторов экономики.</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Экономическая динамика</w:t>
      </w:r>
      <w:r w:rsidRPr="00840DA3">
        <w:rPr>
          <w:rFonts w:ascii="Times New Roman" w:hAnsi="Times New Roman"/>
          <w:color w:val="auto"/>
          <w:sz w:val="26"/>
          <w:szCs w:val="26"/>
        </w:rPr>
        <w:t>. Среднегодовые темпы прироста валового регионального прод</w:t>
      </w:r>
      <w:r w:rsidR="00840DA3">
        <w:rPr>
          <w:rFonts w:ascii="Times New Roman" w:hAnsi="Times New Roman"/>
          <w:color w:val="auto"/>
          <w:sz w:val="26"/>
          <w:szCs w:val="26"/>
        </w:rPr>
        <w:t>укта оцениваются на уровне 0,1 –</w:t>
      </w:r>
      <w:r w:rsidRPr="00840DA3">
        <w:rPr>
          <w:rFonts w:ascii="Times New Roman" w:hAnsi="Times New Roman"/>
          <w:color w:val="auto"/>
          <w:sz w:val="26"/>
          <w:szCs w:val="26"/>
        </w:rPr>
        <w:t xml:space="preserve"> 0,5% ежегодно. Добыча полезных ископаемых снижается вследствие истощения разрабатываемых месторождений и отсутствия инвестиций в геологоразведку. Обрабатывающие производства сохраняют стабильность преимущественно за счет государственного оборонного заказа и импортозамещения в пищевой промышленности. Инвестиции </w:t>
      </w:r>
      <w:r w:rsidR="00840DA3">
        <w:rPr>
          <w:rFonts w:ascii="Times New Roman" w:hAnsi="Times New Roman"/>
          <w:color w:val="auto"/>
          <w:sz w:val="26"/>
          <w:szCs w:val="26"/>
        </w:rPr>
        <w:br/>
      </w:r>
      <w:r w:rsidRPr="00840DA3">
        <w:rPr>
          <w:rFonts w:ascii="Times New Roman" w:hAnsi="Times New Roman"/>
          <w:color w:val="auto"/>
          <w:sz w:val="26"/>
          <w:szCs w:val="26"/>
        </w:rPr>
        <w:t>в основной капитал после завершения крупных проектов (БРЕСТ-ОД-300) сокращаются в реальном выражении на 1 – 2% ежегодно в 2030 – 2035 годах, затем стабилизируются. Строительство атомной электростанции в ЗАТО Северск сдвигается на 5</w:t>
      </w:r>
      <w:r w:rsidR="00840DA3">
        <w:rPr>
          <w:rFonts w:ascii="Times New Roman" w:hAnsi="Times New Roman"/>
          <w:color w:val="auto"/>
          <w:sz w:val="26"/>
          <w:szCs w:val="26"/>
        </w:rPr>
        <w:t xml:space="preserve"> </w:t>
      </w:r>
      <w:r w:rsidRPr="00840DA3">
        <w:rPr>
          <w:rFonts w:ascii="Times New Roman" w:hAnsi="Times New Roman"/>
          <w:color w:val="auto"/>
          <w:sz w:val="26"/>
          <w:szCs w:val="26"/>
        </w:rPr>
        <w:t>–</w:t>
      </w:r>
      <w:r w:rsidR="00840DA3">
        <w:rPr>
          <w:rFonts w:ascii="Times New Roman" w:hAnsi="Times New Roman"/>
          <w:color w:val="auto"/>
          <w:sz w:val="26"/>
          <w:szCs w:val="26"/>
        </w:rPr>
        <w:t xml:space="preserve"> </w:t>
      </w:r>
      <w:r w:rsidRPr="00840DA3">
        <w:rPr>
          <w:rFonts w:ascii="Times New Roman" w:hAnsi="Times New Roman"/>
          <w:color w:val="auto"/>
          <w:sz w:val="26"/>
          <w:szCs w:val="26"/>
        </w:rPr>
        <w:t>7 лет.</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Глубокая переработка природных ресурсов</w:t>
      </w:r>
      <w:r w:rsidRPr="00840DA3">
        <w:rPr>
          <w:rFonts w:ascii="Times New Roman" w:hAnsi="Times New Roman"/>
          <w:color w:val="auto"/>
          <w:sz w:val="26"/>
          <w:szCs w:val="26"/>
        </w:rPr>
        <w:t>. В сфере глубокой переработки реализуются только отдельные пилотные проекты.</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Транспортная инфраструктура</w:t>
      </w:r>
      <w:r w:rsidRPr="00840DA3">
        <w:rPr>
          <w:rFonts w:ascii="Times New Roman" w:hAnsi="Times New Roman"/>
          <w:color w:val="auto"/>
          <w:sz w:val="26"/>
          <w:szCs w:val="26"/>
        </w:rPr>
        <w:t xml:space="preserve">. Транспортная связанность территории поддерживается за счет субсидирования речных перевозок </w:t>
      </w:r>
      <w:r w:rsidRPr="00840DA3">
        <w:rPr>
          <w:rFonts w:ascii="Times New Roman" w:hAnsi="Times New Roman"/>
          <w:color w:val="auto"/>
          <w:sz w:val="26"/>
          <w:szCs w:val="26"/>
        </w:rPr>
        <w:br/>
        <w:t>и малой авиации в северных районах. Капитальный ремонт дорожной сети ограничивается критическими участками. Новое строительство объектов транспортной инфраструктуры не осуществляется, за исключением завершения уже начатых объектов. Участие региона в меридиональных транспортных коридорах отсутствует.</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Кадровая политика</w:t>
      </w:r>
      <w:r w:rsidRPr="00840DA3">
        <w:rPr>
          <w:rFonts w:ascii="Times New Roman" w:hAnsi="Times New Roman"/>
          <w:color w:val="auto"/>
          <w:sz w:val="26"/>
          <w:szCs w:val="26"/>
        </w:rPr>
        <w:t>. Кадровая политика переориентируется на удержание имеющегося персонала. Целевое обучение по заказам работодателей синхронизируется с прогнозом кадровой потребности, однако объемы целевого набора сокращаются до 200 – 250 человек в год. Дефицит кадров сохраняется, закрытие вакансий происходит с задержками, что ограничивает производственные возможности предприятий.</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Демография и уровень жизни</w:t>
      </w:r>
      <w:r w:rsidRPr="00840DA3">
        <w:rPr>
          <w:rFonts w:ascii="Times New Roman" w:hAnsi="Times New Roman"/>
          <w:color w:val="auto"/>
          <w:sz w:val="26"/>
          <w:szCs w:val="26"/>
        </w:rPr>
        <w:t xml:space="preserve">. Демографическая динамика остается негативной. Численность постоянного населения к 2030 году оценивается на уровне 1011,6 тыс. человек, к 2036 году </w:t>
      </w:r>
      <w:r w:rsidR="00840DA3">
        <w:rPr>
          <w:rFonts w:ascii="Times New Roman" w:hAnsi="Times New Roman"/>
          <w:color w:val="auto"/>
          <w:sz w:val="26"/>
          <w:szCs w:val="26"/>
        </w:rPr>
        <w:t>–</w:t>
      </w:r>
      <w:r w:rsidRPr="00840DA3">
        <w:rPr>
          <w:rFonts w:ascii="Times New Roman" w:hAnsi="Times New Roman"/>
          <w:color w:val="auto"/>
          <w:sz w:val="26"/>
          <w:szCs w:val="26"/>
        </w:rPr>
        <w:t xml:space="preserve"> 998,8 тыс. человек. Уровень бедности к 2036 году достигает 11%. Реальные располагаемые доходы населения стагнируют (среднегодовые темпы прироста 0 – 0,5%). Ожидаемая продолжительность жизни к 2036 году составляет 73 – 74 года.</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lastRenderedPageBreak/>
        <w:t>Ключевые условия реализации</w:t>
      </w:r>
      <w:r w:rsidRPr="00840DA3">
        <w:rPr>
          <w:rFonts w:ascii="Times New Roman" w:hAnsi="Times New Roman"/>
          <w:color w:val="auto"/>
          <w:sz w:val="26"/>
          <w:szCs w:val="26"/>
        </w:rPr>
        <w:t xml:space="preserve">. Формирование резервных фондов </w:t>
      </w:r>
      <w:r w:rsidR="00840DA3">
        <w:rPr>
          <w:rFonts w:ascii="Times New Roman" w:hAnsi="Times New Roman"/>
          <w:color w:val="auto"/>
          <w:sz w:val="26"/>
          <w:szCs w:val="26"/>
        </w:rPr>
        <w:br/>
      </w:r>
      <w:r w:rsidRPr="00840DA3">
        <w:rPr>
          <w:rFonts w:ascii="Times New Roman" w:hAnsi="Times New Roman"/>
          <w:color w:val="auto"/>
          <w:sz w:val="26"/>
          <w:szCs w:val="26"/>
        </w:rPr>
        <w:t xml:space="preserve">для покрытия кассовых разрывов; оптимизация бюджетных расходов с сохранением в приоритете социальных обязательств; замещение выпадающих федеральных субсидий за счет повышения эффективности администрирования налоговых </w:t>
      </w:r>
      <w:r w:rsidR="00840DA3">
        <w:rPr>
          <w:rFonts w:ascii="Times New Roman" w:hAnsi="Times New Roman"/>
          <w:color w:val="auto"/>
          <w:sz w:val="26"/>
          <w:szCs w:val="26"/>
        </w:rPr>
        <w:br/>
      </w:r>
      <w:r w:rsidRPr="00840DA3">
        <w:rPr>
          <w:rFonts w:ascii="Times New Roman" w:hAnsi="Times New Roman"/>
          <w:color w:val="auto"/>
          <w:sz w:val="26"/>
          <w:szCs w:val="26"/>
        </w:rPr>
        <w:t xml:space="preserve">и неналоговых доходов; активное использование механизмов государственно-частного партнерства и концессионных соглашений для поддержания инфраструктуры; реализация программ профессионального обучения </w:t>
      </w:r>
      <w:r w:rsidR="00840DA3">
        <w:rPr>
          <w:rFonts w:ascii="Times New Roman" w:hAnsi="Times New Roman"/>
          <w:color w:val="auto"/>
          <w:sz w:val="26"/>
          <w:szCs w:val="26"/>
        </w:rPr>
        <w:br/>
      </w:r>
      <w:r w:rsidRPr="00840DA3">
        <w:rPr>
          <w:rFonts w:ascii="Times New Roman" w:hAnsi="Times New Roman"/>
          <w:color w:val="auto"/>
          <w:sz w:val="26"/>
          <w:szCs w:val="26"/>
        </w:rPr>
        <w:t xml:space="preserve">и дополнительных профессиональных программ в целях преодоления дисбаланса </w:t>
      </w:r>
      <w:r w:rsidR="00840DA3">
        <w:rPr>
          <w:rFonts w:ascii="Times New Roman" w:hAnsi="Times New Roman"/>
          <w:color w:val="auto"/>
          <w:sz w:val="26"/>
          <w:szCs w:val="26"/>
        </w:rPr>
        <w:br/>
      </w:r>
      <w:r w:rsidRPr="00840DA3">
        <w:rPr>
          <w:rFonts w:ascii="Times New Roman" w:hAnsi="Times New Roman"/>
          <w:color w:val="auto"/>
          <w:sz w:val="26"/>
          <w:szCs w:val="26"/>
        </w:rPr>
        <w:t>на рынке труда.</w:t>
      </w:r>
    </w:p>
    <w:p w:rsidR="00E618FE" w:rsidRPr="00535A4B" w:rsidRDefault="00E618FE">
      <w:pPr>
        <w:pStyle w:val="a4"/>
        <w:rPr>
          <w:rFonts w:ascii="Times New Roman" w:hAnsi="Times New Roman"/>
          <w:color w:val="auto"/>
        </w:rPr>
      </w:pPr>
    </w:p>
    <w:p w:rsidR="00E618FE" w:rsidRPr="00535A4B" w:rsidRDefault="00800098">
      <w:pPr>
        <w:pStyle w:val="41"/>
        <w:rPr>
          <w:rFonts w:ascii="Times New Roman" w:hAnsi="Times New Roman"/>
          <w:lang w:val="ru-RU"/>
        </w:rPr>
      </w:pPr>
      <w:r w:rsidRPr="00535A4B">
        <w:rPr>
          <w:rFonts w:ascii="Times New Roman" w:hAnsi="Times New Roman"/>
          <w:lang w:val="ru-RU"/>
        </w:rPr>
        <w:t>2) Базовый сценарий</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Условия реализации</w:t>
      </w:r>
      <w:r w:rsidRPr="00840DA3">
        <w:rPr>
          <w:rFonts w:ascii="Times New Roman" w:hAnsi="Times New Roman"/>
          <w:color w:val="auto"/>
          <w:sz w:val="26"/>
          <w:szCs w:val="26"/>
        </w:rPr>
        <w:t>. Базовый сценарий реализуется в условиях относительной стабилизации внешней и внутренней среды: санкционное давление сохраняется, но адаптировано экономикой; федеральное софинансирование региональных программ постепенно сокращается после 2030 года, однако не носит обвального характера; доступ к заемному капиталу восстанавливается по мере снижения ключевой ставки; макроэкономическая политика федерального центра остается предсказуемой. Регион проводит политику умеренной модернизации, опираясь на существу</w:t>
      </w:r>
      <w:r w:rsidR="00840DA3">
        <w:rPr>
          <w:rFonts w:ascii="Times New Roman" w:hAnsi="Times New Roman"/>
          <w:color w:val="auto"/>
          <w:sz w:val="26"/>
          <w:szCs w:val="26"/>
        </w:rPr>
        <w:t>ющие конкурентные преимущества –</w:t>
      </w:r>
      <w:r w:rsidRPr="00840DA3">
        <w:rPr>
          <w:rFonts w:ascii="Times New Roman" w:hAnsi="Times New Roman"/>
          <w:color w:val="auto"/>
          <w:sz w:val="26"/>
          <w:szCs w:val="26"/>
        </w:rPr>
        <w:t xml:space="preserve"> развитый научно-образовательный комплекс, накопленный инвестиционный портфель и реализация национальных проектов в полном объеме.</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Экономическая динамика</w:t>
      </w:r>
      <w:r w:rsidRPr="00840DA3">
        <w:rPr>
          <w:rFonts w:ascii="Times New Roman" w:hAnsi="Times New Roman"/>
          <w:color w:val="auto"/>
          <w:sz w:val="26"/>
          <w:szCs w:val="26"/>
        </w:rPr>
        <w:t>. Предполагается, что валовой региональный продукт Томской области в сопоставимых ценах к 20</w:t>
      </w:r>
      <w:r w:rsidR="00840DA3">
        <w:rPr>
          <w:rFonts w:ascii="Times New Roman" w:hAnsi="Times New Roman"/>
          <w:color w:val="auto"/>
          <w:sz w:val="26"/>
          <w:szCs w:val="26"/>
        </w:rPr>
        <w:t>20 году достигнет: в 2025 году – 108,5%, в 2030 году –</w:t>
      </w:r>
      <w:r w:rsidRPr="00840DA3">
        <w:rPr>
          <w:rFonts w:ascii="Times New Roman" w:hAnsi="Times New Roman"/>
          <w:color w:val="auto"/>
          <w:sz w:val="26"/>
          <w:szCs w:val="26"/>
        </w:rPr>
        <w:t xml:space="preserve"> 117,9%, </w:t>
      </w:r>
      <w:r w:rsidR="00840DA3">
        <w:rPr>
          <w:rFonts w:ascii="Times New Roman" w:hAnsi="Times New Roman"/>
          <w:color w:val="auto"/>
          <w:sz w:val="26"/>
          <w:szCs w:val="26"/>
        </w:rPr>
        <w:t>в 2036 году –</w:t>
      </w:r>
      <w:r w:rsidRPr="00840DA3">
        <w:rPr>
          <w:rFonts w:ascii="Times New Roman" w:hAnsi="Times New Roman"/>
          <w:color w:val="auto"/>
          <w:sz w:val="26"/>
          <w:szCs w:val="26"/>
        </w:rPr>
        <w:t xml:space="preserve"> 130,5%. Это соответствует среднегодовым темпам прироста на уровне 1,7% в 2026 – 2030 годах и 1,9% </w:t>
      </w:r>
      <w:r w:rsidR="00840DA3">
        <w:rPr>
          <w:rFonts w:ascii="Times New Roman" w:hAnsi="Times New Roman"/>
          <w:color w:val="auto"/>
          <w:sz w:val="26"/>
          <w:szCs w:val="26"/>
        </w:rPr>
        <w:br/>
      </w:r>
      <w:r w:rsidRPr="00840DA3">
        <w:rPr>
          <w:rFonts w:ascii="Times New Roman" w:hAnsi="Times New Roman"/>
          <w:color w:val="auto"/>
          <w:sz w:val="26"/>
          <w:szCs w:val="26"/>
        </w:rPr>
        <w:t xml:space="preserve">в 2031 – 2036 годах. Доля добычи полезных ископаемых в общем объеме промышленного производства постепенно снижается и к 2036 году достигает </w:t>
      </w:r>
      <w:r w:rsidR="00840DA3">
        <w:rPr>
          <w:rFonts w:ascii="Times New Roman" w:hAnsi="Times New Roman"/>
          <w:color w:val="auto"/>
          <w:sz w:val="26"/>
          <w:szCs w:val="26"/>
        </w:rPr>
        <w:br/>
      </w:r>
      <w:r w:rsidRPr="00840DA3">
        <w:rPr>
          <w:rFonts w:ascii="Times New Roman" w:hAnsi="Times New Roman"/>
          <w:color w:val="auto"/>
          <w:sz w:val="26"/>
          <w:szCs w:val="26"/>
        </w:rPr>
        <w:t>26 – 27%</w:t>
      </w:r>
      <w:r w:rsidRPr="00840DA3">
        <w:rPr>
          <w:rFonts w:ascii="Times New Roman" w:hAnsi="Times New Roman"/>
          <w:b/>
          <w:bCs/>
          <w:color w:val="auto"/>
          <w:sz w:val="26"/>
          <w:szCs w:val="26"/>
        </w:rPr>
        <w:t xml:space="preserve"> </w:t>
      </w:r>
      <w:r w:rsidRPr="00840DA3">
        <w:rPr>
          <w:rFonts w:ascii="Times New Roman" w:hAnsi="Times New Roman"/>
          <w:color w:val="auto"/>
          <w:sz w:val="26"/>
          <w:szCs w:val="26"/>
        </w:rPr>
        <w:t xml:space="preserve">(против 34,6% в 2025 году). Доля продукции высокотехнологичных и наукоемких отраслей экономики в ВРП, несмотря на отсутствие рывка, умеренно растет, что позволяет сохранить научно-производственный потенциал, </w:t>
      </w:r>
      <w:r w:rsidR="00840DA3">
        <w:rPr>
          <w:rFonts w:ascii="Times New Roman" w:hAnsi="Times New Roman"/>
          <w:color w:val="auto"/>
          <w:sz w:val="26"/>
          <w:szCs w:val="26"/>
        </w:rPr>
        <w:br/>
      </w:r>
      <w:r w:rsidRPr="00840DA3">
        <w:rPr>
          <w:rFonts w:ascii="Times New Roman" w:hAnsi="Times New Roman"/>
          <w:color w:val="auto"/>
          <w:sz w:val="26"/>
          <w:szCs w:val="26"/>
        </w:rPr>
        <w:t>но не обеспечивает кардинальной структурной перестройки экономики. Инвестиции в основной капитал увеличиваются на 2,5 – 3% в год в реальном выражении, что позволяет завершить строительство опытно-демонстрационного энергоблока БРЕСТ-ОД-300, а к началу 2030-х годов приступить к сооружению первого энергоблока атомной электростанции в ЗАТО Северск.</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Глубокая переработка природных ресурсов</w:t>
      </w:r>
      <w:r w:rsidRPr="00840DA3">
        <w:rPr>
          <w:rFonts w:ascii="Times New Roman" w:hAnsi="Times New Roman"/>
          <w:color w:val="auto"/>
          <w:sz w:val="26"/>
          <w:szCs w:val="26"/>
        </w:rPr>
        <w:t xml:space="preserve">. Регион реализует проекты по глубокой переработке, титано-циркониевых концентратов (выпуск пигментного диоксида титана на базе АО «ТГОК «Ильменит»), углеводородного сырья (развитие малотоннажной химии). </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Транспортная инфраструктура</w:t>
      </w:r>
      <w:r w:rsidRPr="00840DA3">
        <w:rPr>
          <w:rFonts w:ascii="Times New Roman" w:hAnsi="Times New Roman"/>
          <w:color w:val="auto"/>
          <w:sz w:val="26"/>
          <w:szCs w:val="26"/>
        </w:rPr>
        <w:t>. Осуществляется плановая модернизация автомобильных дорог регионального значения, завершается строительство Малого транспортного кольца г. Томска, ремонтируются мостовые переходы через реки Томь, Кия, Чая. Поддерживается субсидирование речных перевозок для северных районов. Развитие малой авиации ограничивается сохранением существующей маршрутной сети. Участие региона в создании меридиональных транспортных коридор</w:t>
      </w:r>
      <w:r w:rsidR="00840DA3">
        <w:rPr>
          <w:rFonts w:ascii="Times New Roman" w:hAnsi="Times New Roman"/>
          <w:color w:val="auto"/>
          <w:sz w:val="26"/>
          <w:szCs w:val="26"/>
        </w:rPr>
        <w:t>ов носит ограниченный характер –</w:t>
      </w:r>
      <w:r w:rsidRPr="00840DA3">
        <w:rPr>
          <w:rFonts w:ascii="Times New Roman" w:hAnsi="Times New Roman"/>
          <w:color w:val="auto"/>
          <w:sz w:val="26"/>
          <w:szCs w:val="26"/>
        </w:rPr>
        <w:t xml:space="preserve"> в основном за счет модернизации существующих направлений.</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lastRenderedPageBreak/>
        <w:t>Кадровая политика</w:t>
      </w:r>
      <w:r w:rsidRPr="00840DA3">
        <w:rPr>
          <w:rFonts w:ascii="Times New Roman" w:hAnsi="Times New Roman"/>
          <w:color w:val="auto"/>
          <w:sz w:val="26"/>
          <w:szCs w:val="26"/>
        </w:rPr>
        <w:t xml:space="preserve">. Реализуются программы целевого обучения </w:t>
      </w:r>
      <w:r w:rsidRPr="00840DA3">
        <w:rPr>
          <w:rFonts w:ascii="Times New Roman" w:hAnsi="Times New Roman"/>
          <w:color w:val="auto"/>
          <w:sz w:val="26"/>
          <w:szCs w:val="26"/>
        </w:rPr>
        <w:br/>
        <w:t>по за</w:t>
      </w:r>
      <w:r w:rsidR="00840DA3">
        <w:rPr>
          <w:rFonts w:ascii="Times New Roman" w:hAnsi="Times New Roman"/>
          <w:color w:val="auto"/>
          <w:sz w:val="26"/>
          <w:szCs w:val="26"/>
        </w:rPr>
        <w:t>казам промышленных предприятий –</w:t>
      </w:r>
      <w:r w:rsidRPr="00840DA3">
        <w:rPr>
          <w:rFonts w:ascii="Times New Roman" w:hAnsi="Times New Roman"/>
          <w:color w:val="auto"/>
          <w:sz w:val="26"/>
          <w:szCs w:val="26"/>
        </w:rPr>
        <w:t xml:space="preserve"> не менее 500 человек ежегодно. Внедряются механизмы жилищной поддержки молодых специалистов. Поддерживается престиж рабочих профессий через систему профессиональных конкурсов и материального стимулирования. Дефицит кадров сохраняется, но не приобретает критического характера; закрытие вакансий происходит в плановом порядке.</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Демография и уровень жизни</w:t>
      </w:r>
      <w:r w:rsidRPr="00840DA3">
        <w:rPr>
          <w:rFonts w:ascii="Times New Roman" w:hAnsi="Times New Roman"/>
          <w:color w:val="auto"/>
          <w:sz w:val="26"/>
          <w:szCs w:val="26"/>
        </w:rPr>
        <w:t xml:space="preserve">. Демографическая ситуация постепенно стабилизируется: естественная убыль сокращается за счет мер поддержки семей с детьми (Национальный проект «Семья»), миграционный отток частично компенсируется притоком специалистов на новые промышленные объекты. Численность постоянного населения к 2030 году оценивается </w:t>
      </w:r>
      <w:r w:rsidRPr="00840DA3">
        <w:rPr>
          <w:rFonts w:ascii="Times New Roman" w:hAnsi="Times New Roman"/>
          <w:color w:val="auto"/>
          <w:sz w:val="26"/>
          <w:szCs w:val="26"/>
        </w:rPr>
        <w:br/>
        <w:t xml:space="preserve">на уровне 1 020,1 тыс. человек, к 2036 году </w:t>
      </w:r>
      <w:r w:rsidR="00840DA3">
        <w:rPr>
          <w:rFonts w:ascii="Times New Roman" w:hAnsi="Times New Roman"/>
          <w:color w:val="auto"/>
          <w:sz w:val="26"/>
          <w:szCs w:val="26"/>
        </w:rPr>
        <w:t>–</w:t>
      </w:r>
      <w:r w:rsidRPr="00840DA3">
        <w:rPr>
          <w:rFonts w:ascii="Times New Roman" w:hAnsi="Times New Roman"/>
          <w:color w:val="auto"/>
          <w:sz w:val="26"/>
          <w:szCs w:val="26"/>
        </w:rPr>
        <w:t xml:space="preserve"> 1 012,6 тыс. человек. Уровень бедности снижается до 8% к 2030 году и до 7% к 2036 году. Реальные располагаемые доходы населения растут на 1,5 – 2,0% в год. Ожидаемая продолжительность жизни увеличивается до 76 – 77 лет к 2036 году.</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Ключевые условия реализации базового сценария</w:t>
      </w:r>
      <w:r w:rsidRPr="00840DA3">
        <w:rPr>
          <w:rFonts w:ascii="Times New Roman" w:hAnsi="Times New Roman"/>
          <w:color w:val="auto"/>
          <w:sz w:val="26"/>
          <w:szCs w:val="26"/>
        </w:rPr>
        <w:t xml:space="preserve">: полное </w:t>
      </w:r>
      <w:r w:rsidRPr="00840DA3">
        <w:rPr>
          <w:rFonts w:ascii="Times New Roman" w:hAnsi="Times New Roman"/>
          <w:color w:val="auto"/>
          <w:sz w:val="26"/>
          <w:szCs w:val="26"/>
        </w:rPr>
        <w:br/>
        <w:t xml:space="preserve">и своевременное освоение федеральных средств; повышение эффективности управления государственным имуществом и бюджетными расходами; последовательная реализация инвестиционных проектов без существенных срывов сроков. Базовый сценарий не требует радикальных преобразований, </w:t>
      </w:r>
      <w:r w:rsidR="00840DA3">
        <w:rPr>
          <w:rFonts w:ascii="Times New Roman" w:hAnsi="Times New Roman"/>
          <w:color w:val="auto"/>
          <w:sz w:val="26"/>
          <w:szCs w:val="26"/>
        </w:rPr>
        <w:br/>
      </w:r>
      <w:r w:rsidRPr="00840DA3">
        <w:rPr>
          <w:rFonts w:ascii="Times New Roman" w:hAnsi="Times New Roman"/>
          <w:color w:val="auto"/>
          <w:sz w:val="26"/>
          <w:szCs w:val="26"/>
        </w:rPr>
        <w:t>но и не позволяет совершить качественный рывок.</w:t>
      </w:r>
    </w:p>
    <w:p w:rsidR="00E618FE" w:rsidRPr="00535A4B" w:rsidRDefault="00800098">
      <w:pPr>
        <w:pStyle w:val="41"/>
        <w:rPr>
          <w:rFonts w:ascii="Times New Roman" w:hAnsi="Times New Roman"/>
          <w:lang w:val="ru-RU"/>
        </w:rPr>
      </w:pPr>
      <w:r w:rsidRPr="00535A4B">
        <w:rPr>
          <w:rFonts w:ascii="Times New Roman" w:hAnsi="Times New Roman"/>
          <w:lang w:val="ru-RU"/>
        </w:rPr>
        <w:t>3) Целевой сценарий</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Условия реализации</w:t>
      </w:r>
      <w:r w:rsidRPr="00840DA3">
        <w:rPr>
          <w:rFonts w:ascii="Times New Roman" w:hAnsi="Times New Roman"/>
          <w:color w:val="auto"/>
          <w:sz w:val="26"/>
          <w:szCs w:val="26"/>
        </w:rPr>
        <w:t xml:space="preserve">. Целевой сценарий реализуется при наиболее благоприятном сочетании внешних и внутренних факторов: быстрое снижение ключевой ставки; сохранение высокого уровня частных инвестиций, в том числе </w:t>
      </w:r>
      <w:r w:rsidR="00840DA3">
        <w:rPr>
          <w:rFonts w:ascii="Times New Roman" w:hAnsi="Times New Roman"/>
          <w:color w:val="auto"/>
          <w:sz w:val="26"/>
          <w:szCs w:val="26"/>
        </w:rPr>
        <w:br/>
        <w:t>из госкорпораций; а главное –</w:t>
      </w:r>
      <w:r w:rsidRPr="00840DA3">
        <w:rPr>
          <w:rFonts w:ascii="Times New Roman" w:hAnsi="Times New Roman"/>
          <w:color w:val="auto"/>
          <w:sz w:val="26"/>
          <w:szCs w:val="26"/>
        </w:rPr>
        <w:t xml:space="preserve"> мобилизация всех собственных ресурсов региона </w:t>
      </w:r>
      <w:r w:rsidR="00840DA3">
        <w:rPr>
          <w:rFonts w:ascii="Times New Roman" w:hAnsi="Times New Roman"/>
          <w:color w:val="auto"/>
          <w:sz w:val="26"/>
          <w:szCs w:val="26"/>
        </w:rPr>
        <w:br/>
      </w:r>
      <w:r w:rsidRPr="00840DA3">
        <w:rPr>
          <w:rFonts w:ascii="Times New Roman" w:hAnsi="Times New Roman"/>
          <w:color w:val="auto"/>
          <w:sz w:val="26"/>
          <w:szCs w:val="26"/>
        </w:rPr>
        <w:t>и переход к форсированной модели развития, основанной на максимал</w:t>
      </w:r>
      <w:r w:rsidR="00840DA3">
        <w:rPr>
          <w:rFonts w:ascii="Times New Roman" w:hAnsi="Times New Roman"/>
          <w:color w:val="auto"/>
          <w:sz w:val="26"/>
          <w:szCs w:val="26"/>
        </w:rPr>
        <w:t>ьной кооперации «государство – университеты – промышленность –</w:t>
      </w:r>
      <w:r w:rsidRPr="00840DA3">
        <w:rPr>
          <w:rFonts w:ascii="Times New Roman" w:hAnsi="Times New Roman"/>
          <w:color w:val="auto"/>
          <w:sz w:val="26"/>
          <w:szCs w:val="26"/>
        </w:rPr>
        <w:t xml:space="preserve"> институты развития». Данный сценарий соответствует целевым показателям настоящей Стратегии.</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Экономическая динамика</w:t>
      </w:r>
      <w:r w:rsidRPr="00840DA3">
        <w:rPr>
          <w:rFonts w:ascii="Times New Roman" w:hAnsi="Times New Roman"/>
          <w:color w:val="auto"/>
          <w:sz w:val="26"/>
          <w:szCs w:val="26"/>
        </w:rPr>
        <w:t xml:space="preserve">. Темп роста валового регионального продукта </w:t>
      </w:r>
      <w:r w:rsidR="00840DA3">
        <w:rPr>
          <w:rFonts w:ascii="Times New Roman" w:hAnsi="Times New Roman"/>
          <w:color w:val="auto"/>
          <w:sz w:val="26"/>
          <w:szCs w:val="26"/>
        </w:rPr>
        <w:br/>
      </w:r>
      <w:r w:rsidRPr="00840DA3">
        <w:rPr>
          <w:rFonts w:ascii="Times New Roman" w:hAnsi="Times New Roman"/>
          <w:color w:val="auto"/>
          <w:sz w:val="26"/>
          <w:szCs w:val="26"/>
        </w:rPr>
        <w:t>в сопоставимых ценах к 2020 году с</w:t>
      </w:r>
      <w:r w:rsidR="00840DA3">
        <w:rPr>
          <w:rFonts w:ascii="Times New Roman" w:hAnsi="Times New Roman"/>
          <w:color w:val="auto"/>
          <w:sz w:val="26"/>
          <w:szCs w:val="26"/>
        </w:rPr>
        <w:t>оставит в 2025 году –</w:t>
      </w:r>
      <w:r w:rsidRPr="00840DA3">
        <w:rPr>
          <w:rFonts w:ascii="Times New Roman" w:hAnsi="Times New Roman"/>
          <w:color w:val="auto"/>
          <w:sz w:val="26"/>
          <w:szCs w:val="26"/>
        </w:rPr>
        <w:t xml:space="preserve"> 109,9%, в 2030 году </w:t>
      </w:r>
      <w:r w:rsidR="00840DA3">
        <w:rPr>
          <w:rFonts w:ascii="Times New Roman" w:hAnsi="Times New Roman"/>
          <w:color w:val="auto"/>
          <w:sz w:val="26"/>
          <w:szCs w:val="26"/>
        </w:rPr>
        <w:t>– 125,6%, в 2036 году –</w:t>
      </w:r>
      <w:r w:rsidRPr="00840DA3">
        <w:rPr>
          <w:rFonts w:ascii="Times New Roman" w:hAnsi="Times New Roman"/>
          <w:color w:val="auto"/>
          <w:sz w:val="26"/>
          <w:szCs w:val="26"/>
        </w:rPr>
        <w:t xml:space="preserve"> 148,3%. Это соответствует среднегодовым темпам прироста около 2,8% в период до 2036 года. Инвестиции в основной капитал увеличиваются на 1 </w:t>
      </w:r>
      <w:r w:rsidR="00840DA3">
        <w:rPr>
          <w:rFonts w:ascii="Times New Roman" w:hAnsi="Times New Roman"/>
          <w:color w:val="auto"/>
          <w:sz w:val="26"/>
          <w:szCs w:val="26"/>
        </w:rPr>
        <w:t>–</w:t>
      </w:r>
      <w:r w:rsidRPr="00840DA3">
        <w:rPr>
          <w:rFonts w:ascii="Times New Roman" w:hAnsi="Times New Roman"/>
          <w:color w:val="auto"/>
          <w:sz w:val="26"/>
          <w:szCs w:val="26"/>
        </w:rPr>
        <w:t xml:space="preserve"> 2% в год в реальном выражении, что позволяет к 2036 го</w:t>
      </w:r>
      <w:r w:rsidR="00840DA3">
        <w:rPr>
          <w:rFonts w:ascii="Times New Roman" w:hAnsi="Times New Roman"/>
          <w:color w:val="auto"/>
          <w:sz w:val="26"/>
          <w:szCs w:val="26"/>
        </w:rPr>
        <w:t>ду достичь целевого показателя –</w:t>
      </w:r>
      <w:r w:rsidRPr="00840DA3">
        <w:rPr>
          <w:rFonts w:ascii="Times New Roman" w:hAnsi="Times New Roman"/>
          <w:color w:val="auto"/>
          <w:sz w:val="26"/>
          <w:szCs w:val="26"/>
        </w:rPr>
        <w:t xml:space="preserve"> роста в 1,9 раза по сравнению с 2020 годом. Доля добывающего сектора в общем объеме промышленного производства снижается с 34,6% в 2025 году </w:t>
      </w:r>
      <w:r w:rsidRPr="00840DA3">
        <w:rPr>
          <w:rFonts w:ascii="Times New Roman" w:hAnsi="Times New Roman"/>
          <w:color w:val="auto"/>
          <w:sz w:val="26"/>
          <w:szCs w:val="26"/>
        </w:rPr>
        <w:br/>
        <w:t xml:space="preserve">до 30,6% в 2030 году и достигает 26,0% к 2036 году. Доля продукции высокотехнологичных и наукоемких отраслей экономики в ВРП устойчиво увеличивается: с 21,50% в 2024 году до 23% в 2030 году и до 24% в 2036 году. </w:t>
      </w:r>
      <w:r w:rsidR="00840DA3">
        <w:rPr>
          <w:rFonts w:ascii="Times New Roman" w:hAnsi="Times New Roman"/>
          <w:color w:val="auto"/>
          <w:sz w:val="26"/>
          <w:szCs w:val="26"/>
        </w:rPr>
        <w:br/>
      </w:r>
      <w:r w:rsidRPr="00840DA3">
        <w:rPr>
          <w:rFonts w:ascii="Times New Roman" w:hAnsi="Times New Roman"/>
          <w:color w:val="auto"/>
          <w:sz w:val="26"/>
          <w:szCs w:val="26"/>
        </w:rPr>
        <w:t>Это отражает успешную диверсификацию экономики, рост инновационной активности и укрепление позиций региона как технологического центра. Крупные инфраструктурные проекты реализуются без сдвигов сроков: БРЕСТ-ОД-300 вводится в эксплуатацию в конце 2020-х годов, пе</w:t>
      </w:r>
      <w:r w:rsidR="00840DA3">
        <w:rPr>
          <w:rFonts w:ascii="Times New Roman" w:hAnsi="Times New Roman"/>
          <w:color w:val="auto"/>
          <w:sz w:val="26"/>
          <w:szCs w:val="26"/>
        </w:rPr>
        <w:t>рвый энергоблок АЭС в Северске –</w:t>
      </w:r>
      <w:r w:rsidRPr="00840DA3">
        <w:rPr>
          <w:rFonts w:ascii="Times New Roman" w:hAnsi="Times New Roman"/>
          <w:color w:val="auto"/>
          <w:sz w:val="26"/>
          <w:szCs w:val="26"/>
        </w:rPr>
        <w:t xml:space="preserve"> в первой половине 2030-х годов, второй энергоблок </w:t>
      </w:r>
      <w:r w:rsidR="00840DA3">
        <w:rPr>
          <w:rFonts w:ascii="Times New Roman" w:hAnsi="Times New Roman"/>
          <w:color w:val="auto"/>
          <w:sz w:val="26"/>
          <w:szCs w:val="26"/>
        </w:rPr>
        <w:t>–</w:t>
      </w:r>
      <w:r w:rsidRPr="00840DA3">
        <w:rPr>
          <w:rFonts w:ascii="Times New Roman" w:hAnsi="Times New Roman"/>
          <w:color w:val="auto"/>
          <w:sz w:val="26"/>
          <w:szCs w:val="26"/>
        </w:rPr>
        <w:t xml:space="preserve"> к концу 2030-х годов. </w:t>
      </w:r>
      <w:r w:rsidRPr="00840DA3">
        <w:rPr>
          <w:rFonts w:ascii="Times New Roman" w:hAnsi="Times New Roman"/>
          <w:color w:val="auto"/>
          <w:sz w:val="26"/>
          <w:szCs w:val="26"/>
        </w:rPr>
        <w:lastRenderedPageBreak/>
        <w:t>Создание современного межвузовского кампуса в г. Томске становится центром притяжения исследователей и стартапов.</w:t>
      </w:r>
    </w:p>
    <w:p w:rsidR="00E618FE" w:rsidRPr="00840DA3" w:rsidRDefault="00800098">
      <w:pPr>
        <w:pStyle w:val="a4"/>
        <w:rPr>
          <w:rFonts w:ascii="Times New Roman" w:hAnsi="Times New Roman"/>
          <w:strike/>
          <w:color w:val="auto"/>
          <w:sz w:val="26"/>
          <w:szCs w:val="26"/>
        </w:rPr>
      </w:pPr>
      <w:r w:rsidRPr="00840DA3">
        <w:rPr>
          <w:rFonts w:ascii="Times New Roman" w:hAnsi="Times New Roman"/>
          <w:b/>
          <w:bCs/>
          <w:color w:val="auto"/>
          <w:sz w:val="26"/>
          <w:szCs w:val="26"/>
        </w:rPr>
        <w:t>Глубокая переработка природных ресурсов</w:t>
      </w:r>
      <w:r w:rsidRPr="00840DA3">
        <w:rPr>
          <w:rFonts w:ascii="Times New Roman" w:hAnsi="Times New Roman"/>
          <w:color w:val="auto"/>
          <w:sz w:val="26"/>
          <w:szCs w:val="26"/>
        </w:rPr>
        <w:t xml:space="preserve">. Регион создает полные технологические цепочки переработки. В минерально-сырьевом секторе </w:t>
      </w:r>
      <w:r w:rsidR="00840DA3">
        <w:rPr>
          <w:rFonts w:ascii="Times New Roman" w:hAnsi="Times New Roman"/>
          <w:color w:val="auto"/>
          <w:sz w:val="26"/>
          <w:szCs w:val="26"/>
        </w:rPr>
        <w:t>–</w:t>
      </w:r>
      <w:r w:rsidRPr="00840DA3">
        <w:rPr>
          <w:rFonts w:ascii="Times New Roman" w:hAnsi="Times New Roman"/>
          <w:color w:val="auto"/>
          <w:sz w:val="26"/>
          <w:szCs w:val="26"/>
        </w:rPr>
        <w:t xml:space="preserve"> организация производства пигментного диоксида титана, редкоземельных концентратов, алюминиевых порошков. В углеводородном секторе </w:t>
      </w:r>
      <w:r w:rsidR="00840DA3">
        <w:rPr>
          <w:rFonts w:ascii="Times New Roman" w:hAnsi="Times New Roman"/>
          <w:color w:val="auto"/>
          <w:sz w:val="26"/>
          <w:szCs w:val="26"/>
        </w:rPr>
        <w:t>–</w:t>
      </w:r>
      <w:r w:rsidRPr="00840DA3">
        <w:rPr>
          <w:rFonts w:ascii="Times New Roman" w:hAnsi="Times New Roman"/>
          <w:color w:val="auto"/>
          <w:sz w:val="26"/>
          <w:szCs w:val="26"/>
        </w:rPr>
        <w:t xml:space="preserve"> развитие малотоннажной и среднетоннажной химии (органические пероксиды, специальные реагенты, полимерные композиции) с замещением импортных позиций, создание газохимического комплекса. </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Транспортная инфраструктура</w:t>
      </w:r>
      <w:r w:rsidRPr="00840DA3">
        <w:rPr>
          <w:rFonts w:ascii="Times New Roman" w:hAnsi="Times New Roman"/>
          <w:color w:val="auto"/>
          <w:sz w:val="26"/>
          <w:szCs w:val="26"/>
        </w:rPr>
        <w:t xml:space="preserve">. Регион активно участвует </w:t>
      </w:r>
      <w:r w:rsidRPr="00840DA3">
        <w:rPr>
          <w:rFonts w:ascii="Times New Roman" w:hAnsi="Times New Roman"/>
          <w:color w:val="auto"/>
          <w:sz w:val="26"/>
          <w:szCs w:val="26"/>
        </w:rPr>
        <w:br/>
        <w:t>в формировании меридионального транспортного коридора «Север</w:t>
      </w:r>
      <w:r w:rsidR="00840DA3">
        <w:rPr>
          <w:rFonts w:ascii="Times New Roman" w:hAnsi="Times New Roman"/>
          <w:color w:val="auto"/>
          <w:sz w:val="26"/>
          <w:szCs w:val="26"/>
        </w:rPr>
        <w:t xml:space="preserve"> </w:t>
      </w:r>
      <w:r w:rsidRPr="00840DA3">
        <w:rPr>
          <w:rFonts w:ascii="Times New Roman" w:hAnsi="Times New Roman"/>
          <w:color w:val="auto"/>
          <w:sz w:val="26"/>
          <w:szCs w:val="26"/>
        </w:rPr>
        <w:t>–</w:t>
      </w:r>
      <w:r w:rsidR="00840DA3">
        <w:rPr>
          <w:rFonts w:ascii="Times New Roman" w:hAnsi="Times New Roman"/>
          <w:color w:val="auto"/>
          <w:sz w:val="26"/>
          <w:szCs w:val="26"/>
        </w:rPr>
        <w:t xml:space="preserve"> </w:t>
      </w:r>
      <w:r w:rsidRPr="00840DA3">
        <w:rPr>
          <w:rFonts w:ascii="Times New Roman" w:hAnsi="Times New Roman"/>
          <w:color w:val="auto"/>
          <w:sz w:val="26"/>
          <w:szCs w:val="26"/>
        </w:rPr>
        <w:t xml:space="preserve">Юг» (Северск – Томск – Новосибирск – Средняя Азия). Модернизируется речной порт Томска для перевалки контейнеров и генеральных грузов. На базе Томского научно-производственного центра беспилотных авиационных систем </w:t>
      </w:r>
      <w:r w:rsidR="00840DA3">
        <w:rPr>
          <w:rFonts w:ascii="Times New Roman" w:hAnsi="Times New Roman"/>
          <w:color w:val="auto"/>
          <w:sz w:val="26"/>
          <w:szCs w:val="26"/>
        </w:rPr>
        <w:t>–</w:t>
      </w:r>
      <w:r w:rsidRPr="00840DA3">
        <w:rPr>
          <w:rFonts w:ascii="Times New Roman" w:hAnsi="Times New Roman"/>
          <w:color w:val="auto"/>
          <w:sz w:val="26"/>
          <w:szCs w:val="26"/>
        </w:rPr>
        <w:t xml:space="preserve"> организуются регулярные грузо-перевозки в северные районы с использованием отечественных беспилотных воздушных судов. Внедряется интеллектуальная транспортная система.</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Кадровая политика</w:t>
      </w:r>
      <w:r w:rsidRPr="00840DA3">
        <w:rPr>
          <w:rFonts w:ascii="Times New Roman" w:hAnsi="Times New Roman"/>
          <w:color w:val="auto"/>
          <w:sz w:val="26"/>
          <w:szCs w:val="26"/>
        </w:rPr>
        <w:t xml:space="preserve">. Внедряется модель «бесшовного» образования: профильные классы в школах </w:t>
      </w:r>
      <w:r w:rsidR="00840DA3">
        <w:rPr>
          <w:rFonts w:ascii="Times New Roman" w:hAnsi="Times New Roman"/>
          <w:color w:val="auto"/>
          <w:sz w:val="26"/>
          <w:szCs w:val="26"/>
        </w:rPr>
        <w:t>–</w:t>
      </w:r>
      <w:r w:rsidRPr="00840DA3">
        <w:rPr>
          <w:rFonts w:ascii="Times New Roman" w:hAnsi="Times New Roman"/>
          <w:color w:val="auto"/>
          <w:sz w:val="26"/>
          <w:szCs w:val="26"/>
        </w:rPr>
        <w:t xml:space="preserve"> целевое обучение в колледжах и вузах </w:t>
      </w:r>
      <w:r w:rsidR="00840DA3">
        <w:rPr>
          <w:rFonts w:ascii="Times New Roman" w:hAnsi="Times New Roman"/>
          <w:color w:val="auto"/>
          <w:sz w:val="26"/>
          <w:szCs w:val="26"/>
        </w:rPr>
        <w:t>–</w:t>
      </w:r>
      <w:r w:rsidRPr="00840DA3">
        <w:rPr>
          <w:rFonts w:ascii="Times New Roman" w:hAnsi="Times New Roman"/>
          <w:color w:val="auto"/>
          <w:sz w:val="26"/>
          <w:szCs w:val="26"/>
        </w:rPr>
        <w:t xml:space="preserve"> стажировки на предприятиях </w:t>
      </w:r>
      <w:r w:rsidR="00840DA3">
        <w:rPr>
          <w:rFonts w:ascii="Times New Roman" w:hAnsi="Times New Roman"/>
          <w:color w:val="auto"/>
          <w:sz w:val="26"/>
          <w:szCs w:val="26"/>
        </w:rPr>
        <w:t>–</w:t>
      </w:r>
      <w:r w:rsidRPr="00840DA3">
        <w:rPr>
          <w:rFonts w:ascii="Times New Roman" w:hAnsi="Times New Roman"/>
          <w:color w:val="auto"/>
          <w:sz w:val="26"/>
          <w:szCs w:val="26"/>
        </w:rPr>
        <w:t xml:space="preserve"> трудоустройство с предоставлением жилья. Ежегодный целевой набор составляет не менее 1 000 человек по приоритетным специальностям. Действует региональная программа арендного жилья для молодых специалистов </w:t>
      </w:r>
      <w:r w:rsidR="00840DA3">
        <w:rPr>
          <w:rFonts w:ascii="Times New Roman" w:hAnsi="Times New Roman"/>
          <w:color w:val="auto"/>
          <w:sz w:val="26"/>
          <w:szCs w:val="26"/>
        </w:rPr>
        <w:br/>
      </w:r>
      <w:r w:rsidRPr="00840DA3">
        <w:rPr>
          <w:rFonts w:ascii="Times New Roman" w:hAnsi="Times New Roman"/>
          <w:color w:val="auto"/>
          <w:sz w:val="26"/>
          <w:szCs w:val="26"/>
        </w:rPr>
        <w:t xml:space="preserve">(не менее 500 квартир ежегодно). Создается реестр работодателей, гарантирующих повышенную заработную плату и социальный пакет. Обеспечивается опережающий рост заработной платы в приоритетных секторах экономики (не менее чем </w:t>
      </w:r>
      <w:r w:rsidRPr="00840DA3">
        <w:rPr>
          <w:rFonts w:ascii="Times New Roman" w:hAnsi="Times New Roman"/>
          <w:color w:val="auto"/>
          <w:sz w:val="26"/>
          <w:szCs w:val="26"/>
        </w:rPr>
        <w:br/>
        <w:t>на 10</w:t>
      </w:r>
      <w:r w:rsidR="00840DA3">
        <w:rPr>
          <w:rFonts w:ascii="Times New Roman" w:hAnsi="Times New Roman"/>
          <w:color w:val="auto"/>
          <w:sz w:val="26"/>
          <w:szCs w:val="26"/>
        </w:rPr>
        <w:t xml:space="preserve"> </w:t>
      </w:r>
      <w:r w:rsidRPr="00840DA3">
        <w:rPr>
          <w:rFonts w:ascii="Times New Roman" w:hAnsi="Times New Roman"/>
          <w:color w:val="auto"/>
          <w:sz w:val="26"/>
          <w:szCs w:val="26"/>
        </w:rPr>
        <w:t>–</w:t>
      </w:r>
      <w:r w:rsidR="00840DA3">
        <w:rPr>
          <w:rFonts w:ascii="Times New Roman" w:hAnsi="Times New Roman"/>
          <w:color w:val="auto"/>
          <w:sz w:val="26"/>
          <w:szCs w:val="26"/>
        </w:rPr>
        <w:t xml:space="preserve"> </w:t>
      </w:r>
      <w:r w:rsidRPr="00840DA3">
        <w:rPr>
          <w:rFonts w:ascii="Times New Roman" w:hAnsi="Times New Roman"/>
          <w:color w:val="auto"/>
          <w:sz w:val="26"/>
          <w:szCs w:val="26"/>
        </w:rPr>
        <w:t>15% выше среднего уровня по Сибирскому федеральному округу).</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Демография и уровень жизни</w:t>
      </w:r>
      <w:r w:rsidRPr="00840DA3">
        <w:rPr>
          <w:rFonts w:ascii="Times New Roman" w:hAnsi="Times New Roman"/>
          <w:color w:val="auto"/>
          <w:sz w:val="26"/>
          <w:szCs w:val="26"/>
        </w:rPr>
        <w:t xml:space="preserve">. Целевой сценарий обеспечивает стабилизацию численности населения с последующим ростом. Численность постоянного населения к 2030 году достигает 1 026,5 тыс. человек, </w:t>
      </w:r>
      <w:r w:rsidR="00840DA3">
        <w:rPr>
          <w:rFonts w:ascii="Times New Roman" w:hAnsi="Times New Roman"/>
          <w:color w:val="auto"/>
          <w:sz w:val="26"/>
          <w:szCs w:val="26"/>
        </w:rPr>
        <w:t>к 2036 году –</w:t>
      </w:r>
      <w:r w:rsidRPr="00840DA3">
        <w:rPr>
          <w:rFonts w:ascii="Times New Roman" w:hAnsi="Times New Roman"/>
          <w:color w:val="auto"/>
          <w:sz w:val="26"/>
          <w:szCs w:val="26"/>
        </w:rPr>
        <w:t xml:space="preserve"> 1 030 тыс. человек. Уровень бедности снижается до 7,4% к 2030 году и до 6,1% </w:t>
      </w:r>
      <w:r w:rsidR="00840DA3">
        <w:rPr>
          <w:rFonts w:ascii="Times New Roman" w:hAnsi="Times New Roman"/>
          <w:color w:val="auto"/>
          <w:sz w:val="26"/>
          <w:szCs w:val="26"/>
        </w:rPr>
        <w:br/>
      </w:r>
      <w:r w:rsidRPr="00840DA3">
        <w:rPr>
          <w:rFonts w:ascii="Times New Roman" w:hAnsi="Times New Roman"/>
          <w:color w:val="auto"/>
          <w:sz w:val="26"/>
          <w:szCs w:val="26"/>
        </w:rPr>
        <w:t xml:space="preserve">к 2036 году (целевой показатель). Реальные располагаемые доходы населения растут на 2,2 </w:t>
      </w:r>
      <w:r w:rsidR="00196400">
        <w:rPr>
          <w:rFonts w:ascii="Times New Roman" w:hAnsi="Times New Roman"/>
          <w:color w:val="auto"/>
          <w:sz w:val="26"/>
          <w:szCs w:val="26"/>
        </w:rPr>
        <w:t>–</w:t>
      </w:r>
      <w:r w:rsidRPr="00840DA3">
        <w:rPr>
          <w:rFonts w:ascii="Times New Roman" w:hAnsi="Times New Roman"/>
          <w:color w:val="auto"/>
          <w:sz w:val="26"/>
          <w:szCs w:val="26"/>
        </w:rPr>
        <w:t xml:space="preserve"> 2,4% в год. Ожидаемая продолжительность жизни увеличивается </w:t>
      </w:r>
      <w:r w:rsidR="00196400">
        <w:rPr>
          <w:rFonts w:ascii="Times New Roman" w:hAnsi="Times New Roman"/>
          <w:color w:val="auto"/>
          <w:sz w:val="26"/>
          <w:szCs w:val="26"/>
        </w:rPr>
        <w:br/>
      </w:r>
      <w:r w:rsidRPr="00840DA3">
        <w:rPr>
          <w:rFonts w:ascii="Times New Roman" w:hAnsi="Times New Roman"/>
          <w:color w:val="auto"/>
          <w:sz w:val="26"/>
          <w:szCs w:val="26"/>
        </w:rPr>
        <w:t>до 77,57 лет к 2030 году и до 79,37 лет к 2036 году. Город Томск и ЗАТО Северск входят в топ-10 российских городов по качеству жизни и городской среде.</w:t>
      </w:r>
    </w:p>
    <w:p w:rsidR="00E618FE" w:rsidRPr="00840DA3" w:rsidRDefault="00800098">
      <w:pPr>
        <w:pStyle w:val="a4"/>
        <w:rPr>
          <w:rFonts w:ascii="Times New Roman" w:hAnsi="Times New Roman"/>
          <w:color w:val="auto"/>
          <w:sz w:val="26"/>
          <w:szCs w:val="26"/>
        </w:rPr>
      </w:pPr>
      <w:r w:rsidRPr="00840DA3">
        <w:rPr>
          <w:rFonts w:ascii="Times New Roman" w:hAnsi="Times New Roman"/>
          <w:b/>
          <w:bCs/>
          <w:color w:val="auto"/>
          <w:sz w:val="26"/>
          <w:szCs w:val="26"/>
        </w:rPr>
        <w:t>Ключевые условия реализации целевого сценария</w:t>
      </w:r>
      <w:r w:rsidRPr="00840DA3">
        <w:rPr>
          <w:rFonts w:ascii="Times New Roman" w:hAnsi="Times New Roman"/>
          <w:color w:val="auto"/>
          <w:sz w:val="26"/>
          <w:szCs w:val="26"/>
        </w:rPr>
        <w:t xml:space="preserve">: ежегодное увеличение инвестиций в основной капитал в реальном выражении; создание специального режима для технологических стартапов; заключение долгосрочных соглашений </w:t>
      </w:r>
      <w:r w:rsidR="00196400">
        <w:rPr>
          <w:rFonts w:ascii="Times New Roman" w:hAnsi="Times New Roman"/>
          <w:color w:val="auto"/>
          <w:sz w:val="26"/>
          <w:szCs w:val="26"/>
        </w:rPr>
        <w:br/>
      </w:r>
      <w:r w:rsidRPr="00840DA3">
        <w:rPr>
          <w:rFonts w:ascii="Times New Roman" w:hAnsi="Times New Roman"/>
          <w:color w:val="auto"/>
          <w:sz w:val="26"/>
          <w:szCs w:val="26"/>
        </w:rPr>
        <w:t xml:space="preserve">с госкорпорациями («Росатом», «Ростех», «Роскосмос», АО «РОСНАНО») </w:t>
      </w:r>
      <w:r w:rsidR="00196400">
        <w:rPr>
          <w:rFonts w:ascii="Times New Roman" w:hAnsi="Times New Roman"/>
          <w:color w:val="auto"/>
          <w:sz w:val="26"/>
          <w:szCs w:val="26"/>
        </w:rPr>
        <w:br/>
      </w:r>
      <w:r w:rsidRPr="00840DA3">
        <w:rPr>
          <w:rFonts w:ascii="Times New Roman" w:hAnsi="Times New Roman"/>
          <w:color w:val="auto"/>
          <w:sz w:val="26"/>
          <w:szCs w:val="26"/>
        </w:rPr>
        <w:t>о размещении в регионе новых производств и исследовательских центров; внедрение клиентоцентричной модели государственного управления, сокращающей административные барьеры для бизнеса; опережающее развитие цифровой инфраструктуры и внедрение технологий искусственного интеллекта в отраслях экономики и социальной сфере.</w:t>
      </w:r>
    </w:p>
    <w:p w:rsidR="00E618FE" w:rsidRPr="00840DA3" w:rsidRDefault="00800098">
      <w:pPr>
        <w:pStyle w:val="a4"/>
        <w:rPr>
          <w:rFonts w:ascii="Times New Roman" w:hAnsi="Times New Roman"/>
          <w:color w:val="auto"/>
          <w:sz w:val="26"/>
          <w:szCs w:val="26"/>
        </w:rPr>
      </w:pPr>
      <w:r w:rsidRPr="00840DA3">
        <w:rPr>
          <w:rFonts w:ascii="Times New Roman" w:hAnsi="Times New Roman"/>
          <w:color w:val="auto"/>
          <w:sz w:val="26"/>
          <w:szCs w:val="26"/>
        </w:rPr>
        <w:t>Ожидаемые результаты реализации целевого сценария и развернутый набор целевых индикаторов представлены в разделе 15. Оценка ресурсного обеспечения реализации приводится в разделе 17.</w:t>
      </w:r>
    </w:p>
    <w:p w:rsidR="00E618FE" w:rsidRPr="00535A4B" w:rsidRDefault="00800098">
      <w:pPr>
        <w:pStyle w:val="10"/>
        <w:rPr>
          <w:rFonts w:ascii="Times New Roman" w:eastAsia="PT Astra Serif" w:hAnsi="Times New Roman" w:cs="Times New Roman"/>
          <w:lang w:val="ru-RU"/>
        </w:rPr>
      </w:pPr>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76" w:name="_Toc235810140"/>
      <w:bookmarkStart w:id="77" w:name="_Toc238554528"/>
      <w:r w:rsidRPr="00535A4B">
        <w:rPr>
          <w:rFonts w:ascii="Times New Roman" w:eastAsia="PT Astra Serif" w:hAnsi="Times New Roman" w:cs="Times New Roman"/>
          <w:lang w:val="ru-RU"/>
        </w:rPr>
        <w:lastRenderedPageBreak/>
        <w:t>8. Миссия и долгосрочное стратегическое видение Томской области на период до 2042 года</w:t>
      </w:r>
      <w:bookmarkEnd w:id="46"/>
      <w:bookmarkEnd w:id="76"/>
      <w:bookmarkEnd w:id="77"/>
    </w:p>
    <w:p w:rsidR="00E618FE" w:rsidRPr="00535A4B" w:rsidRDefault="00E618FE">
      <w:pPr>
        <w:pStyle w:val="a4"/>
        <w:rPr>
          <w:rFonts w:ascii="Times New Roman" w:hAnsi="Times New Roman"/>
          <w:color w:val="auto"/>
        </w:rPr>
      </w:pP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При разработке актуализированного видения будущего Томской области на период до 2042 года сохранена преемственность с положениями Стратегии социально-экономического развития Томской области до 2030 года, актуализированной в 2</w:t>
      </w:r>
      <w:r w:rsidR="00196400">
        <w:rPr>
          <w:rFonts w:ascii="Times New Roman" w:hAnsi="Times New Roman"/>
          <w:color w:val="auto"/>
          <w:sz w:val="26"/>
          <w:szCs w:val="26"/>
        </w:rPr>
        <w:t>021 году. Ценностные ориентиры –</w:t>
      </w:r>
      <w:r w:rsidRPr="00196400">
        <w:rPr>
          <w:rFonts w:ascii="Times New Roman" w:hAnsi="Times New Roman"/>
          <w:color w:val="auto"/>
          <w:sz w:val="26"/>
          <w:szCs w:val="26"/>
        </w:rPr>
        <w:t xml:space="preserve"> качество жизни, экологическая чистота, комфортная и безопасная среда, цифровая трансформация, привлечение талантов, самореализация и развитие спос</w:t>
      </w:r>
      <w:r w:rsidR="00196400">
        <w:rPr>
          <w:rFonts w:ascii="Times New Roman" w:hAnsi="Times New Roman"/>
          <w:color w:val="auto"/>
          <w:sz w:val="26"/>
          <w:szCs w:val="26"/>
        </w:rPr>
        <w:t>обностей всех возрастных групп –</w:t>
      </w:r>
      <w:r w:rsidRPr="00196400">
        <w:rPr>
          <w:rFonts w:ascii="Times New Roman" w:hAnsi="Times New Roman"/>
          <w:color w:val="auto"/>
          <w:sz w:val="26"/>
          <w:szCs w:val="26"/>
        </w:rPr>
        <w:t xml:space="preserve"> остаются неизменными.</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Вместе с тем с момента разработки предыдущей редакции произошли радикальные изменения внешних и внутренних условий, что потребовало корректировки целевого образа региона. </w:t>
      </w:r>
    </w:p>
    <w:p w:rsidR="00E618FE" w:rsidRPr="00196400" w:rsidRDefault="00800098">
      <w:pPr>
        <w:pStyle w:val="a4"/>
        <w:rPr>
          <w:rFonts w:ascii="Times New Roman" w:hAnsi="Times New Roman"/>
          <w:color w:val="auto"/>
          <w:sz w:val="26"/>
          <w:szCs w:val="26"/>
        </w:rPr>
      </w:pPr>
      <w:r w:rsidRPr="00196400">
        <w:rPr>
          <w:rFonts w:ascii="Times New Roman" w:hAnsi="Times New Roman"/>
          <w:b/>
          <w:color w:val="auto"/>
          <w:sz w:val="26"/>
          <w:szCs w:val="26"/>
        </w:rPr>
        <w:t>Миссия Томской области</w:t>
      </w:r>
      <w:r w:rsidRPr="00196400">
        <w:rPr>
          <w:rFonts w:ascii="Times New Roman" w:hAnsi="Times New Roman"/>
          <w:color w:val="auto"/>
          <w:sz w:val="26"/>
          <w:szCs w:val="26"/>
        </w:rPr>
        <w:t xml:space="preserve">: </w:t>
      </w:r>
      <w:r w:rsidRPr="00196400">
        <w:rPr>
          <w:rFonts w:ascii="Times New Roman" w:hAnsi="Times New Roman"/>
          <w:b/>
          <w:bCs/>
          <w:color w:val="auto"/>
          <w:sz w:val="26"/>
          <w:szCs w:val="26"/>
        </w:rPr>
        <w:t>достижение высокого качества жизни человека на основе модели устойчивого экономического и технологического развития.</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Миссия реализуется через:</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 развитие и коммерциализацию прорывных научных разработок </w:t>
      </w:r>
      <w:r w:rsidRPr="00196400">
        <w:rPr>
          <w:rFonts w:ascii="Times New Roman" w:hAnsi="Times New Roman"/>
          <w:color w:val="auto"/>
          <w:sz w:val="26"/>
          <w:szCs w:val="26"/>
        </w:rPr>
        <w:br/>
        <w:t>в интересах обороны, энергетики, медицины, экологии и цифровой экономики;</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 формирование на территории региона полных инновационных </w:t>
      </w:r>
      <w:r w:rsidR="00196400">
        <w:rPr>
          <w:rFonts w:ascii="Times New Roman" w:hAnsi="Times New Roman"/>
          <w:color w:val="auto"/>
          <w:sz w:val="26"/>
          <w:szCs w:val="26"/>
        </w:rPr>
        <w:t>цепочек «фундаментальная наука – прикладные исследования – промышленное производство –</w:t>
      </w:r>
      <w:r w:rsidRPr="00196400">
        <w:rPr>
          <w:rFonts w:ascii="Times New Roman" w:hAnsi="Times New Roman"/>
          <w:color w:val="auto"/>
          <w:sz w:val="26"/>
          <w:szCs w:val="26"/>
        </w:rPr>
        <w:t xml:space="preserve"> экспорт высокотехнологичной продукции»;</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создание привлекательной, безопасной и комфортной среды для жизни, учебы, работы и отдыха всех поколений, способствующей народосбережению и обеспечивающей устойчивый рост численности населения за счет притока талантливых и активных людей.</w:t>
      </w:r>
    </w:p>
    <w:p w:rsidR="00E618FE" w:rsidRPr="00196400" w:rsidRDefault="00800098">
      <w:pPr>
        <w:pStyle w:val="a4"/>
        <w:rPr>
          <w:rFonts w:ascii="Times New Roman" w:hAnsi="Times New Roman"/>
          <w:color w:val="auto"/>
          <w:sz w:val="26"/>
          <w:szCs w:val="26"/>
        </w:rPr>
      </w:pPr>
      <w:r w:rsidRPr="00196400">
        <w:rPr>
          <w:rFonts w:ascii="Times New Roman" w:hAnsi="Times New Roman"/>
          <w:b/>
          <w:bCs/>
          <w:color w:val="auto"/>
          <w:sz w:val="26"/>
          <w:szCs w:val="26"/>
        </w:rPr>
        <w:t xml:space="preserve">Целевой образ Томской области </w:t>
      </w:r>
      <w:r w:rsidR="00196400">
        <w:rPr>
          <w:rFonts w:ascii="Times New Roman" w:hAnsi="Times New Roman"/>
          <w:color w:val="auto"/>
          <w:sz w:val="26"/>
          <w:szCs w:val="26"/>
        </w:rPr>
        <w:t>–</w:t>
      </w:r>
      <w:r w:rsidRPr="00196400">
        <w:rPr>
          <w:rFonts w:ascii="Times New Roman" w:hAnsi="Times New Roman"/>
          <w:color w:val="auto"/>
          <w:sz w:val="26"/>
          <w:szCs w:val="26"/>
        </w:rPr>
        <w:t xml:space="preserve"> научно-технологический центр России, где наука, образование, высокотехнологичная промышленность и комфортная среда образуют единое пространство развития и самореализации человека.</w:t>
      </w:r>
    </w:p>
    <w:p w:rsidR="00E618FE" w:rsidRPr="00196400" w:rsidRDefault="00800098">
      <w:pPr>
        <w:pStyle w:val="a4"/>
        <w:rPr>
          <w:rFonts w:ascii="Times New Roman" w:hAnsi="Times New Roman"/>
          <w:color w:val="auto"/>
          <w:sz w:val="26"/>
          <w:szCs w:val="26"/>
        </w:rPr>
      </w:pPr>
      <w:r w:rsidRPr="00196400">
        <w:rPr>
          <w:rFonts w:ascii="Times New Roman" w:hAnsi="Times New Roman"/>
          <w:b/>
          <w:bCs/>
          <w:color w:val="auto"/>
          <w:sz w:val="26"/>
          <w:szCs w:val="26"/>
        </w:rPr>
        <w:t>Ключевые характеристики целевого состояния</w:t>
      </w:r>
      <w:r w:rsidRPr="00196400">
        <w:rPr>
          <w:rFonts w:ascii="Times New Roman" w:hAnsi="Times New Roman"/>
          <w:color w:val="auto"/>
          <w:sz w:val="26"/>
          <w:szCs w:val="26"/>
        </w:rPr>
        <w:t>:</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 </w:t>
      </w:r>
      <w:r w:rsidRPr="00196400">
        <w:rPr>
          <w:rFonts w:ascii="Times New Roman" w:hAnsi="Times New Roman"/>
          <w:b/>
          <w:bCs/>
          <w:color w:val="auto"/>
          <w:sz w:val="26"/>
          <w:szCs w:val="26"/>
        </w:rPr>
        <w:t>в сфере экономики и промышленности</w:t>
      </w:r>
      <w:r w:rsidRPr="00196400">
        <w:rPr>
          <w:rFonts w:ascii="Times New Roman" w:hAnsi="Times New Roman"/>
          <w:color w:val="auto"/>
          <w:sz w:val="26"/>
          <w:szCs w:val="26"/>
        </w:rPr>
        <w:t xml:space="preserve">: Томская область является территорией опережающего развития обрабатывающих производств </w:t>
      </w:r>
      <w:r w:rsidRPr="00196400">
        <w:rPr>
          <w:rFonts w:ascii="Times New Roman" w:hAnsi="Times New Roman"/>
          <w:color w:val="auto"/>
          <w:sz w:val="26"/>
          <w:szCs w:val="26"/>
        </w:rPr>
        <w:br/>
        <w:t xml:space="preserve">и глубокой переработки природных ресурсов. Регион специализируется </w:t>
      </w:r>
      <w:r w:rsidRPr="00196400">
        <w:rPr>
          <w:rFonts w:ascii="Times New Roman" w:hAnsi="Times New Roman"/>
          <w:color w:val="auto"/>
          <w:sz w:val="26"/>
          <w:szCs w:val="26"/>
        </w:rPr>
        <w:br/>
        <w:t>на выпуске продукции с высокой добавленной стоимостью в лесном, минерально-сырьевом и углеводородном комплексах. Завершены крупные инфраструктурные проекты в атомной энергетике нового поколения, что обеспечило энергетическую безопасность и создало базу для развития энергоемких производств. Регион входит в число лидеров Сибири по объему инвестиций и доле высокотехнологичного экспорта;</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 </w:t>
      </w:r>
      <w:r w:rsidRPr="00196400">
        <w:rPr>
          <w:rFonts w:ascii="Times New Roman" w:hAnsi="Times New Roman"/>
          <w:b/>
          <w:bCs/>
          <w:color w:val="auto"/>
          <w:sz w:val="26"/>
          <w:szCs w:val="26"/>
        </w:rPr>
        <w:t>в сфере науки и инноваций</w:t>
      </w:r>
      <w:r w:rsidRPr="00196400">
        <w:rPr>
          <w:rFonts w:ascii="Times New Roman" w:hAnsi="Times New Roman"/>
          <w:color w:val="auto"/>
          <w:sz w:val="26"/>
          <w:szCs w:val="26"/>
        </w:rPr>
        <w:t xml:space="preserve">: Томская область признана одним </w:t>
      </w:r>
      <w:r w:rsidRPr="00196400">
        <w:rPr>
          <w:rFonts w:ascii="Times New Roman" w:hAnsi="Times New Roman"/>
          <w:color w:val="auto"/>
          <w:sz w:val="26"/>
          <w:szCs w:val="26"/>
        </w:rPr>
        <w:br/>
        <w:t xml:space="preserve">из ведущих центров технологического лидерства России по направлениям новых материалов, микроэлектроники, беспилотных авиационных систем, биомедицины </w:t>
      </w:r>
      <w:r w:rsidR="00196400">
        <w:rPr>
          <w:rFonts w:ascii="Times New Roman" w:hAnsi="Times New Roman"/>
          <w:color w:val="auto"/>
          <w:sz w:val="26"/>
          <w:szCs w:val="26"/>
        </w:rPr>
        <w:br/>
      </w:r>
      <w:r w:rsidRPr="00196400">
        <w:rPr>
          <w:rFonts w:ascii="Times New Roman" w:hAnsi="Times New Roman"/>
          <w:color w:val="auto"/>
          <w:sz w:val="26"/>
          <w:szCs w:val="26"/>
        </w:rPr>
        <w:t>и малотоннажной химии. Современный межвузовский кампус в г. Томске и передовые инженерные школы обеспечивают интеграцию фундаментальной науки, прикладных исследований и промышленного производства. Регион ежегодно входит в тройку лидеров Национального рейтинга научно-технологического развития субъектов Российской Федерации, а доля инновационной продукции в экономике устойчиво растет;</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lastRenderedPageBreak/>
        <w:t xml:space="preserve">— </w:t>
      </w:r>
      <w:r w:rsidRPr="00196400">
        <w:rPr>
          <w:rFonts w:ascii="Times New Roman" w:hAnsi="Times New Roman"/>
          <w:b/>
          <w:bCs/>
          <w:color w:val="auto"/>
          <w:sz w:val="26"/>
          <w:szCs w:val="26"/>
        </w:rPr>
        <w:t>в сфере инфраструктуры и транспорта</w:t>
      </w:r>
      <w:r w:rsidRPr="00196400">
        <w:rPr>
          <w:rFonts w:ascii="Times New Roman" w:hAnsi="Times New Roman"/>
          <w:color w:val="auto"/>
          <w:sz w:val="26"/>
          <w:szCs w:val="26"/>
        </w:rPr>
        <w:t xml:space="preserve">: Томская область обладает современной транспортной системой, обеспечивающей надежную связанность южных и центральных районов, а для северных территорий </w:t>
      </w:r>
      <w:r w:rsidR="00196400">
        <w:rPr>
          <w:rFonts w:ascii="Times New Roman" w:hAnsi="Times New Roman"/>
          <w:color w:val="auto"/>
          <w:sz w:val="26"/>
          <w:szCs w:val="26"/>
        </w:rPr>
        <w:t>–</w:t>
      </w:r>
      <w:r w:rsidRPr="00196400">
        <w:rPr>
          <w:rFonts w:ascii="Times New Roman" w:hAnsi="Times New Roman"/>
          <w:color w:val="auto"/>
          <w:sz w:val="26"/>
          <w:szCs w:val="26"/>
        </w:rPr>
        <w:t xml:space="preserve"> значительное повышение доступности за счет модернизации речного порта, возрождения малой авиации и внедрения беспилотных авиационных систем. Полная круглогодичная связанность всех отдаленных северных населенных пунктов остается долгосрочным ориентиром, достижение которого сопряжено с необходимостью федеральных инвестиций в опорную транспортную инфраструктуру и реализацией проекта Северного широтного хода.</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 </w:t>
      </w:r>
      <w:r w:rsidRPr="00196400">
        <w:rPr>
          <w:rFonts w:ascii="Times New Roman" w:hAnsi="Times New Roman"/>
          <w:b/>
          <w:bCs/>
          <w:color w:val="auto"/>
          <w:sz w:val="26"/>
          <w:szCs w:val="26"/>
        </w:rPr>
        <w:t>в сфере человеческого капитала и качества жизни</w:t>
      </w:r>
      <w:r w:rsidRPr="00196400">
        <w:rPr>
          <w:rFonts w:ascii="Times New Roman" w:hAnsi="Times New Roman"/>
          <w:color w:val="auto"/>
          <w:sz w:val="26"/>
          <w:szCs w:val="26"/>
        </w:rPr>
        <w:t xml:space="preserve">: Томская область преодолела многолетний демографический спад и стала территорией притяжения молодых специалистов, ученых и предпринимателей из других регионов </w:t>
      </w:r>
      <w:r w:rsidR="00196400">
        <w:rPr>
          <w:rFonts w:ascii="Times New Roman" w:hAnsi="Times New Roman"/>
          <w:color w:val="auto"/>
          <w:sz w:val="26"/>
          <w:szCs w:val="26"/>
        </w:rPr>
        <w:br/>
      </w:r>
      <w:r w:rsidRPr="00196400">
        <w:rPr>
          <w:rFonts w:ascii="Times New Roman" w:hAnsi="Times New Roman"/>
          <w:color w:val="auto"/>
          <w:sz w:val="26"/>
          <w:szCs w:val="26"/>
        </w:rPr>
        <w:t xml:space="preserve">и из-за рубежа. Созданы условия для «бесшовного» образования и карьеры </w:t>
      </w:r>
      <w:r w:rsidR="00196400">
        <w:rPr>
          <w:rFonts w:ascii="Times New Roman" w:hAnsi="Times New Roman"/>
          <w:color w:val="auto"/>
          <w:sz w:val="26"/>
          <w:szCs w:val="26"/>
        </w:rPr>
        <w:t>–</w:t>
      </w:r>
      <w:r w:rsidRPr="00196400">
        <w:rPr>
          <w:rFonts w:ascii="Times New Roman" w:hAnsi="Times New Roman"/>
          <w:color w:val="auto"/>
          <w:sz w:val="26"/>
          <w:szCs w:val="26"/>
        </w:rPr>
        <w:t xml:space="preserve"> </w:t>
      </w:r>
      <w:r w:rsidR="00196400">
        <w:rPr>
          <w:rFonts w:ascii="Times New Roman" w:hAnsi="Times New Roman"/>
          <w:color w:val="auto"/>
          <w:sz w:val="26"/>
          <w:szCs w:val="26"/>
        </w:rPr>
        <w:br/>
      </w:r>
      <w:r w:rsidRPr="00196400">
        <w:rPr>
          <w:rFonts w:ascii="Times New Roman" w:hAnsi="Times New Roman"/>
          <w:color w:val="auto"/>
          <w:sz w:val="26"/>
          <w:szCs w:val="26"/>
        </w:rPr>
        <w:t xml:space="preserve">от получения общего образования до трудоустройства с предоставлением жилья. Уровень бедности снижен до минимальных значений, реальные доходы населения существенно выросли. Город Томск и ЗАТО Северск входят в число лучших городов России по качеству городской среды и доступности социальных услуг. Томская агломерация становится драйвером развития научного потенциала </w:t>
      </w:r>
      <w:r w:rsidR="00196400">
        <w:rPr>
          <w:rFonts w:ascii="Times New Roman" w:hAnsi="Times New Roman"/>
          <w:color w:val="auto"/>
          <w:sz w:val="26"/>
          <w:szCs w:val="26"/>
        </w:rPr>
        <w:br/>
      </w:r>
      <w:r w:rsidRPr="00196400">
        <w:rPr>
          <w:rFonts w:ascii="Times New Roman" w:hAnsi="Times New Roman"/>
          <w:color w:val="auto"/>
          <w:sz w:val="26"/>
          <w:szCs w:val="26"/>
        </w:rPr>
        <w:t>и технологического суверенитета на федеральном уровне;</w:t>
      </w:r>
    </w:p>
    <w:p w:rsidR="00E618FE" w:rsidRPr="00196400" w:rsidRDefault="00800098">
      <w:pPr>
        <w:pStyle w:val="a4"/>
        <w:rPr>
          <w:rFonts w:ascii="Times New Roman" w:hAnsi="Times New Roman"/>
          <w:color w:val="auto"/>
          <w:sz w:val="26"/>
          <w:szCs w:val="26"/>
        </w:rPr>
      </w:pPr>
      <w:r w:rsidRPr="00196400">
        <w:rPr>
          <w:rFonts w:ascii="Times New Roman" w:hAnsi="Times New Roman"/>
          <w:b/>
          <w:bCs/>
          <w:color w:val="auto"/>
          <w:sz w:val="26"/>
          <w:szCs w:val="26"/>
        </w:rPr>
        <w:t>— в сфере экологии и устойчивого развития</w:t>
      </w:r>
      <w:r w:rsidRPr="00196400">
        <w:rPr>
          <w:rFonts w:ascii="Times New Roman" w:hAnsi="Times New Roman"/>
          <w:color w:val="auto"/>
          <w:sz w:val="26"/>
          <w:szCs w:val="26"/>
        </w:rPr>
        <w:t xml:space="preserve">: Томская область является одним из лидеров Сибири по обращению с отходами, лесовосстановлению </w:t>
      </w:r>
      <w:r w:rsidR="00196400">
        <w:rPr>
          <w:rFonts w:ascii="Times New Roman" w:hAnsi="Times New Roman"/>
          <w:color w:val="auto"/>
          <w:sz w:val="26"/>
          <w:szCs w:val="26"/>
        </w:rPr>
        <w:br/>
      </w:r>
      <w:r w:rsidRPr="00196400">
        <w:rPr>
          <w:rFonts w:ascii="Times New Roman" w:hAnsi="Times New Roman"/>
          <w:color w:val="auto"/>
          <w:sz w:val="26"/>
          <w:szCs w:val="26"/>
        </w:rPr>
        <w:t>и качеству водных объектов. Доля обрабатываемых твердых коммунальных отходов достигла стопроцентных значений, площадь лесовосстановления ежегодно превышает площадь вырубок. Регион вносит вклад в достижение углеродной нейтральности и развитие возобновляемой энергетики;</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 </w:t>
      </w:r>
      <w:r w:rsidRPr="00196400">
        <w:rPr>
          <w:rFonts w:ascii="Times New Roman" w:hAnsi="Times New Roman"/>
          <w:b/>
          <w:bCs/>
          <w:color w:val="auto"/>
          <w:sz w:val="26"/>
          <w:szCs w:val="26"/>
        </w:rPr>
        <w:t>в сфере управления и гражданского общества</w:t>
      </w:r>
      <w:r w:rsidRPr="00196400">
        <w:rPr>
          <w:rFonts w:ascii="Times New Roman" w:hAnsi="Times New Roman"/>
          <w:color w:val="auto"/>
          <w:sz w:val="26"/>
          <w:szCs w:val="26"/>
        </w:rPr>
        <w:t>: Томская область внедрила клиентоцентричную модель государственного управления: массовые социально значимые услуги предоставляются в электронном виде, а уровень удовлетворенности граждан качеством государственных и муниципальных услуг приближен к максимальному. Развиты механизмы общественного контроля, инициативного бюджетирования и поддержки некоммерческих организаций. Межнациональные и межконфессиональные отношения характеризуются высоким уровнем согласия и взаимного уважения.</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Реализация целевого образа требует скоординированных усилий </w:t>
      </w:r>
      <w:r w:rsidR="00196400">
        <w:rPr>
          <w:rFonts w:ascii="Times New Roman" w:hAnsi="Times New Roman"/>
          <w:color w:val="auto"/>
          <w:sz w:val="26"/>
          <w:szCs w:val="26"/>
        </w:rPr>
        <w:br/>
      </w:r>
      <w:r w:rsidRPr="00196400">
        <w:rPr>
          <w:rFonts w:ascii="Times New Roman" w:hAnsi="Times New Roman"/>
          <w:color w:val="auto"/>
          <w:sz w:val="26"/>
          <w:szCs w:val="26"/>
        </w:rPr>
        <w:t xml:space="preserve">на региональном, муниципальном и отраслевом уровнях, а также активного участия бизнеса, научного и образовательного сообщества, общественных организаций. Стратегия сохраняет преемственность с предыдущими стратегическими документами, но адаптирует целевые ориентиры и механизмы их достижения </w:t>
      </w:r>
      <w:r w:rsidR="00196400">
        <w:rPr>
          <w:rFonts w:ascii="Times New Roman" w:hAnsi="Times New Roman"/>
          <w:color w:val="auto"/>
          <w:sz w:val="26"/>
          <w:szCs w:val="26"/>
        </w:rPr>
        <w:br/>
        <w:t>к новым вызовам –</w:t>
      </w:r>
      <w:r w:rsidRPr="00196400">
        <w:rPr>
          <w:rFonts w:ascii="Times New Roman" w:hAnsi="Times New Roman"/>
          <w:color w:val="auto"/>
          <w:sz w:val="26"/>
          <w:szCs w:val="26"/>
        </w:rPr>
        <w:t xml:space="preserve"> долгосрочным геополитическим и санкционным ограничениям, необходимости обеспечения технологического суверенитета, ограничению возможностей федерального софинансирования, транспортной изоляции региона и кадровому дефициту.</w:t>
      </w:r>
    </w:p>
    <w:p w:rsidR="00E618FE" w:rsidRPr="00535A4B" w:rsidRDefault="00E618FE">
      <w:pPr>
        <w:pStyle w:val="a4"/>
        <w:rPr>
          <w:rFonts w:ascii="Times New Roman" w:hAnsi="Times New Roman"/>
          <w:color w:val="auto"/>
        </w:rPr>
      </w:pPr>
    </w:p>
    <w:p w:rsidR="00E618FE" w:rsidRPr="00535A4B" w:rsidRDefault="00800098">
      <w:pPr>
        <w:pStyle w:val="10"/>
        <w:rPr>
          <w:rFonts w:ascii="Times New Roman" w:eastAsia="PT Astra Serif" w:hAnsi="Times New Roman" w:cs="Times New Roman"/>
          <w:lang w:val="ru-RU"/>
        </w:rPr>
      </w:pPr>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78" w:name="_Hlk228534536"/>
      <w:bookmarkStart w:id="79" w:name="_Toc235810141"/>
      <w:bookmarkStart w:id="80" w:name="_Toc238554529"/>
      <w:bookmarkStart w:id="81" w:name="_Hlk230973429"/>
      <w:bookmarkStart w:id="82" w:name="_Hlk231181850"/>
      <w:r w:rsidRPr="00535A4B">
        <w:rPr>
          <w:rFonts w:ascii="Times New Roman" w:eastAsia="PT Astra Serif" w:hAnsi="Times New Roman" w:cs="Times New Roman"/>
          <w:lang w:val="ru-RU"/>
        </w:rPr>
        <w:lastRenderedPageBreak/>
        <w:t>9. Региональная цель 1 «</w:t>
      </w:r>
      <w:r w:rsidRPr="00535A4B">
        <w:rPr>
          <w:rFonts w:ascii="Times New Roman" w:eastAsia="PT Astra Serif" w:hAnsi="Times New Roman" w:cs="Times New Roman"/>
          <w:bCs/>
          <w:lang w:val="ru-RU"/>
        </w:rPr>
        <w:t>Сохранение населения, укрепление здоровья и повышение благополучия людей, поддержка семьи</w:t>
      </w:r>
      <w:r w:rsidRPr="00535A4B">
        <w:rPr>
          <w:rFonts w:ascii="Times New Roman" w:eastAsia="PT Astra Serif" w:hAnsi="Times New Roman" w:cs="Times New Roman"/>
          <w:lang w:val="ru-RU"/>
        </w:rPr>
        <w:t>»</w:t>
      </w:r>
      <w:bookmarkEnd w:id="78"/>
      <w:bookmarkEnd w:id="79"/>
      <w:bookmarkEnd w:id="80"/>
    </w:p>
    <w:p w:rsidR="00E618FE" w:rsidRPr="00535A4B" w:rsidRDefault="00E618FE">
      <w:pPr>
        <w:pStyle w:val="a4"/>
        <w:rPr>
          <w:rFonts w:ascii="Times New Roman" w:eastAsia="PT Astra Serif" w:hAnsi="Times New Roman"/>
          <w:color w:val="auto"/>
        </w:rPr>
      </w:pPr>
    </w:p>
    <w:p w:rsidR="00E618FE" w:rsidRPr="00196400" w:rsidRDefault="00800098">
      <w:pPr>
        <w:pStyle w:val="a4"/>
        <w:rPr>
          <w:rFonts w:ascii="Times New Roman" w:hAnsi="Times New Roman"/>
          <w:bCs/>
          <w:color w:val="auto"/>
          <w:sz w:val="26"/>
          <w:szCs w:val="26"/>
          <w:lang w:eastAsia="en-US" w:bidi="en-US"/>
        </w:rPr>
      </w:pPr>
      <w:r w:rsidRPr="00196400">
        <w:rPr>
          <w:rFonts w:ascii="Times New Roman" w:hAnsi="Times New Roman"/>
          <w:b/>
          <w:bCs/>
          <w:color w:val="auto"/>
          <w:sz w:val="26"/>
          <w:szCs w:val="26"/>
        </w:rPr>
        <w:t>Региональная цель 1 «Сохранение населения, укрепление здоровья и повышение благополучия людей, поддержка семьи»</w:t>
      </w:r>
      <w:r w:rsidRPr="00196400">
        <w:rPr>
          <w:rFonts w:ascii="Times New Roman" w:hAnsi="Times New Roman"/>
          <w:color w:val="auto"/>
          <w:sz w:val="26"/>
          <w:szCs w:val="26"/>
        </w:rPr>
        <w:t xml:space="preserve"> задает стратегические контуры социальной политики Томской области и выступает интегральным критерием достижения Стратегии, предусматривая переход от устойчивой демографической убыли к </w:t>
      </w:r>
      <w:r w:rsidRPr="00196400">
        <w:rPr>
          <w:rFonts w:ascii="Times New Roman" w:eastAsia="PT Astra Serif" w:hAnsi="Times New Roman"/>
          <w:color w:val="auto"/>
          <w:sz w:val="26"/>
          <w:szCs w:val="26"/>
        </w:rPr>
        <w:t>стабилизации</w:t>
      </w:r>
      <w:r w:rsidRPr="00196400">
        <w:rPr>
          <w:rFonts w:ascii="Times New Roman" w:hAnsi="Times New Roman"/>
          <w:color w:val="auto"/>
          <w:sz w:val="26"/>
          <w:szCs w:val="26"/>
        </w:rPr>
        <w:t xml:space="preserve"> численности населения и повышению суммарного коэффициента рождаемости до 1,564 </w:t>
      </w:r>
      <w:r w:rsidRPr="00196400">
        <w:rPr>
          <w:rFonts w:ascii="Times New Roman" w:hAnsi="Times New Roman"/>
          <w:bCs/>
          <w:color w:val="auto"/>
          <w:sz w:val="26"/>
          <w:szCs w:val="26"/>
          <w:lang w:eastAsia="en-US" w:bidi="en-US"/>
        </w:rPr>
        <w:t xml:space="preserve">к 2036 году, в том числе за счет роста рождаемости третьих и последующих детей и обеспечения </w:t>
      </w:r>
      <w:r w:rsidRPr="00196400">
        <w:rPr>
          <w:rFonts w:ascii="Times New Roman" w:eastAsia="PT Astra Serif" w:hAnsi="Times New Roman"/>
          <w:color w:val="auto"/>
          <w:sz w:val="26"/>
          <w:szCs w:val="26"/>
        </w:rPr>
        <w:t>темпов</w:t>
      </w:r>
      <w:r w:rsidRPr="00196400">
        <w:rPr>
          <w:rFonts w:ascii="Times New Roman" w:hAnsi="Times New Roman"/>
          <w:bCs/>
          <w:color w:val="auto"/>
          <w:sz w:val="26"/>
          <w:szCs w:val="26"/>
          <w:lang w:eastAsia="en-US" w:bidi="en-US"/>
        </w:rPr>
        <w:t xml:space="preserve"> улучшения демографических показателей не ниже среднероссийских. Достижение цели обеспечивается реализацией пяти взаимосвязанных стратегических приоритетов:</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стратегический приоритет 1.1. «Семья </w:t>
      </w:r>
      <w:r w:rsidR="00196400">
        <w:rPr>
          <w:rFonts w:ascii="Times New Roman" w:eastAsia="Calibri" w:hAnsi="Times New Roman"/>
          <w:color w:val="auto"/>
          <w:sz w:val="26"/>
          <w:szCs w:val="26"/>
        </w:rPr>
        <w:t xml:space="preserve">– </w:t>
      </w:r>
      <w:r w:rsidRPr="00196400">
        <w:rPr>
          <w:rFonts w:ascii="Times New Roman" w:eastAsia="Calibri" w:hAnsi="Times New Roman"/>
          <w:color w:val="auto"/>
          <w:sz w:val="26"/>
          <w:szCs w:val="26"/>
        </w:rPr>
        <w:t>основа будущего»;</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w:t>
      </w:r>
      <w:r w:rsidR="00196400">
        <w:rPr>
          <w:rFonts w:ascii="Times New Roman" w:eastAsia="Calibri" w:hAnsi="Times New Roman"/>
          <w:color w:val="auto"/>
          <w:sz w:val="26"/>
          <w:szCs w:val="26"/>
        </w:rPr>
        <w:t xml:space="preserve"> </w:t>
      </w:r>
      <w:r w:rsidRPr="00196400">
        <w:rPr>
          <w:rFonts w:ascii="Times New Roman" w:eastAsia="Calibri" w:hAnsi="Times New Roman"/>
          <w:color w:val="auto"/>
          <w:sz w:val="26"/>
          <w:szCs w:val="26"/>
        </w:rPr>
        <w:t xml:space="preserve">стратегический приоритет 1.2. </w:t>
      </w:r>
      <w:r w:rsidRPr="00196400">
        <w:rPr>
          <w:rFonts w:ascii="Times New Roman" w:hAnsi="Times New Roman"/>
          <w:color w:val="auto"/>
          <w:sz w:val="26"/>
          <w:szCs w:val="26"/>
        </w:rPr>
        <w:t>«Здоровая, пр</w:t>
      </w:r>
      <w:r w:rsidR="00196400">
        <w:rPr>
          <w:rFonts w:ascii="Times New Roman" w:hAnsi="Times New Roman"/>
          <w:color w:val="auto"/>
          <w:sz w:val="26"/>
          <w:szCs w:val="26"/>
        </w:rPr>
        <w:t>одолжительная и активная жизнь –</w:t>
      </w:r>
      <w:r w:rsidRPr="00196400">
        <w:rPr>
          <w:rFonts w:ascii="Times New Roman" w:hAnsi="Times New Roman"/>
          <w:color w:val="auto"/>
          <w:sz w:val="26"/>
          <w:szCs w:val="26"/>
        </w:rPr>
        <w:t xml:space="preserve"> общее дело»;</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стратегический приоритет 1.3. </w:t>
      </w:r>
      <w:r w:rsidR="00196400">
        <w:rPr>
          <w:rFonts w:ascii="Times New Roman" w:hAnsi="Times New Roman"/>
          <w:color w:val="auto"/>
          <w:sz w:val="26"/>
          <w:szCs w:val="26"/>
        </w:rPr>
        <w:t>«Физкультура и спорт –</w:t>
      </w:r>
      <w:r w:rsidRPr="00196400">
        <w:rPr>
          <w:rFonts w:ascii="Times New Roman" w:hAnsi="Times New Roman"/>
          <w:color w:val="auto"/>
          <w:sz w:val="26"/>
          <w:szCs w:val="26"/>
        </w:rPr>
        <w:t xml:space="preserve"> равные возможности для каждого»;</w:t>
      </w:r>
    </w:p>
    <w:p w:rsidR="00E618FE" w:rsidRPr="00196400" w:rsidRDefault="00800098">
      <w:pPr>
        <w:pStyle w:val="a4"/>
        <w:rPr>
          <w:rFonts w:ascii="Times New Roman" w:hAnsi="Times New Roman"/>
          <w:color w:val="auto"/>
          <w:sz w:val="26"/>
          <w:szCs w:val="26"/>
        </w:rPr>
      </w:pPr>
      <w:r w:rsidRPr="00196400">
        <w:rPr>
          <w:rFonts w:ascii="Times New Roman" w:eastAsia="Calibri" w:hAnsi="Times New Roman"/>
          <w:color w:val="auto"/>
          <w:sz w:val="26"/>
          <w:szCs w:val="26"/>
        </w:rPr>
        <w:t xml:space="preserve">— стратегический приоритет 1.4. </w:t>
      </w:r>
      <w:r w:rsidRPr="00196400">
        <w:rPr>
          <w:rFonts w:ascii="Times New Roman" w:hAnsi="Times New Roman"/>
          <w:color w:val="auto"/>
          <w:sz w:val="26"/>
          <w:szCs w:val="26"/>
        </w:rPr>
        <w:t>«Поддержка отдельных категорий граждан, в том числе участников СВО и членов их семей»;</w:t>
      </w:r>
    </w:p>
    <w:p w:rsidR="00E618FE" w:rsidRPr="00196400" w:rsidRDefault="00800098">
      <w:pPr>
        <w:pStyle w:val="a4"/>
        <w:rPr>
          <w:rFonts w:ascii="Times New Roman" w:hAnsi="Times New Roman"/>
          <w:bCs/>
          <w:color w:val="auto"/>
          <w:sz w:val="26"/>
          <w:szCs w:val="26"/>
          <w:lang w:eastAsia="en-US" w:bidi="en-US"/>
        </w:rPr>
      </w:pPr>
      <w:r w:rsidRPr="00196400">
        <w:rPr>
          <w:rFonts w:ascii="Times New Roman" w:eastAsia="Calibri" w:hAnsi="Times New Roman"/>
          <w:color w:val="auto"/>
          <w:sz w:val="26"/>
          <w:szCs w:val="26"/>
        </w:rPr>
        <w:t xml:space="preserve">— стратегический приоритет 1.5. </w:t>
      </w:r>
      <w:r w:rsidRPr="00196400">
        <w:rPr>
          <w:rFonts w:ascii="Times New Roman" w:hAnsi="Times New Roman"/>
          <w:bCs/>
          <w:color w:val="auto"/>
          <w:sz w:val="26"/>
          <w:szCs w:val="26"/>
        </w:rPr>
        <w:t>«Занятость и повышение уровня жизни населения».</w:t>
      </w:r>
    </w:p>
    <w:p w:rsidR="00E618FE" w:rsidRPr="00196400" w:rsidRDefault="00800098">
      <w:pPr>
        <w:pStyle w:val="a4"/>
        <w:rPr>
          <w:rFonts w:ascii="Times New Roman" w:hAnsi="Times New Roman"/>
          <w:bCs/>
          <w:color w:val="auto"/>
          <w:sz w:val="26"/>
          <w:szCs w:val="26"/>
          <w:lang w:eastAsia="en-US" w:bidi="en-US"/>
        </w:rPr>
      </w:pPr>
      <w:r w:rsidRPr="00196400">
        <w:rPr>
          <w:rFonts w:ascii="Times New Roman" w:hAnsi="Times New Roman"/>
          <w:bCs/>
          <w:color w:val="auto"/>
          <w:sz w:val="26"/>
          <w:szCs w:val="26"/>
          <w:lang w:eastAsia="en-US" w:bidi="en-US"/>
        </w:rPr>
        <w:t>Достижение цели требует согласованных действий в сферах демографии, поддержки семьи, здравоохранения, физкультуры и спорта, социальной защиты населения, образования, занятости, городской среды.</w:t>
      </w:r>
    </w:p>
    <w:p w:rsidR="00E618FE" w:rsidRPr="00196400" w:rsidRDefault="00800098">
      <w:pPr>
        <w:pStyle w:val="a4"/>
        <w:rPr>
          <w:rFonts w:ascii="Times New Roman" w:hAnsi="Times New Roman"/>
          <w:color w:val="auto"/>
          <w:sz w:val="26"/>
          <w:szCs w:val="26"/>
        </w:rPr>
      </w:pPr>
      <w:r w:rsidRPr="00196400">
        <w:rPr>
          <w:rFonts w:ascii="Times New Roman" w:hAnsi="Times New Roman"/>
          <w:b/>
          <w:bCs/>
          <w:color w:val="auto"/>
          <w:sz w:val="26"/>
          <w:szCs w:val="26"/>
        </w:rPr>
        <w:t xml:space="preserve">Стратегический приоритет 1.1. «Семья </w:t>
      </w:r>
      <w:r w:rsidR="00196400">
        <w:rPr>
          <w:rFonts w:ascii="Times New Roman" w:hAnsi="Times New Roman"/>
          <w:color w:val="auto"/>
          <w:sz w:val="26"/>
          <w:szCs w:val="26"/>
        </w:rPr>
        <w:t>–</w:t>
      </w:r>
      <w:r w:rsidRPr="00196400">
        <w:rPr>
          <w:rFonts w:ascii="Times New Roman" w:hAnsi="Times New Roman"/>
          <w:b/>
          <w:bCs/>
          <w:color w:val="auto"/>
          <w:sz w:val="26"/>
          <w:szCs w:val="26"/>
        </w:rPr>
        <w:t xml:space="preserve"> основа будущего</w:t>
      </w:r>
      <w:r w:rsidRPr="00196400">
        <w:rPr>
          <w:rFonts w:ascii="Times New Roman" w:hAnsi="Times New Roman"/>
          <w:b/>
          <w:color w:val="auto"/>
          <w:sz w:val="26"/>
          <w:szCs w:val="26"/>
        </w:rPr>
        <w:t>»</w:t>
      </w:r>
      <w:r w:rsidRPr="00196400">
        <w:rPr>
          <w:rFonts w:ascii="Times New Roman" w:hAnsi="Times New Roman"/>
          <w:color w:val="auto"/>
          <w:sz w:val="26"/>
          <w:szCs w:val="26"/>
        </w:rPr>
        <w:t xml:space="preserve"> предусматривает формирование в Томской области целостной семейно</w:t>
      </w:r>
      <w:r w:rsidRPr="00196400">
        <w:rPr>
          <w:rFonts w:ascii="Times New Roman" w:hAnsi="Times New Roman"/>
          <w:color w:val="auto"/>
          <w:sz w:val="26"/>
          <w:szCs w:val="26"/>
        </w:rPr>
        <w:noBreakHyphen/>
        <w:t xml:space="preserve">демографической политики, ориентированной на сопровождение семьи </w:t>
      </w:r>
      <w:r w:rsidR="00196400">
        <w:rPr>
          <w:rFonts w:ascii="Times New Roman" w:hAnsi="Times New Roman"/>
          <w:color w:val="auto"/>
          <w:sz w:val="26"/>
          <w:szCs w:val="26"/>
        </w:rPr>
        <w:br/>
      </w:r>
      <w:r w:rsidRPr="00196400">
        <w:rPr>
          <w:rFonts w:ascii="Times New Roman" w:hAnsi="Times New Roman"/>
          <w:color w:val="auto"/>
          <w:sz w:val="26"/>
          <w:szCs w:val="26"/>
        </w:rPr>
        <w:t xml:space="preserve">на всех этапах жизненного цикла, </w:t>
      </w:r>
      <w:r w:rsidRPr="00196400">
        <w:rPr>
          <w:rFonts w:ascii="Times New Roman" w:eastAsia="PT Astra Serif" w:hAnsi="Times New Roman"/>
          <w:color w:val="auto"/>
          <w:sz w:val="26"/>
          <w:szCs w:val="26"/>
        </w:rPr>
        <w:t>повышение</w:t>
      </w:r>
      <w:r w:rsidRPr="00196400">
        <w:rPr>
          <w:rFonts w:ascii="Times New Roman" w:hAnsi="Times New Roman"/>
          <w:color w:val="auto"/>
          <w:sz w:val="26"/>
          <w:szCs w:val="26"/>
        </w:rPr>
        <w:t xml:space="preserve"> рождаемости, поддержку многодетных, молодых и студенческих семей и укрепление института семьи. </w:t>
      </w:r>
      <w:r w:rsidR="00196400">
        <w:rPr>
          <w:rFonts w:ascii="Times New Roman" w:hAnsi="Times New Roman"/>
          <w:color w:val="auto"/>
          <w:sz w:val="26"/>
          <w:szCs w:val="26"/>
        </w:rPr>
        <w:br/>
      </w:r>
      <w:r w:rsidRPr="00196400">
        <w:rPr>
          <w:rFonts w:ascii="Times New Roman" w:hAnsi="Times New Roman"/>
          <w:color w:val="auto"/>
          <w:sz w:val="26"/>
          <w:szCs w:val="26"/>
        </w:rPr>
        <w:t xml:space="preserve">В рамках реализации приоритета обеспечивается переход от преимущественно компенсационных мер к системной модели сопровождения семьи. При этом переход не означает отказа от выплат, необходимо встраивание адресных финансовых инструментов в комплекс инфраструктурных, жилищных программ и программ поддержки занятости таким образом, чтобы они дополняли друг друга, </w:t>
      </w:r>
      <w:r w:rsidR="00196400">
        <w:rPr>
          <w:rFonts w:ascii="Times New Roman" w:hAnsi="Times New Roman"/>
          <w:color w:val="auto"/>
          <w:sz w:val="26"/>
          <w:szCs w:val="26"/>
        </w:rPr>
        <w:br/>
      </w:r>
      <w:r w:rsidRPr="00196400">
        <w:rPr>
          <w:rFonts w:ascii="Times New Roman" w:hAnsi="Times New Roman"/>
          <w:color w:val="auto"/>
          <w:sz w:val="26"/>
          <w:szCs w:val="26"/>
        </w:rPr>
        <w:t xml:space="preserve">а не подменяли структурные решения. Переход требует поэтапной реализации </w:t>
      </w:r>
      <w:r w:rsidR="00196400">
        <w:rPr>
          <w:rFonts w:ascii="Times New Roman" w:hAnsi="Times New Roman"/>
          <w:color w:val="auto"/>
          <w:sz w:val="26"/>
          <w:szCs w:val="26"/>
        </w:rPr>
        <w:br/>
      </w:r>
      <w:r w:rsidRPr="00196400">
        <w:rPr>
          <w:rFonts w:ascii="Times New Roman" w:hAnsi="Times New Roman"/>
          <w:color w:val="auto"/>
          <w:sz w:val="26"/>
          <w:szCs w:val="26"/>
        </w:rPr>
        <w:t>с ревизией эффективности действующих компенсационных выплат и дальнейшим распределением высвобождаемых ресурсов в пользу новых инфраструктурных решений. Региональный материнский капитал и ежемесячные выплаты на третьего и последующих детей сохраняются как инструменты поддержки. Вместе с тем они встраиваются в комплексный пакет мер, включающий в том числе приоритетное участие многодетных семей в региональных жилищных программах; содействие трудоустройству матери с гибким графиком. Тем самым материнский капитал перестает быть изолированной выплатой и становится частью системного сопровождения. Приоритет предусматривает формирование дружественной к семье городской среды («места для семьи, детей и красоты») с развитой культурой города и качественным средовым дизайном в учреждениях и общественных пространствах.</w:t>
      </w:r>
    </w:p>
    <w:p w:rsidR="00E618FE" w:rsidRPr="00196400" w:rsidRDefault="00800098">
      <w:pPr>
        <w:pStyle w:val="a4"/>
        <w:rPr>
          <w:rFonts w:ascii="Times New Roman" w:hAnsi="Times New Roman"/>
          <w:color w:val="auto"/>
          <w:sz w:val="26"/>
          <w:szCs w:val="26"/>
        </w:rPr>
      </w:pPr>
      <w:r w:rsidRPr="00196400">
        <w:rPr>
          <w:rFonts w:ascii="Times New Roman" w:hAnsi="Times New Roman"/>
          <w:b/>
          <w:bCs/>
          <w:color w:val="auto"/>
          <w:sz w:val="26"/>
          <w:szCs w:val="26"/>
        </w:rPr>
        <w:lastRenderedPageBreak/>
        <w:t xml:space="preserve">Стратегический приоритет 1.2. «Здоровая, продолжительная и активная жизнь </w:t>
      </w:r>
      <w:r w:rsidR="00196400">
        <w:rPr>
          <w:rFonts w:ascii="Times New Roman" w:hAnsi="Times New Roman"/>
          <w:color w:val="auto"/>
          <w:sz w:val="26"/>
          <w:szCs w:val="26"/>
        </w:rPr>
        <w:t>–</w:t>
      </w:r>
      <w:r w:rsidRPr="00196400">
        <w:rPr>
          <w:rFonts w:ascii="Times New Roman" w:hAnsi="Times New Roman"/>
          <w:b/>
          <w:bCs/>
          <w:color w:val="auto"/>
          <w:sz w:val="26"/>
          <w:szCs w:val="26"/>
        </w:rPr>
        <w:t xml:space="preserve"> общее дело» </w:t>
      </w:r>
      <w:r w:rsidRPr="00196400">
        <w:rPr>
          <w:rFonts w:ascii="Times New Roman" w:hAnsi="Times New Roman"/>
          <w:color w:val="auto"/>
          <w:sz w:val="26"/>
          <w:szCs w:val="26"/>
        </w:rPr>
        <w:t xml:space="preserve">направлен на совершенствование системы общественного здоровья, профилактики и раннего выявления заболеваний, повышение доступности и качества медицинской помощи, внедрение персонализированных и цифровых решений. Приоритет предусматривает переход от эпизодической модели оказания медицинской помощи к модели сопровождения здоровья человека и семьи </w:t>
      </w:r>
      <w:r w:rsidR="00196400">
        <w:rPr>
          <w:rFonts w:ascii="Times New Roman" w:hAnsi="Times New Roman"/>
          <w:color w:val="auto"/>
          <w:sz w:val="26"/>
          <w:szCs w:val="26"/>
        </w:rPr>
        <w:br/>
      </w:r>
      <w:r w:rsidRPr="00196400">
        <w:rPr>
          <w:rFonts w:ascii="Times New Roman" w:hAnsi="Times New Roman"/>
          <w:color w:val="auto"/>
          <w:sz w:val="26"/>
          <w:szCs w:val="26"/>
        </w:rPr>
        <w:t xml:space="preserve">на протяжении жизненного цикла. </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Ключевым ресурсом реализации приоритета является потенциал региональной системы здравоохранения, федеральных медицинских центров </w:t>
      </w:r>
      <w:r w:rsidR="00196400">
        <w:rPr>
          <w:rFonts w:ascii="Times New Roman" w:hAnsi="Times New Roman"/>
          <w:color w:val="auto"/>
          <w:sz w:val="26"/>
          <w:szCs w:val="26"/>
        </w:rPr>
        <w:br/>
      </w:r>
      <w:r w:rsidRPr="00196400">
        <w:rPr>
          <w:rFonts w:ascii="Times New Roman" w:hAnsi="Times New Roman"/>
          <w:color w:val="auto"/>
          <w:sz w:val="26"/>
          <w:szCs w:val="26"/>
        </w:rPr>
        <w:t xml:space="preserve">и научно-исследовательских институтов, консорциума вузов Томска «Большой университет Томска» для развития высокотехнологичной и ценностно-ориентированной медицины, включая медицинский туризм и формирование культуры сохранения здоровья и долголетия на территории региона. Особое внимание уделяется популяризации здорового образа жизни и профилактике заболеваний с детского возраста, в том числе через развитие программ, ориентированных на формирование ответственного отношения к здоровью </w:t>
      </w:r>
      <w:r w:rsidR="00196400">
        <w:rPr>
          <w:rFonts w:ascii="Times New Roman" w:hAnsi="Times New Roman"/>
          <w:color w:val="auto"/>
          <w:sz w:val="26"/>
          <w:szCs w:val="26"/>
        </w:rPr>
        <w:br/>
      </w:r>
      <w:r w:rsidRPr="00196400">
        <w:rPr>
          <w:rFonts w:ascii="Times New Roman" w:hAnsi="Times New Roman"/>
          <w:color w:val="auto"/>
          <w:sz w:val="26"/>
          <w:szCs w:val="26"/>
        </w:rPr>
        <w:t>и семейных практик сохранения здоровья, привлечение многочисленной целевой аудитории из числа молодых людей (студенты) для продвижения практик здоровьесбережения в семьях, образовательных организациях, трудовых коллективах и местных сообществах.</w:t>
      </w:r>
    </w:p>
    <w:p w:rsidR="00E618FE" w:rsidRPr="00196400" w:rsidRDefault="00800098">
      <w:pPr>
        <w:pStyle w:val="a4"/>
        <w:rPr>
          <w:rFonts w:ascii="Times New Roman" w:hAnsi="Times New Roman"/>
          <w:color w:val="auto"/>
          <w:sz w:val="26"/>
          <w:szCs w:val="26"/>
        </w:rPr>
      </w:pPr>
      <w:r w:rsidRPr="00196400">
        <w:rPr>
          <w:rFonts w:ascii="Times New Roman" w:hAnsi="Times New Roman"/>
          <w:b/>
          <w:bCs/>
          <w:color w:val="auto"/>
          <w:sz w:val="26"/>
          <w:szCs w:val="26"/>
        </w:rPr>
        <w:t>Стратегический приор</w:t>
      </w:r>
      <w:r w:rsidR="00196400">
        <w:rPr>
          <w:rFonts w:ascii="Times New Roman" w:hAnsi="Times New Roman"/>
          <w:b/>
          <w:bCs/>
          <w:color w:val="auto"/>
          <w:sz w:val="26"/>
          <w:szCs w:val="26"/>
        </w:rPr>
        <w:t>итет 1.3. «Физкультура и спорт –</w:t>
      </w:r>
      <w:r w:rsidRPr="00196400">
        <w:rPr>
          <w:rFonts w:ascii="Times New Roman" w:hAnsi="Times New Roman"/>
          <w:b/>
          <w:bCs/>
          <w:color w:val="auto"/>
          <w:sz w:val="26"/>
          <w:szCs w:val="26"/>
        </w:rPr>
        <w:t xml:space="preserve"> равные возможности для каждого» </w:t>
      </w:r>
      <w:r w:rsidRPr="00196400">
        <w:rPr>
          <w:rFonts w:ascii="Times New Roman" w:hAnsi="Times New Roman"/>
          <w:color w:val="auto"/>
          <w:sz w:val="26"/>
          <w:szCs w:val="26"/>
        </w:rPr>
        <w:t xml:space="preserve">предусматривает развитие инфраструктуры массового спорта, повышение территориальной и социальной доступности занятий физической культурой, создание условий для вовлечения граждан всех возрастных групп </w:t>
      </w:r>
      <w:r w:rsidR="00196400">
        <w:rPr>
          <w:rFonts w:ascii="Times New Roman" w:hAnsi="Times New Roman"/>
          <w:color w:val="auto"/>
          <w:sz w:val="26"/>
          <w:szCs w:val="26"/>
        </w:rPr>
        <w:br/>
      </w:r>
      <w:r w:rsidRPr="00196400">
        <w:rPr>
          <w:rFonts w:ascii="Times New Roman" w:hAnsi="Times New Roman"/>
          <w:color w:val="auto"/>
          <w:sz w:val="26"/>
          <w:szCs w:val="26"/>
        </w:rPr>
        <w:t xml:space="preserve">в регулярную физическую активность и формирование устойчивой мотивации </w:t>
      </w:r>
      <w:r w:rsidR="00196400">
        <w:rPr>
          <w:rFonts w:ascii="Times New Roman" w:hAnsi="Times New Roman"/>
          <w:color w:val="auto"/>
          <w:sz w:val="26"/>
          <w:szCs w:val="26"/>
        </w:rPr>
        <w:br/>
      </w:r>
      <w:r w:rsidRPr="00196400">
        <w:rPr>
          <w:rFonts w:ascii="Times New Roman" w:hAnsi="Times New Roman"/>
          <w:color w:val="auto"/>
          <w:sz w:val="26"/>
          <w:szCs w:val="26"/>
        </w:rPr>
        <w:t xml:space="preserve">к ведению </w:t>
      </w:r>
      <w:r w:rsidRPr="00196400">
        <w:rPr>
          <w:rFonts w:ascii="Times New Roman" w:eastAsia="PT Astra Serif" w:hAnsi="Times New Roman"/>
          <w:color w:val="auto"/>
          <w:sz w:val="26"/>
          <w:szCs w:val="26"/>
        </w:rPr>
        <w:t>здорового</w:t>
      </w:r>
      <w:r w:rsidRPr="00196400">
        <w:rPr>
          <w:rFonts w:ascii="Times New Roman" w:hAnsi="Times New Roman"/>
          <w:color w:val="auto"/>
          <w:sz w:val="26"/>
          <w:szCs w:val="26"/>
        </w:rPr>
        <w:t xml:space="preserve"> образа жизни. К 2036 году доля жителей Томской области, систематически занимающихся физической культурой и спортом, должна возрасти до 75%, что рассматривается как ключевое направление и «технология успеха» профилактики заболеваний, поддержания физического и ментального здоровья, активного долголетия и повышения качества жизни населения.</w:t>
      </w:r>
    </w:p>
    <w:p w:rsidR="00E618FE" w:rsidRPr="00196400" w:rsidRDefault="00800098">
      <w:pPr>
        <w:pStyle w:val="a4"/>
        <w:rPr>
          <w:rFonts w:ascii="Times New Roman" w:hAnsi="Times New Roman"/>
          <w:color w:val="auto"/>
          <w:sz w:val="26"/>
          <w:szCs w:val="26"/>
        </w:rPr>
      </w:pPr>
      <w:r w:rsidRPr="00196400">
        <w:rPr>
          <w:rFonts w:ascii="Times New Roman" w:hAnsi="Times New Roman"/>
          <w:b/>
          <w:bCs/>
          <w:color w:val="auto"/>
          <w:sz w:val="26"/>
          <w:szCs w:val="26"/>
        </w:rPr>
        <w:t>Стратегический приоритет 1.4. «Поддержка отдельных категорий граждан, в том числе участников СВО и членов их семей»</w:t>
      </w:r>
      <w:r w:rsidRPr="00196400">
        <w:rPr>
          <w:rFonts w:ascii="Times New Roman" w:hAnsi="Times New Roman"/>
          <w:color w:val="auto"/>
          <w:sz w:val="26"/>
          <w:szCs w:val="26"/>
        </w:rPr>
        <w:t xml:space="preserve"> ориентирован </w:t>
      </w:r>
      <w:r w:rsidR="00196400">
        <w:rPr>
          <w:rFonts w:ascii="Times New Roman" w:hAnsi="Times New Roman"/>
          <w:color w:val="auto"/>
          <w:sz w:val="26"/>
          <w:szCs w:val="26"/>
        </w:rPr>
        <w:br/>
      </w:r>
      <w:r w:rsidRPr="00196400">
        <w:rPr>
          <w:rFonts w:ascii="Times New Roman" w:hAnsi="Times New Roman"/>
          <w:color w:val="auto"/>
          <w:sz w:val="26"/>
          <w:szCs w:val="26"/>
        </w:rPr>
        <w:t xml:space="preserve">на снижение уровня бедности, переход от пассивных форм помощи, способствующих формированию иждивенческих моделей поведения, к внедрению стимулирующих механизмов, непосредственно связанных с занятостью, повышение охвата мерами социальной поддержки и укрепление механизмов сопровождения граждан, нуждающихся в длительной помощи и заботе, развитие в Томской области современной системы долговременного ухода, социального обслуживания граждан старшего возраста, инвалидов и иных категорий населения, в том числе участников СВО и членов их семей, повышение доступности социальных услуг и создание условий для активного долголетия. </w:t>
      </w:r>
    </w:p>
    <w:p w:rsidR="00E618FE" w:rsidRPr="00196400" w:rsidRDefault="00800098">
      <w:pPr>
        <w:ind w:firstLine="708"/>
        <w:jc w:val="both"/>
        <w:rPr>
          <w:sz w:val="26"/>
          <w:szCs w:val="26"/>
          <w:lang w:eastAsia="ar-SA"/>
        </w:rPr>
      </w:pPr>
      <w:r w:rsidRPr="00196400">
        <w:rPr>
          <w:sz w:val="26"/>
          <w:szCs w:val="26"/>
          <w:lang w:eastAsia="ar-SA"/>
        </w:rPr>
        <w:t xml:space="preserve">Ключевой принцип реализации </w:t>
      </w:r>
      <w:r w:rsidR="00196400">
        <w:rPr>
          <w:sz w:val="26"/>
          <w:szCs w:val="26"/>
          <w:lang w:eastAsia="ar-SA"/>
        </w:rPr>
        <w:t>–</w:t>
      </w:r>
      <w:r w:rsidRPr="00196400">
        <w:rPr>
          <w:sz w:val="26"/>
          <w:szCs w:val="26"/>
          <w:lang w:eastAsia="ar-SA"/>
        </w:rPr>
        <w:t xml:space="preserve"> межведомственная увязка мер </w:t>
      </w:r>
      <w:r w:rsidR="00196400">
        <w:rPr>
          <w:sz w:val="26"/>
          <w:szCs w:val="26"/>
          <w:lang w:eastAsia="ar-SA"/>
        </w:rPr>
        <w:br/>
      </w:r>
      <w:r w:rsidRPr="00196400">
        <w:rPr>
          <w:sz w:val="26"/>
          <w:szCs w:val="26"/>
          <w:lang w:eastAsia="ar-SA"/>
        </w:rPr>
        <w:t>и недопустимость ситуации, при которой получение одной меры поддержки автоматически влечет утрату другой. Реализуется алгоритм «бесшовного перехода»: при изменении статуса гражданина (трудоустройство, смена категории нуждаемости) критерии социальной поддержки пересчитываются без потери доступа к критически важным услугам.</w:t>
      </w:r>
    </w:p>
    <w:p w:rsidR="00E618FE" w:rsidRPr="00196400" w:rsidRDefault="00800098">
      <w:pPr>
        <w:ind w:firstLine="708"/>
        <w:jc w:val="both"/>
        <w:rPr>
          <w:sz w:val="26"/>
          <w:szCs w:val="26"/>
          <w:lang w:eastAsia="ar-SA"/>
        </w:rPr>
      </w:pPr>
      <w:r w:rsidRPr="00196400">
        <w:rPr>
          <w:sz w:val="26"/>
          <w:szCs w:val="26"/>
          <w:lang w:eastAsia="ar-SA"/>
        </w:rPr>
        <w:lastRenderedPageBreak/>
        <w:t xml:space="preserve">В системе долговременного ухода (СДУ) право на надомный уход устанавливается по критерию нуждаемости (функциональные ограничения), </w:t>
      </w:r>
      <w:r w:rsidR="00196400">
        <w:rPr>
          <w:sz w:val="26"/>
          <w:szCs w:val="26"/>
          <w:lang w:eastAsia="ar-SA"/>
        </w:rPr>
        <w:br/>
      </w:r>
      <w:r w:rsidRPr="00196400">
        <w:rPr>
          <w:sz w:val="26"/>
          <w:szCs w:val="26"/>
          <w:lang w:eastAsia="ar-SA"/>
        </w:rPr>
        <w:t xml:space="preserve">а не по критерию дохода семьи. Это исключает ситуацию, при которой выход члена семьи на работу лишает человека (пенсионера, инвалида, ветерана СВО) услуг </w:t>
      </w:r>
      <w:r w:rsidR="00196400">
        <w:rPr>
          <w:sz w:val="26"/>
          <w:szCs w:val="26"/>
          <w:lang w:eastAsia="ar-SA"/>
        </w:rPr>
        <w:br/>
      </w:r>
      <w:r w:rsidRPr="00196400">
        <w:rPr>
          <w:sz w:val="26"/>
          <w:szCs w:val="26"/>
          <w:lang w:eastAsia="ar-SA"/>
        </w:rPr>
        <w:t xml:space="preserve">по уходу. </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Ключевыми направлениями являются развитие рынка услуг в сфере ухода, расширение надомных и стационарозамещающих форм обслуживания, а также вовлечение лидеров ответственного бизнеса, институтов гражданского общества и добровольческих практик в поддержку семей и граждан старшего поколения.</w:t>
      </w:r>
    </w:p>
    <w:p w:rsidR="00E618FE" w:rsidRPr="00196400" w:rsidRDefault="00800098">
      <w:pPr>
        <w:pStyle w:val="a4"/>
        <w:rPr>
          <w:rFonts w:ascii="Times New Roman" w:eastAsia="Calibri" w:hAnsi="Times New Roman"/>
          <w:color w:val="auto"/>
          <w:sz w:val="26"/>
          <w:szCs w:val="26"/>
        </w:rPr>
      </w:pPr>
      <w:bookmarkStart w:id="83" w:name="_Hlk231226289"/>
      <w:r w:rsidRPr="00196400">
        <w:rPr>
          <w:rFonts w:ascii="Times New Roman" w:hAnsi="Times New Roman"/>
          <w:b/>
          <w:color w:val="auto"/>
          <w:sz w:val="26"/>
          <w:szCs w:val="26"/>
        </w:rPr>
        <w:t xml:space="preserve">Стратегический приоритет 1.5. «Занятость и повышение уровня жизни населения» </w:t>
      </w:r>
      <w:r w:rsidRPr="00196400">
        <w:rPr>
          <w:rFonts w:ascii="Times New Roman" w:eastAsia="Calibri" w:hAnsi="Times New Roman"/>
          <w:color w:val="auto"/>
          <w:sz w:val="26"/>
          <w:szCs w:val="26"/>
        </w:rPr>
        <w:t xml:space="preserve">связан с трансформацией регионального рынка труда </w:t>
      </w:r>
      <w:r w:rsidRPr="00196400">
        <w:rPr>
          <w:rFonts w:ascii="Times New Roman" w:eastAsia="Calibri" w:hAnsi="Times New Roman"/>
          <w:color w:val="auto"/>
          <w:sz w:val="26"/>
          <w:szCs w:val="26"/>
        </w:rPr>
        <w:br/>
        <w:t xml:space="preserve">в сбалансированную, гибкую и инклюзивную систему, обеспечивающую реализацию трудового потенциала каждого жителя, синхронизированную </w:t>
      </w:r>
      <w:r w:rsidRPr="00196400">
        <w:rPr>
          <w:rFonts w:ascii="Times New Roman" w:eastAsia="Calibri" w:hAnsi="Times New Roman"/>
          <w:color w:val="auto"/>
          <w:sz w:val="26"/>
          <w:szCs w:val="26"/>
        </w:rPr>
        <w:br/>
        <w:t xml:space="preserve">с потребностями экономики технологического лидерства и способствует повышению уровня жизни населения. К 2036 году планируется достижение качественно нового состояния занятости, где уровень безработицы </w:t>
      </w:r>
      <w:r w:rsidRPr="00196400">
        <w:rPr>
          <w:rFonts w:ascii="Times New Roman" w:eastAsia="Calibri" w:hAnsi="Times New Roman"/>
          <w:color w:val="auto"/>
          <w:sz w:val="26"/>
          <w:szCs w:val="26"/>
        </w:rPr>
        <w:br/>
        <w:t xml:space="preserve">не превысит 2,5%, доля высокопроизводительных рабочих мест возрастет </w:t>
      </w:r>
      <w:r w:rsidRPr="00196400">
        <w:rPr>
          <w:rFonts w:ascii="Times New Roman" w:eastAsia="Calibri" w:hAnsi="Times New Roman"/>
          <w:color w:val="auto"/>
          <w:sz w:val="26"/>
          <w:szCs w:val="26"/>
        </w:rPr>
        <w:br/>
        <w:t xml:space="preserve">до 35%, миграционный отток выпускников будет сокращен не менее чем </w:t>
      </w:r>
      <w:r w:rsidRPr="00196400">
        <w:rPr>
          <w:rFonts w:ascii="Times New Roman" w:eastAsia="Calibri" w:hAnsi="Times New Roman"/>
          <w:color w:val="auto"/>
          <w:sz w:val="26"/>
          <w:szCs w:val="26"/>
        </w:rPr>
        <w:br/>
        <w:t>на 30%,</w:t>
      </w:r>
      <w:r w:rsidRPr="00196400">
        <w:rPr>
          <w:rFonts w:ascii="Times New Roman" w:eastAsia="Calibri" w:hAnsi="Times New Roman"/>
          <w:iCs/>
          <w:color w:val="auto"/>
          <w:sz w:val="26"/>
          <w:szCs w:val="26"/>
        </w:rPr>
        <w:t xml:space="preserve"> вырастут реальные среднедушевые денежные доходы населения </w:t>
      </w:r>
      <w:r w:rsidRPr="00196400">
        <w:rPr>
          <w:rFonts w:ascii="Times New Roman" w:eastAsia="Calibri" w:hAnsi="Times New Roman"/>
          <w:iCs/>
          <w:color w:val="auto"/>
          <w:sz w:val="26"/>
          <w:szCs w:val="26"/>
        </w:rPr>
        <w:br/>
        <w:t>и снизится уровень бедности.</w:t>
      </w:r>
      <w:bookmarkEnd w:id="83"/>
    </w:p>
    <w:p w:rsidR="00E618FE" w:rsidRPr="00196400" w:rsidRDefault="00800098">
      <w:pPr>
        <w:pStyle w:val="a4"/>
        <w:rPr>
          <w:rFonts w:ascii="Times New Roman" w:eastAsia="Calibri" w:hAnsi="Times New Roman"/>
          <w:color w:val="auto"/>
          <w:sz w:val="26"/>
          <w:szCs w:val="26"/>
        </w:rPr>
      </w:pPr>
      <w:r w:rsidRPr="00196400">
        <w:rPr>
          <w:rFonts w:ascii="Times New Roman" w:hAnsi="Times New Roman"/>
          <w:b/>
          <w:bCs/>
          <w:color w:val="auto"/>
          <w:sz w:val="26"/>
          <w:szCs w:val="26"/>
        </w:rPr>
        <w:t xml:space="preserve">Флагманские инициативы. </w:t>
      </w:r>
      <w:r w:rsidRPr="00196400">
        <w:rPr>
          <w:rFonts w:ascii="Times New Roman" w:eastAsia="Calibri" w:hAnsi="Times New Roman"/>
          <w:color w:val="auto"/>
          <w:sz w:val="26"/>
          <w:szCs w:val="26"/>
        </w:rPr>
        <w:t>Флагманские инициативы выступают инструментом консолидации действий и ресурсов, объединяя поэтапно реализуемые проекты, программы и стратегические мероприятия, которые обеспечивают решающее продвижение к достижению приоритетных целей Стратегии.</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Важнейшим условием достижения Региональной цели 1 является удержание и привлечение молодежи как ключевого ресурса демографического и социального развития Томской области. Потенциал «Большого университета Томска», создание современного межвузовского кампуса в г. Томске, развитие промышленных кластеров, а также креативного и инновационного предпринимательства рассматриваются как элементы единой системы закрепления молодежи в регионе </w:t>
      </w:r>
      <w:r w:rsidRPr="00196400">
        <w:rPr>
          <w:rFonts w:ascii="Times New Roman" w:hAnsi="Times New Roman"/>
          <w:color w:val="auto"/>
          <w:sz w:val="26"/>
          <w:szCs w:val="26"/>
        </w:rPr>
        <w:br/>
        <w:t xml:space="preserve">и расширения возможностей для образования, занятости и создания семьи. </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Сквозным инструментом реализации Региональной цели 1 выступает </w:t>
      </w:r>
      <w:r w:rsidRPr="00196400">
        <w:rPr>
          <w:rFonts w:ascii="Times New Roman" w:hAnsi="Times New Roman"/>
          <w:b/>
          <w:bCs/>
          <w:color w:val="auto"/>
          <w:sz w:val="26"/>
          <w:szCs w:val="26"/>
        </w:rPr>
        <w:t>Комплексная флагманская инициатива «Линия жизни: регион возможностей, благополучия и заботы»</w:t>
      </w:r>
      <w:r w:rsidRPr="00196400">
        <w:rPr>
          <w:rFonts w:ascii="Times New Roman" w:hAnsi="Times New Roman"/>
          <w:color w:val="auto"/>
          <w:sz w:val="26"/>
          <w:szCs w:val="26"/>
        </w:rPr>
        <w:t xml:space="preserve">, выстраивающая партнерство населения, системы здравоохранения, университетов, бизнеса и институтов гражданского общества </w:t>
      </w:r>
      <w:r w:rsidR="00196400">
        <w:rPr>
          <w:rFonts w:ascii="Times New Roman" w:hAnsi="Times New Roman"/>
          <w:color w:val="auto"/>
          <w:sz w:val="26"/>
          <w:szCs w:val="26"/>
        </w:rPr>
        <w:br/>
      </w:r>
      <w:r w:rsidRPr="00196400">
        <w:rPr>
          <w:rFonts w:ascii="Times New Roman" w:hAnsi="Times New Roman"/>
          <w:color w:val="auto"/>
          <w:sz w:val="26"/>
          <w:szCs w:val="26"/>
        </w:rPr>
        <w:t>в создании здоровьесберегающей, семейно</w:t>
      </w:r>
      <w:r w:rsidRPr="00196400">
        <w:rPr>
          <w:rFonts w:ascii="Times New Roman" w:hAnsi="Times New Roman"/>
          <w:color w:val="auto"/>
          <w:sz w:val="26"/>
          <w:szCs w:val="26"/>
        </w:rPr>
        <w:noBreakHyphen/>
        <w:t xml:space="preserve">ориентированной среды </w:t>
      </w:r>
      <w:r w:rsidR="00196400">
        <w:rPr>
          <w:rFonts w:ascii="Times New Roman" w:hAnsi="Times New Roman"/>
          <w:color w:val="auto"/>
          <w:sz w:val="26"/>
          <w:szCs w:val="26"/>
        </w:rPr>
        <w:br/>
      </w:r>
      <w:r w:rsidRPr="00196400">
        <w:rPr>
          <w:rFonts w:ascii="Times New Roman" w:hAnsi="Times New Roman"/>
          <w:color w:val="auto"/>
          <w:sz w:val="26"/>
          <w:szCs w:val="26"/>
        </w:rPr>
        <w:t>и формировании семейного бренда региона как территории, комфортной для жизни, воспитания детей и долгосрочного семейного благополучия.</w:t>
      </w:r>
    </w:p>
    <w:p w:rsidR="00E618FE" w:rsidRPr="00535A4B" w:rsidRDefault="00E618FE">
      <w:pPr>
        <w:pStyle w:val="a4"/>
        <w:rPr>
          <w:rFonts w:ascii="Times New Roman" w:hAnsi="Times New Roman"/>
          <w:color w:val="auto"/>
        </w:rPr>
      </w:pPr>
    </w:p>
    <w:p w:rsidR="00E618FE" w:rsidRPr="00535A4B" w:rsidRDefault="00800098">
      <w:pPr>
        <w:pStyle w:val="21"/>
        <w:rPr>
          <w:rFonts w:ascii="Times New Roman" w:eastAsia="Times New Roman" w:hAnsi="Times New Roman" w:cs="Times New Roman"/>
          <w:b w:val="0"/>
          <w:bCs w:val="0"/>
          <w:szCs w:val="28"/>
          <w:lang w:eastAsia="ar-SA"/>
        </w:rPr>
      </w:pPr>
      <w:bookmarkStart w:id="84" w:name="_Toc229484469"/>
      <w:bookmarkStart w:id="85" w:name="_Toc235810142"/>
      <w:bookmarkStart w:id="86" w:name="_Toc238554530"/>
      <w:bookmarkStart w:id="87" w:name="_Toc228735118"/>
      <w:bookmarkStart w:id="88" w:name="_Hlk228122842"/>
      <w:r w:rsidRPr="00535A4B">
        <w:rPr>
          <w:rFonts w:ascii="Times New Roman" w:eastAsia="Times New Roman" w:hAnsi="Times New Roman" w:cs="Times New Roman"/>
          <w:szCs w:val="28"/>
          <w:lang w:eastAsia="ar-SA"/>
        </w:rPr>
        <w:t>Стратегический приоритет 1.1. «Семья — основа будущего»</w:t>
      </w:r>
      <w:bookmarkEnd w:id="84"/>
      <w:bookmarkEnd w:id="85"/>
      <w:bookmarkEnd w:id="86"/>
    </w:p>
    <w:p w:rsidR="00E618FE" w:rsidRPr="00535A4B" w:rsidRDefault="00E618FE">
      <w:pPr>
        <w:pStyle w:val="a4"/>
        <w:rPr>
          <w:rFonts w:ascii="Times New Roman" w:hAnsi="Times New Roman"/>
          <w:color w:val="auto"/>
        </w:rPr>
      </w:pP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Социально-экономическое положение семей с детьми определяется уровнем социальной защиты и доступностью мер государственной поддержки. Кроме того, на данный показатель оказывают влияние структура семьи, возраст и количество детей, жилищные условия, трудовая занятость и уровень доходов, состояние здоровья членов семьи, а также ряд других факторов, влияющих </w:t>
      </w:r>
      <w:r w:rsidR="00196400">
        <w:rPr>
          <w:rFonts w:ascii="Times New Roman" w:hAnsi="Times New Roman"/>
          <w:color w:val="auto"/>
          <w:sz w:val="26"/>
          <w:szCs w:val="26"/>
        </w:rPr>
        <w:br/>
      </w:r>
      <w:r w:rsidRPr="00196400">
        <w:rPr>
          <w:rFonts w:ascii="Times New Roman" w:hAnsi="Times New Roman"/>
          <w:color w:val="auto"/>
          <w:sz w:val="26"/>
          <w:szCs w:val="26"/>
        </w:rPr>
        <w:t xml:space="preserve">на жизнедеятельность семьи. Уровень и качество жизни семьи оказывают </w:t>
      </w:r>
      <w:r w:rsidRPr="00196400">
        <w:rPr>
          <w:rFonts w:ascii="Times New Roman" w:hAnsi="Times New Roman"/>
          <w:color w:val="auto"/>
          <w:sz w:val="26"/>
          <w:szCs w:val="26"/>
        </w:rPr>
        <w:lastRenderedPageBreak/>
        <w:t xml:space="preserve">значительное воздействие на ее стабильность, репродуктивное поведение </w:t>
      </w:r>
      <w:r w:rsidR="00196400">
        <w:rPr>
          <w:rFonts w:ascii="Times New Roman" w:hAnsi="Times New Roman"/>
          <w:color w:val="auto"/>
          <w:sz w:val="26"/>
          <w:szCs w:val="26"/>
        </w:rPr>
        <w:br/>
      </w:r>
      <w:r w:rsidRPr="00196400">
        <w:rPr>
          <w:rFonts w:ascii="Times New Roman" w:hAnsi="Times New Roman"/>
          <w:color w:val="auto"/>
          <w:sz w:val="26"/>
          <w:szCs w:val="26"/>
        </w:rPr>
        <w:t>и состояние здоровья ее членов.</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С 2025 года в рамках Национального проекта «Семья» в Томской области стартовали региональные проекты «Поддержка семьи», «Многодетная семья», «Старшее поколение» и «Семейные ценности». Для решения демографических проблем и реализации мер социально-экономической поддержки семей с детьми </w:t>
      </w:r>
      <w:r w:rsidR="00196400">
        <w:rPr>
          <w:rFonts w:ascii="Times New Roman" w:hAnsi="Times New Roman"/>
          <w:color w:val="auto"/>
          <w:sz w:val="26"/>
          <w:szCs w:val="26"/>
        </w:rPr>
        <w:br/>
      </w:r>
      <w:r w:rsidRPr="00196400">
        <w:rPr>
          <w:rFonts w:ascii="Times New Roman" w:hAnsi="Times New Roman"/>
          <w:color w:val="auto"/>
          <w:sz w:val="26"/>
          <w:szCs w:val="26"/>
        </w:rPr>
        <w:t>в Томской области реализуется Региональная программа повышения рождаемости на период 2024</w:t>
      </w:r>
      <w:r w:rsidR="00196400">
        <w:rPr>
          <w:rFonts w:ascii="Times New Roman" w:hAnsi="Times New Roman"/>
          <w:color w:val="auto"/>
          <w:sz w:val="26"/>
          <w:szCs w:val="26"/>
        </w:rPr>
        <w:t xml:space="preserve"> </w:t>
      </w:r>
      <w:r w:rsidRPr="00196400">
        <w:rPr>
          <w:rFonts w:ascii="Times New Roman" w:hAnsi="Times New Roman"/>
          <w:color w:val="auto"/>
          <w:sz w:val="26"/>
          <w:szCs w:val="26"/>
        </w:rPr>
        <w:t>–</w:t>
      </w:r>
      <w:r w:rsidR="00196400">
        <w:rPr>
          <w:rFonts w:ascii="Times New Roman" w:hAnsi="Times New Roman"/>
          <w:color w:val="auto"/>
          <w:sz w:val="26"/>
          <w:szCs w:val="26"/>
        </w:rPr>
        <w:t xml:space="preserve"> </w:t>
      </w:r>
      <w:r w:rsidRPr="00196400">
        <w:rPr>
          <w:rFonts w:ascii="Times New Roman" w:hAnsi="Times New Roman"/>
          <w:color w:val="auto"/>
          <w:sz w:val="26"/>
          <w:szCs w:val="26"/>
        </w:rPr>
        <w:t xml:space="preserve">2027 годов, утвержденная распоряжением Администрации Томской области от 30 июня 2023 года № 425-ра. </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Основные усилия направлены на выполнение мероприятий, предусмотренных распоряжением Правительства Российской Федерации от 15 марта 2025 года </w:t>
      </w:r>
      <w:r w:rsidR="00196400">
        <w:rPr>
          <w:rFonts w:ascii="Times New Roman" w:hAnsi="Times New Roman"/>
          <w:color w:val="auto"/>
          <w:sz w:val="26"/>
          <w:szCs w:val="26"/>
        </w:rPr>
        <w:br/>
      </w:r>
      <w:r w:rsidRPr="00196400">
        <w:rPr>
          <w:rFonts w:ascii="Times New Roman" w:hAnsi="Times New Roman"/>
          <w:color w:val="auto"/>
          <w:sz w:val="26"/>
          <w:szCs w:val="26"/>
        </w:rPr>
        <w:t xml:space="preserve">№ 615-ра «Об утверждении стратегии действий по реализации семейной </w:t>
      </w:r>
      <w:r w:rsidR="00196400">
        <w:rPr>
          <w:rFonts w:ascii="Times New Roman" w:hAnsi="Times New Roman"/>
          <w:color w:val="auto"/>
          <w:sz w:val="26"/>
          <w:szCs w:val="26"/>
        </w:rPr>
        <w:br/>
      </w:r>
      <w:r w:rsidRPr="00196400">
        <w:rPr>
          <w:rFonts w:ascii="Times New Roman" w:hAnsi="Times New Roman"/>
          <w:color w:val="auto"/>
          <w:sz w:val="26"/>
          <w:szCs w:val="26"/>
        </w:rPr>
        <w:t>и демографической политики, поддержке многодетности в Российской Федерации до 2036 года».</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Суммарный коэффициент рождаемости в Томской области </w:t>
      </w:r>
      <w:r w:rsidRPr="00196400">
        <w:rPr>
          <w:rFonts w:ascii="Times New Roman" w:hAnsi="Times New Roman"/>
          <w:color w:val="auto"/>
          <w:sz w:val="26"/>
          <w:szCs w:val="26"/>
        </w:rPr>
        <w:br/>
        <w:t>в 2020</w:t>
      </w:r>
      <w:r w:rsidR="00196400">
        <w:rPr>
          <w:rFonts w:ascii="Times New Roman" w:hAnsi="Times New Roman"/>
          <w:color w:val="auto"/>
          <w:sz w:val="26"/>
          <w:szCs w:val="26"/>
        </w:rPr>
        <w:t xml:space="preserve"> </w:t>
      </w:r>
      <w:r w:rsidRPr="00196400">
        <w:rPr>
          <w:rFonts w:ascii="Times New Roman" w:hAnsi="Times New Roman"/>
          <w:color w:val="auto"/>
          <w:sz w:val="26"/>
          <w:szCs w:val="26"/>
        </w:rPr>
        <w:t>–</w:t>
      </w:r>
      <w:r w:rsidR="00196400">
        <w:rPr>
          <w:rFonts w:ascii="Times New Roman" w:hAnsi="Times New Roman"/>
          <w:color w:val="auto"/>
          <w:sz w:val="26"/>
          <w:szCs w:val="26"/>
        </w:rPr>
        <w:t xml:space="preserve"> </w:t>
      </w:r>
      <w:r w:rsidRPr="00196400">
        <w:rPr>
          <w:rFonts w:ascii="Times New Roman" w:hAnsi="Times New Roman"/>
          <w:color w:val="auto"/>
          <w:sz w:val="26"/>
          <w:szCs w:val="26"/>
        </w:rPr>
        <w:t xml:space="preserve">2025 годах снизился на 14% </w:t>
      </w:r>
      <w:r w:rsidR="00196400">
        <w:rPr>
          <w:rFonts w:ascii="Times New Roman" w:hAnsi="Times New Roman"/>
          <w:color w:val="auto"/>
          <w:sz w:val="26"/>
          <w:szCs w:val="26"/>
        </w:rPr>
        <w:t>–</w:t>
      </w:r>
      <w:r w:rsidRPr="00196400">
        <w:rPr>
          <w:rFonts w:ascii="Times New Roman" w:hAnsi="Times New Roman"/>
          <w:color w:val="auto"/>
          <w:sz w:val="26"/>
          <w:szCs w:val="26"/>
        </w:rPr>
        <w:t xml:space="preserve"> с 1,311 до 1,129 единицы. Снижение показателя приняло характер устойчивой тенденции.</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Демографическая ситуация в России признана вызовом, требующим системных решений, выходящих за рамки исключительно финансовой поддержки. Государственная демографическая политика должна перейти от логики разовых выплат за факт рождения к построению целостной семейной экосистемы. </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Новая модель подразумевает внедрение дифференцированных мер поддержки для семей с первым и последующими детьми с особым фокусом на рождение третьего ребенка и последующих детей. Основой политики становится всестороннее сопровождение семьи на всех этапах ее жизненного цикла, включая вопросы здоровья, психологического благополучия, образования, материального </w:t>
      </w:r>
      <w:r w:rsidR="00196400">
        <w:rPr>
          <w:rFonts w:ascii="Times New Roman" w:hAnsi="Times New Roman"/>
          <w:color w:val="auto"/>
          <w:sz w:val="26"/>
          <w:szCs w:val="26"/>
        </w:rPr>
        <w:br/>
      </w:r>
      <w:r w:rsidRPr="00196400">
        <w:rPr>
          <w:rFonts w:ascii="Times New Roman" w:hAnsi="Times New Roman"/>
          <w:color w:val="auto"/>
          <w:sz w:val="26"/>
          <w:szCs w:val="26"/>
        </w:rPr>
        <w:t>и жилищного обеспечения, комфортного времяпровождения, интеграции старшего поколения в систему поддержки семьи и детей. Особое внимание уделяется многодетным, молодым и студенческим семьям, семьям с детьми-инвалидами.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Ключевыми опорными центрами реализации приоритета выступают: </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многофункциональные семейные центры как ядро системы поддержки, которое интегрирует консультационные, психологические, образовательные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и жилищные сервисы;</w:t>
      </w:r>
    </w:p>
    <w:p w:rsidR="00E618FE" w:rsidRPr="00196400" w:rsidRDefault="00196400">
      <w:pPr>
        <w:pStyle w:val="a4"/>
        <w:rPr>
          <w:rFonts w:ascii="Times New Roman" w:eastAsia="Calibri" w:hAnsi="Times New Roman"/>
          <w:color w:val="auto"/>
          <w:sz w:val="26"/>
          <w:szCs w:val="26"/>
        </w:rPr>
      </w:pPr>
      <w:r>
        <w:rPr>
          <w:rFonts w:ascii="Times New Roman" w:eastAsia="Calibri" w:hAnsi="Times New Roman"/>
          <w:color w:val="auto"/>
          <w:sz w:val="26"/>
          <w:szCs w:val="26"/>
        </w:rPr>
        <w:t>— в опорных населенных пунктах –</w:t>
      </w:r>
      <w:r w:rsidR="00800098" w:rsidRPr="00196400">
        <w:rPr>
          <w:rFonts w:ascii="Times New Roman" w:eastAsia="Calibri" w:hAnsi="Times New Roman"/>
          <w:color w:val="auto"/>
          <w:sz w:val="26"/>
          <w:szCs w:val="26"/>
        </w:rPr>
        <w:t xml:space="preserve"> межведомственные центры сопровождения семьи, объединяющие социальные и образовательные службы </w:t>
      </w:r>
      <w:r>
        <w:rPr>
          <w:rFonts w:ascii="Times New Roman" w:eastAsia="Calibri" w:hAnsi="Times New Roman"/>
          <w:color w:val="auto"/>
          <w:sz w:val="26"/>
          <w:szCs w:val="26"/>
        </w:rPr>
        <w:br/>
      </w:r>
      <w:r w:rsidR="00800098" w:rsidRPr="00196400">
        <w:rPr>
          <w:rFonts w:ascii="Times New Roman" w:eastAsia="Calibri" w:hAnsi="Times New Roman"/>
          <w:color w:val="auto"/>
          <w:sz w:val="26"/>
          <w:szCs w:val="26"/>
        </w:rPr>
        <w:t>для обеспечения непрерывного сопровождения вне зависимости от территории проживания;</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ОГАУ «Центр молодежной политики Томской области» и сеть молодежных центров в рамках президентской программы «Регион для молодых».</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Устойчивость системы обеспечивается за счет сетевого взаимодействия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с профильными медицинскими и социальными центрами (</w:t>
      </w:r>
      <w:r w:rsidRPr="00196400">
        <w:rPr>
          <w:rFonts w:ascii="Times New Roman" w:hAnsi="Times New Roman"/>
          <w:color w:val="auto"/>
          <w:sz w:val="26"/>
          <w:szCs w:val="26"/>
        </w:rPr>
        <w:t>ОГАУЗ «Областной перинатальный центр им. И.Д. Евтушенко»</w:t>
      </w:r>
      <w:r w:rsidRPr="00196400">
        <w:rPr>
          <w:rFonts w:ascii="Times New Roman" w:eastAsia="Calibri" w:hAnsi="Times New Roman"/>
          <w:color w:val="auto"/>
          <w:sz w:val="26"/>
          <w:szCs w:val="26"/>
        </w:rPr>
        <w:t xml:space="preserve">, </w:t>
      </w:r>
      <w:r w:rsidRPr="00196400">
        <w:rPr>
          <w:rFonts w:ascii="Times New Roman" w:hAnsi="Times New Roman"/>
          <w:bCs/>
          <w:color w:val="auto"/>
          <w:sz w:val="26"/>
          <w:szCs w:val="26"/>
        </w:rPr>
        <w:t>ФГБНУ «Томский национальный исследовательский медицинский центр Российской академии наук»</w:t>
      </w:r>
      <w:r w:rsidRPr="00196400">
        <w:rPr>
          <w:rFonts w:ascii="Times New Roman" w:eastAsia="Calibri" w:hAnsi="Times New Roman"/>
          <w:color w:val="auto"/>
          <w:sz w:val="26"/>
          <w:szCs w:val="26"/>
        </w:rPr>
        <w:t xml:space="preserve">), ведущими вузами Томска (ФГАОУ ВО «Национальный исследовательский Томский государственный университет», ФГБОУ ВО «Сибирский государственный медицинский университет» Министерства здравоохранения Российской Федерации, ФГБОУ ВО «Томский государственный педагогический университет»), а также через привлечение социально ориентированных некоммерческих организаций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lastRenderedPageBreak/>
        <w:t xml:space="preserve">к оказанию услуг по уходу за детьми, психологической и социальной поддержке. Пространственная устойчивость обеспечивается за счет единого цифрового сервиса услуг для семей с детьми, доступного в каждом муниципальном образовании региона. </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Важную роль в реализации приоритета играет региональная программа повышения рождаемости на 2024 – 2030 годы как сквозной инструмент поддержки семей с детьми на всем жизненном цикле, а также региональные проекты Томской области, реализуемые в рамках НП «Семья»: региональный проект «Поддержка семьи» (Томская область) и региональный проект «Многодетная семья» (Томская область). </w:t>
      </w:r>
    </w:p>
    <w:p w:rsidR="00E618FE" w:rsidRPr="00535A4B" w:rsidRDefault="00800098">
      <w:pPr>
        <w:pStyle w:val="41"/>
        <w:rPr>
          <w:rFonts w:ascii="Times New Roman" w:hAnsi="Times New Roman"/>
          <w:b w:val="0"/>
          <w:i/>
          <w:iCs/>
          <w:lang w:val="ru-RU" w:eastAsia="ar-SA"/>
        </w:rPr>
      </w:pPr>
      <w:r w:rsidRPr="00535A4B">
        <w:rPr>
          <w:rFonts w:ascii="Times New Roman" w:hAnsi="Times New Roman"/>
          <w:lang w:val="ru-RU" w:eastAsia="ar-SA"/>
        </w:rPr>
        <w:t>Задачи:</w:t>
      </w:r>
    </w:p>
    <w:p w:rsidR="00E618FE" w:rsidRPr="00535A4B" w:rsidRDefault="00800098">
      <w:pPr>
        <w:pStyle w:val="a4"/>
        <w:rPr>
          <w:rFonts w:ascii="Times New Roman" w:hAnsi="Times New Roman"/>
          <w:bCs/>
          <w:color w:val="auto"/>
        </w:rPr>
      </w:pPr>
      <w:bookmarkStart w:id="89" w:name="_Hlk231403972"/>
      <w:r w:rsidRPr="00535A4B">
        <w:rPr>
          <w:rFonts w:ascii="Times New Roman" w:hAnsi="Times New Roman"/>
          <w:b/>
          <w:color w:val="auto"/>
        </w:rPr>
        <w:t>Задача 1.1.1. Сформировать и реализовать региональную программу повышения рождаемости, учитывающую региональную специфику, состав населения и реальные запросы городских и сельских жителей</w:t>
      </w:r>
      <w:r w:rsidRPr="00535A4B">
        <w:rPr>
          <w:rFonts w:ascii="Times New Roman" w:hAnsi="Times New Roman"/>
          <w:bCs/>
          <w:color w:val="auto"/>
        </w:rPr>
        <w:t xml:space="preserve">. </w:t>
      </w:r>
    </w:p>
    <w:p w:rsidR="00E618FE" w:rsidRPr="00196400" w:rsidRDefault="00800098">
      <w:pPr>
        <w:pStyle w:val="a4"/>
        <w:rPr>
          <w:rFonts w:ascii="Times New Roman" w:hAnsi="Times New Roman"/>
          <w:b/>
          <w:color w:val="auto"/>
          <w:sz w:val="26"/>
          <w:szCs w:val="26"/>
        </w:rPr>
      </w:pPr>
      <w:r w:rsidRPr="00196400">
        <w:rPr>
          <w:rFonts w:ascii="Times New Roman" w:hAnsi="Times New Roman"/>
          <w:color w:val="auto"/>
          <w:sz w:val="26"/>
          <w:szCs w:val="26"/>
        </w:rPr>
        <w:t xml:space="preserve">Ключевые направления и механизмы </w:t>
      </w:r>
      <w:r w:rsidRPr="00196400">
        <w:rPr>
          <w:rFonts w:ascii="Times New Roman" w:eastAsia="Calibri" w:hAnsi="Times New Roman"/>
          <w:color w:val="auto"/>
          <w:sz w:val="26"/>
          <w:szCs w:val="26"/>
        </w:rPr>
        <w:t>реализации</w:t>
      </w:r>
      <w:r w:rsidRPr="00196400">
        <w:rPr>
          <w:rFonts w:ascii="Times New Roman" w:hAnsi="Times New Roman"/>
          <w:color w:val="auto"/>
          <w:sz w:val="26"/>
          <w:szCs w:val="26"/>
        </w:rPr>
        <w:t>:</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усиление заботы о репродуктивном здоровье населения, повышение доступности медицинской помощи женщинам по месту жительства (включая сельские территории и малые города);</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стимулирование рождения первых детей в более раннем возрасте и третьих и последующих детей на основе комплекса мер поддержки семей с детьми;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развитие инфраструктуры раннего детства;</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развитие программ реабилитации и психологической поддержки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после рождения ребенка;</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совершенствование методов лечения бесплодия, расширение применения вспомогательных репродуктивных технологий, повышение их доступности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и эффективности;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проведение диспансеризации репродуктивного здоровья взрослых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и профилактических осмотров детей.</w:t>
      </w:r>
    </w:p>
    <w:p w:rsidR="00F90C4C" w:rsidRDefault="00F90C4C">
      <w:pPr>
        <w:pStyle w:val="a4"/>
        <w:rPr>
          <w:rFonts w:ascii="Times New Roman" w:hAnsi="Times New Roman"/>
          <w:b/>
          <w:color w:val="auto"/>
        </w:rPr>
      </w:pPr>
    </w:p>
    <w:p w:rsidR="00E618FE" w:rsidRPr="00535A4B" w:rsidRDefault="00800098">
      <w:pPr>
        <w:pStyle w:val="a4"/>
        <w:rPr>
          <w:rFonts w:ascii="Times New Roman" w:hAnsi="Times New Roman"/>
          <w:bCs/>
          <w:color w:val="auto"/>
        </w:rPr>
      </w:pPr>
      <w:r w:rsidRPr="00535A4B">
        <w:rPr>
          <w:rFonts w:ascii="Times New Roman" w:hAnsi="Times New Roman"/>
          <w:b/>
          <w:color w:val="auto"/>
        </w:rPr>
        <w:t>Задача 1.1.2 Систематически поддерживать семьи с детьми</w:t>
      </w:r>
      <w:r w:rsidRPr="00535A4B">
        <w:rPr>
          <w:rFonts w:ascii="Times New Roman" w:hAnsi="Times New Roman"/>
          <w:bCs/>
          <w:color w:val="auto"/>
        </w:rPr>
        <w:t xml:space="preserve">. </w:t>
      </w:r>
      <w:bookmarkEnd w:id="89"/>
    </w:p>
    <w:p w:rsidR="00E618FE" w:rsidRPr="00196400" w:rsidRDefault="00800098">
      <w:pPr>
        <w:pStyle w:val="a4"/>
        <w:rPr>
          <w:rFonts w:ascii="Times New Roman" w:hAnsi="Times New Roman"/>
          <w:b/>
          <w:color w:val="auto"/>
          <w:sz w:val="26"/>
          <w:szCs w:val="26"/>
        </w:rPr>
      </w:pPr>
      <w:r w:rsidRPr="00196400">
        <w:rPr>
          <w:rFonts w:ascii="Times New Roman" w:hAnsi="Times New Roman"/>
          <w:color w:val="auto"/>
          <w:sz w:val="26"/>
          <w:szCs w:val="26"/>
        </w:rPr>
        <w:t>Ключевые направления и механизмы реализации:</w:t>
      </w:r>
    </w:p>
    <w:p w:rsidR="00E618FE" w:rsidRPr="00196400" w:rsidRDefault="00800098">
      <w:pPr>
        <w:pStyle w:val="a4"/>
        <w:rPr>
          <w:rFonts w:ascii="Times New Roman" w:hAnsi="Times New Roman"/>
          <w:b/>
          <w:color w:val="auto"/>
          <w:sz w:val="26"/>
          <w:szCs w:val="26"/>
        </w:rPr>
      </w:pPr>
      <w:r w:rsidRPr="00196400">
        <w:rPr>
          <w:rFonts w:ascii="Times New Roman" w:hAnsi="Times New Roman"/>
          <w:color w:val="auto"/>
          <w:sz w:val="26"/>
          <w:szCs w:val="26"/>
        </w:rPr>
        <w:t>— предоставление ежемесячных выплат в связи с рождением (усыновлением) первого ребенка и адресной поддержки при рождении ребенка;</w:t>
      </w:r>
    </w:p>
    <w:p w:rsidR="00E618FE" w:rsidRPr="00196400" w:rsidRDefault="00800098">
      <w:pPr>
        <w:pStyle w:val="a4"/>
        <w:rPr>
          <w:rFonts w:ascii="Times New Roman" w:hAnsi="Times New Roman"/>
          <w:color w:val="auto"/>
          <w:sz w:val="26"/>
          <w:szCs w:val="26"/>
        </w:rPr>
      </w:pPr>
      <w:r w:rsidRPr="00196400">
        <w:rPr>
          <w:rFonts w:ascii="Times New Roman" w:hAnsi="Times New Roman"/>
          <w:color w:val="auto"/>
          <w:sz w:val="26"/>
          <w:szCs w:val="26"/>
        </w:rPr>
        <w:t xml:space="preserve">— реализация комплекса мер поддержки многодетных семей и семей </w:t>
      </w:r>
      <w:r w:rsidR="00196400">
        <w:rPr>
          <w:rFonts w:ascii="Times New Roman" w:hAnsi="Times New Roman"/>
          <w:color w:val="auto"/>
          <w:sz w:val="26"/>
          <w:szCs w:val="26"/>
        </w:rPr>
        <w:br/>
      </w:r>
      <w:r w:rsidRPr="00196400">
        <w:rPr>
          <w:rFonts w:ascii="Times New Roman" w:hAnsi="Times New Roman"/>
          <w:color w:val="auto"/>
          <w:sz w:val="26"/>
          <w:szCs w:val="26"/>
        </w:rPr>
        <w:t>с низкими доходами (включая многодетные и неполные семьи);</w:t>
      </w:r>
    </w:p>
    <w:p w:rsidR="00E618FE" w:rsidRPr="00196400" w:rsidRDefault="00800098">
      <w:pPr>
        <w:pStyle w:val="a4"/>
        <w:rPr>
          <w:rFonts w:ascii="Times New Roman" w:hAnsi="Times New Roman"/>
          <w:b/>
          <w:color w:val="auto"/>
          <w:sz w:val="26"/>
          <w:szCs w:val="26"/>
        </w:rPr>
      </w:pPr>
      <w:r w:rsidRPr="00196400">
        <w:rPr>
          <w:rFonts w:ascii="Times New Roman" w:hAnsi="Times New Roman"/>
          <w:color w:val="auto"/>
          <w:sz w:val="26"/>
          <w:szCs w:val="26"/>
        </w:rPr>
        <w:t xml:space="preserve">— продвижение услуг «Демографического меню»: прокат предметов </w:t>
      </w:r>
      <w:r w:rsidR="00196400">
        <w:rPr>
          <w:rFonts w:ascii="Times New Roman" w:hAnsi="Times New Roman"/>
          <w:color w:val="auto"/>
          <w:sz w:val="26"/>
          <w:szCs w:val="26"/>
        </w:rPr>
        <w:br/>
      </w:r>
      <w:r w:rsidRPr="00196400">
        <w:rPr>
          <w:rFonts w:ascii="Times New Roman" w:hAnsi="Times New Roman"/>
          <w:color w:val="auto"/>
          <w:sz w:val="26"/>
          <w:szCs w:val="26"/>
        </w:rPr>
        <w:t>для новорожденных, социальная няня, бесплатная подготовка к ЭКО, компенсация стоимости аренды жилья и др.;</w:t>
      </w:r>
    </w:p>
    <w:p w:rsidR="00E618FE" w:rsidRPr="00196400" w:rsidRDefault="00800098">
      <w:pPr>
        <w:pStyle w:val="a4"/>
        <w:rPr>
          <w:rFonts w:ascii="Times New Roman" w:hAnsi="Times New Roman"/>
          <w:b/>
          <w:color w:val="auto"/>
          <w:sz w:val="26"/>
          <w:szCs w:val="26"/>
        </w:rPr>
      </w:pPr>
      <w:r w:rsidRPr="00196400">
        <w:rPr>
          <w:rFonts w:ascii="Times New Roman" w:hAnsi="Times New Roman"/>
          <w:color w:val="auto"/>
          <w:sz w:val="26"/>
          <w:szCs w:val="26"/>
        </w:rPr>
        <w:t xml:space="preserve">— оказание превентивной помощи семьям с детьми, в которых </w:t>
      </w:r>
      <w:r w:rsidRPr="00196400">
        <w:rPr>
          <w:rFonts w:ascii="Times New Roman" w:eastAsia="Calibri" w:hAnsi="Times New Roman"/>
          <w:color w:val="auto"/>
          <w:sz w:val="26"/>
          <w:szCs w:val="26"/>
        </w:rPr>
        <w:t>родители</w:t>
      </w:r>
      <w:r w:rsidRPr="00196400">
        <w:rPr>
          <w:rFonts w:ascii="Times New Roman" w:hAnsi="Times New Roman"/>
          <w:color w:val="auto"/>
          <w:sz w:val="26"/>
          <w:szCs w:val="26"/>
        </w:rPr>
        <w:t xml:space="preserve"> потеряли доход или встали на учет по безработице.</w:t>
      </w:r>
    </w:p>
    <w:p w:rsidR="00F90C4C" w:rsidRDefault="00F90C4C">
      <w:pPr>
        <w:pStyle w:val="a4"/>
        <w:rPr>
          <w:rFonts w:ascii="Times New Roman" w:hAnsi="Times New Roman"/>
          <w:b/>
          <w:color w:val="auto"/>
        </w:rPr>
      </w:pPr>
    </w:p>
    <w:p w:rsidR="00E618FE" w:rsidRPr="00535A4B" w:rsidRDefault="00800098">
      <w:pPr>
        <w:pStyle w:val="a4"/>
        <w:rPr>
          <w:rFonts w:ascii="Times New Roman" w:hAnsi="Times New Roman"/>
          <w:bCs/>
          <w:color w:val="auto"/>
        </w:rPr>
      </w:pPr>
      <w:r w:rsidRPr="00535A4B">
        <w:rPr>
          <w:rFonts w:ascii="Times New Roman" w:hAnsi="Times New Roman"/>
          <w:b/>
          <w:color w:val="auto"/>
        </w:rPr>
        <w:t>Задача 1.1.3. В приоритетном порядке поддерживать многодетность</w:t>
      </w:r>
      <w:r w:rsidRPr="00535A4B">
        <w:rPr>
          <w:rFonts w:ascii="Times New Roman" w:hAnsi="Times New Roman"/>
          <w:bCs/>
          <w:color w:val="auto"/>
        </w:rPr>
        <w:t xml:space="preserve">. </w:t>
      </w:r>
    </w:p>
    <w:p w:rsidR="00E618FE" w:rsidRPr="00196400" w:rsidRDefault="00800098">
      <w:pPr>
        <w:pStyle w:val="a4"/>
        <w:rPr>
          <w:rFonts w:ascii="Times New Roman" w:hAnsi="Times New Roman"/>
          <w:b/>
          <w:color w:val="auto"/>
          <w:sz w:val="26"/>
          <w:szCs w:val="26"/>
        </w:rPr>
      </w:pPr>
      <w:r w:rsidRPr="00196400">
        <w:rPr>
          <w:rFonts w:ascii="Times New Roman" w:hAnsi="Times New Roman"/>
          <w:color w:val="auto"/>
          <w:sz w:val="26"/>
          <w:szCs w:val="26"/>
        </w:rPr>
        <w:t>Ключевые направления и механизмы реализации: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работа с гражданами для стимулирования рождения третьего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и последующих детей;</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lastRenderedPageBreak/>
        <w:t>— предоставление регионального материнского капитала, ежемесячных выплат на третьего и последующих детей до достижения трех лет, приоритетное оказание государственной социальной помощи на основании социального контракта;</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организация социального сопровождения семей с акцентом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на патронажные визиты и помощь по месту жительства;</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признание роли старшего поколения в воспитании детей и создании условий для многодетности;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популяризация семейных ценностей и многодетности через конкурсы, фестивали и социальную рекламу.</w:t>
      </w:r>
    </w:p>
    <w:p w:rsidR="00F90C4C" w:rsidRDefault="00F90C4C">
      <w:pPr>
        <w:pStyle w:val="a4"/>
        <w:rPr>
          <w:rFonts w:ascii="Times New Roman" w:eastAsia="Calibri" w:hAnsi="Times New Roman"/>
          <w:b/>
          <w:bCs/>
          <w:color w:val="auto"/>
        </w:rPr>
      </w:pP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t>Задача 1.1.4. Активно поддерживать молодые и студенческие семьи</w:t>
      </w:r>
      <w:r w:rsidRPr="00535A4B">
        <w:rPr>
          <w:rFonts w:ascii="Times New Roman" w:eastAsia="Calibri" w:hAnsi="Times New Roman"/>
          <w:color w:val="auto"/>
        </w:rPr>
        <w:t xml:space="preserve">. </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Ключевые направления и механизмы реализации: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системное решение жилищного вопроса как ключевого фактора стабильности молодой семьи;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внедрение института семейных консультантов для помощи молодым родителям в преодолении бытовых и психологических трудностей;</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проведение коммуникационных кампаний по формированию позитивного образа родительства и снятию психологических барьеров у молодежи;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расширение комплекса мер поддержки студенческих семей: стимулирующие выплаты, создание инфраструктуры в организациях СПО и вузах</w:t>
      </w:r>
      <w:r w:rsidRPr="00196400">
        <w:rPr>
          <w:rFonts w:ascii="Times New Roman" w:hAnsi="Times New Roman"/>
          <w:color w:val="auto"/>
          <w:sz w:val="26"/>
          <w:szCs w:val="26"/>
          <w:shd w:val="clear" w:color="auto" w:fill="FFFFFF"/>
        </w:rPr>
        <w:t xml:space="preserve"> </w:t>
      </w:r>
      <w:r w:rsidRPr="00196400">
        <w:rPr>
          <w:rFonts w:ascii="Times New Roman" w:eastAsia="Calibri" w:hAnsi="Times New Roman"/>
          <w:color w:val="auto"/>
          <w:sz w:val="26"/>
          <w:szCs w:val="26"/>
        </w:rPr>
        <w:t>(комнаты матери и ребенка, группы кратковременного пребывания детей дошкольного возраста), формирование «единого окна» социальной поддержки.</w:t>
      </w:r>
    </w:p>
    <w:p w:rsidR="00F90C4C" w:rsidRDefault="00F90C4C">
      <w:pPr>
        <w:pStyle w:val="a4"/>
        <w:rPr>
          <w:rFonts w:ascii="Times New Roman" w:eastAsia="Calibri" w:hAnsi="Times New Roman"/>
          <w:b/>
          <w:bCs/>
          <w:color w:val="auto"/>
        </w:rPr>
      </w:pP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t>Задача 1.1.5. Реализовать комплекс мер по укреплению института семьи.</w:t>
      </w:r>
      <w:r w:rsidRPr="00535A4B">
        <w:rPr>
          <w:rFonts w:ascii="Times New Roman" w:eastAsia="Calibri" w:hAnsi="Times New Roman"/>
          <w:color w:val="auto"/>
        </w:rPr>
        <w:t xml:space="preserve"> </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Ключевые направления и механизмы реализации:</w:t>
      </w:r>
    </w:p>
    <w:p w:rsidR="00E618FE" w:rsidRPr="00196400" w:rsidRDefault="00800098" w:rsidP="00196400">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проведение региональной политики, направленной на защиту </w:t>
      </w:r>
      <w:r w:rsidR="00196400">
        <w:rPr>
          <w:rFonts w:ascii="Times New Roman" w:eastAsia="Calibri" w:hAnsi="Times New Roman"/>
          <w:color w:val="auto"/>
          <w:sz w:val="26"/>
          <w:szCs w:val="26"/>
        </w:rPr>
        <w:br/>
      </w:r>
      <w:r w:rsidRPr="00196400">
        <w:rPr>
          <w:rFonts w:ascii="Times New Roman" w:eastAsia="Calibri" w:hAnsi="Times New Roman"/>
          <w:color w:val="auto"/>
          <w:sz w:val="26"/>
          <w:szCs w:val="26"/>
        </w:rPr>
        <w:t xml:space="preserve">и продвижение семейных ценностей, повышение качества жизни семей </w:t>
      </w:r>
      <w:r w:rsidRPr="00196400">
        <w:rPr>
          <w:rFonts w:ascii="Times New Roman" w:eastAsia="Calibri" w:hAnsi="Times New Roman"/>
          <w:color w:val="auto"/>
          <w:sz w:val="26"/>
          <w:szCs w:val="26"/>
        </w:rPr>
        <w:br/>
        <w:t>и профилактику семейного неблагополучия;</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проведение информационно-коммуникационных кампаний о ценности брака и формирование положительных семейных установок у детей и молодежи;</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расширение программ психологического сопровождения семей, включая развитие института медиации при разрешении сложных семейных проблем;</w:t>
      </w:r>
    </w:p>
    <w:p w:rsidR="00E618FE" w:rsidRPr="00196400" w:rsidRDefault="00800098">
      <w:pPr>
        <w:pStyle w:val="a4"/>
        <w:rPr>
          <w:rFonts w:ascii="Times New Roman" w:eastAsia="Calibri" w:hAnsi="Times New Roman"/>
          <w:color w:val="auto"/>
          <w:sz w:val="26"/>
          <w:szCs w:val="26"/>
        </w:rPr>
      </w:pPr>
      <w:r w:rsidRPr="00196400">
        <w:rPr>
          <w:rFonts w:ascii="Times New Roman" w:eastAsia="Calibri" w:hAnsi="Times New Roman"/>
          <w:color w:val="auto"/>
          <w:sz w:val="26"/>
          <w:szCs w:val="26"/>
        </w:rPr>
        <w:t xml:space="preserve">— поддержка социальных проектов некоммерческих организаций </w:t>
      </w:r>
      <w:r w:rsidRPr="00196400">
        <w:rPr>
          <w:rFonts w:ascii="Times New Roman" w:eastAsia="Calibri" w:hAnsi="Times New Roman"/>
          <w:color w:val="auto"/>
          <w:sz w:val="26"/>
          <w:szCs w:val="26"/>
        </w:rPr>
        <w:br/>
        <w:t>и волонтерских инициатив по укреплению института семьи и продвижению семейного образа жизни.</w:t>
      </w:r>
    </w:p>
    <w:p w:rsidR="00F90C4C" w:rsidRDefault="00F90C4C">
      <w:pPr>
        <w:pStyle w:val="a4"/>
        <w:rPr>
          <w:rFonts w:ascii="Times New Roman" w:eastAsia="Calibri" w:hAnsi="Times New Roman"/>
          <w:b/>
          <w:bCs/>
          <w:color w:val="auto"/>
        </w:rPr>
      </w:pP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t>Задача 1.1.6. Улучшить инфраструктуру для семей с детьми</w:t>
      </w:r>
      <w:r w:rsidRPr="00535A4B">
        <w:rPr>
          <w:rFonts w:ascii="Times New Roman" w:eastAsia="Calibri" w:hAnsi="Times New Roman"/>
          <w:color w:val="auto"/>
        </w:rPr>
        <w:t>.</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Ключевые направления и механизмы реализации: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 учет потребностей семей с детьми при проектировании, строительстве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и реконструкции жилых многоквартирных домов и прилегающих территорий (планировка квартир, помещения для хранения детских колясок, велосипедов, детские площадки, возможности для семейного отдыха и досуга);</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w:t>
      </w:r>
      <w:r w:rsidR="001C33C0">
        <w:rPr>
          <w:rFonts w:ascii="Times New Roman" w:eastAsia="Calibri" w:hAnsi="Times New Roman"/>
          <w:color w:val="auto"/>
          <w:sz w:val="26"/>
          <w:szCs w:val="26"/>
        </w:rPr>
        <w:t xml:space="preserve"> </w:t>
      </w:r>
      <w:r w:rsidRPr="001C33C0">
        <w:rPr>
          <w:rFonts w:ascii="Times New Roman" w:eastAsia="Calibri" w:hAnsi="Times New Roman"/>
          <w:color w:val="auto"/>
          <w:sz w:val="26"/>
          <w:szCs w:val="26"/>
        </w:rPr>
        <w:t>строительство, оборудование и модернизация спортплощадок;</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—увеличение количества мест летнего отдыха детей;</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модернизация материально-технической базы детских садов;</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lastRenderedPageBreak/>
        <w:t>— расширение сети групп продленного дня для учащихся 1 – 4 классов;</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повышение транспортной доступности детских садов и школ;</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внедрение принципа семейноцентричности в транспортной сфере;</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расширение сети семейных многофункциональных центров во всех муниципальных образованиях.</w:t>
      </w:r>
    </w:p>
    <w:p w:rsidR="00F90C4C" w:rsidRDefault="00F90C4C">
      <w:pPr>
        <w:pStyle w:val="a4"/>
        <w:rPr>
          <w:rFonts w:ascii="Times New Roman" w:eastAsia="Calibri" w:hAnsi="Times New Roman"/>
          <w:b/>
          <w:bCs/>
          <w:color w:val="auto"/>
        </w:rPr>
      </w:pP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t>Задача 1.1.7. Развивать семейно-ориентированные сервисы.</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Ключевые направления и механизмы реализации: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создание единого цифрового сервиса услуг для семей с детьми и горячей линии;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обеспечение доступности услуг в сфере культуры, спорта и досуга для всех членов семьи;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синхронизация режимов занятости работающих родителей с графиками работы детских дошкольных организаций (дежурные группы продленного пребывания);</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 поддержка социально-ориентированных некоммерческих организаций, оказывающих услуги семьям с детьми (помощь няни, сопровождение детей, гуманитарная помощь (одежда, детские вещи), консультации по правовым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и социальным вопросам, создание родительских сообществ, программа «Бабушка-волонтер» и прочее).</w:t>
      </w:r>
    </w:p>
    <w:p w:rsidR="00F90C4C" w:rsidRDefault="00F90C4C">
      <w:pPr>
        <w:pStyle w:val="a4"/>
        <w:rPr>
          <w:rFonts w:ascii="Times New Roman" w:eastAsia="Calibri" w:hAnsi="Times New Roman"/>
          <w:b/>
          <w:bCs/>
          <w:color w:val="auto"/>
        </w:rPr>
      </w:pP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t>Задача 1.1.8. Сформировать «семейный бренд» Томской области</w:t>
      </w:r>
      <w:r w:rsidRPr="00535A4B">
        <w:rPr>
          <w:rFonts w:ascii="Times New Roman" w:eastAsia="Calibri" w:hAnsi="Times New Roman"/>
          <w:color w:val="auto"/>
        </w:rPr>
        <w:t xml:space="preserve">. </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Ключевые направления и механизмы реализации: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создание и продвижение имиджа региона как комфортного и безопасного места для семейного проживания;</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обустройство пространств для семейного отдыха и досуга в рамках инициативы «Место для семьи, детей и красоты»;</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поддержка проектов по</w:t>
      </w:r>
      <w:r w:rsidR="001C33C0">
        <w:rPr>
          <w:rFonts w:ascii="Times New Roman" w:eastAsia="Calibri" w:hAnsi="Times New Roman"/>
          <w:color w:val="auto"/>
          <w:sz w:val="26"/>
          <w:szCs w:val="26"/>
        </w:rPr>
        <w:t xml:space="preserve"> укреплению семейных ценностей –</w:t>
      </w:r>
      <w:r w:rsidRPr="001C33C0">
        <w:rPr>
          <w:rFonts w:ascii="Times New Roman" w:eastAsia="Calibri" w:hAnsi="Times New Roman"/>
          <w:color w:val="auto"/>
          <w:sz w:val="26"/>
          <w:szCs w:val="26"/>
        </w:rPr>
        <w:t xml:space="preserve"> «Культ</w:t>
      </w:r>
      <w:r w:rsidR="001C33C0">
        <w:rPr>
          <w:rFonts w:ascii="Times New Roman" w:eastAsia="Calibri" w:hAnsi="Times New Roman"/>
          <w:color w:val="auto"/>
          <w:sz w:val="26"/>
          <w:szCs w:val="26"/>
        </w:rPr>
        <w:t>ура города –</w:t>
      </w:r>
      <w:r w:rsidRPr="001C33C0">
        <w:rPr>
          <w:rFonts w:ascii="Times New Roman" w:eastAsia="Calibri" w:hAnsi="Times New Roman"/>
          <w:color w:val="auto"/>
          <w:sz w:val="26"/>
          <w:szCs w:val="26"/>
        </w:rPr>
        <w:t xml:space="preserve"> новые проекты для семьи»;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внедрение современных стандартов средового дизайна при реконструкции и оснащении бюджетных учреждений.</w:t>
      </w:r>
    </w:p>
    <w:p w:rsidR="00F90C4C" w:rsidRDefault="00F90C4C">
      <w:pPr>
        <w:pStyle w:val="a4"/>
        <w:rPr>
          <w:rFonts w:ascii="Times New Roman" w:eastAsia="Calibri" w:hAnsi="Times New Roman"/>
          <w:b/>
          <w:bCs/>
          <w:color w:val="auto"/>
        </w:rPr>
      </w:pP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t xml:space="preserve">Задача 1.1.9. Вовлечь работодателей в поддержку рождаемости </w:t>
      </w:r>
      <w:r w:rsidRPr="00535A4B">
        <w:rPr>
          <w:rFonts w:ascii="Times New Roman" w:eastAsia="Calibri" w:hAnsi="Times New Roman"/>
          <w:b/>
          <w:bCs/>
          <w:color w:val="auto"/>
        </w:rPr>
        <w:br/>
        <w:t>и воспитания детей</w:t>
      </w:r>
      <w:r w:rsidRPr="00535A4B">
        <w:rPr>
          <w:rFonts w:ascii="Times New Roman" w:eastAsia="Calibri" w:hAnsi="Times New Roman"/>
          <w:color w:val="auto"/>
        </w:rPr>
        <w:t xml:space="preserve">. </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Ключевые направления и механизмы реализации: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 включение в демографические стандарты предприятий мер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по продвижению «вовлеченного отцовства» с моральным и материальным поощрением работников-отцов;</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 расширение практики гибкого графика, дистанционного и других индивидуальных форматов работы для беременных женщин и сотрудников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с несовершеннолетними детьми;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 проведение корпоративных спортивных и культурных мероприятий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в семейном формате.</w:t>
      </w:r>
    </w:p>
    <w:p w:rsidR="00F90C4C" w:rsidRDefault="00F90C4C">
      <w:pPr>
        <w:pStyle w:val="a4"/>
        <w:rPr>
          <w:rFonts w:ascii="Times New Roman" w:eastAsia="Calibri" w:hAnsi="Times New Roman"/>
          <w:b/>
          <w:bCs/>
          <w:color w:val="auto"/>
        </w:rPr>
      </w:pPr>
    </w:p>
    <w:p w:rsidR="00F90C4C" w:rsidRDefault="00F90C4C">
      <w:pPr>
        <w:spacing w:after="160" w:line="259" w:lineRule="auto"/>
        <w:rPr>
          <w:rFonts w:eastAsia="Calibri"/>
          <w:b/>
          <w:bCs/>
          <w:sz w:val="28"/>
          <w:szCs w:val="28"/>
          <w:lang w:eastAsia="ar-SA"/>
        </w:rPr>
      </w:pPr>
      <w:r>
        <w:rPr>
          <w:rFonts w:eastAsia="Calibri"/>
          <w:b/>
          <w:bCs/>
        </w:rPr>
        <w:br w:type="page"/>
      </w: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lastRenderedPageBreak/>
        <w:t xml:space="preserve">Задача 1.1.10. Проводить периодические исследования по оценке эффективности дифференцированных адресных мер поддержки семей </w:t>
      </w:r>
      <w:r w:rsidRPr="00535A4B">
        <w:rPr>
          <w:rFonts w:ascii="Times New Roman" w:eastAsia="Calibri" w:hAnsi="Times New Roman"/>
          <w:b/>
          <w:bCs/>
          <w:color w:val="auto"/>
        </w:rPr>
        <w:br/>
        <w:t>с детьми</w:t>
      </w:r>
      <w:r w:rsidRPr="00535A4B">
        <w:rPr>
          <w:rFonts w:ascii="Times New Roman" w:eastAsia="Calibri" w:hAnsi="Times New Roman"/>
          <w:color w:val="auto"/>
        </w:rPr>
        <w:t xml:space="preserve">. </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Ключевые направления и механизмы реализации: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регулярная оценка отдачи от затрат на пособия, программы строительства и приобретения жилья, выделение земельных участков в сельской местности;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анализ востребованности и результативности таких мер, как гибкий график работы, психологическая поддержка, компенсация логистических расходов, субсидирование жилья большой площади;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изучение эффективности расширения доступа к объектам социальной инфраструктуры и помощи по уходу в условиях городской агломерации и сельских территорий.</w:t>
      </w:r>
    </w:p>
    <w:p w:rsidR="00F90C4C" w:rsidRDefault="00F90C4C">
      <w:pPr>
        <w:pStyle w:val="a4"/>
        <w:rPr>
          <w:rFonts w:ascii="Times New Roman" w:eastAsia="Calibri" w:hAnsi="Times New Roman"/>
          <w:b/>
          <w:bCs/>
          <w:color w:val="auto"/>
        </w:rPr>
      </w:pPr>
    </w:p>
    <w:p w:rsidR="00E618FE" w:rsidRPr="00535A4B" w:rsidRDefault="00800098">
      <w:pPr>
        <w:pStyle w:val="a4"/>
        <w:rPr>
          <w:rFonts w:ascii="Times New Roman" w:eastAsia="Calibri" w:hAnsi="Times New Roman"/>
          <w:b/>
          <w:bCs/>
          <w:color w:val="auto"/>
        </w:rPr>
      </w:pPr>
      <w:r w:rsidRPr="00535A4B">
        <w:rPr>
          <w:rFonts w:ascii="Times New Roman" w:eastAsia="Calibri" w:hAnsi="Times New Roman"/>
          <w:b/>
          <w:bCs/>
          <w:color w:val="auto"/>
        </w:rPr>
        <w:t>Задача 1.1.11. Стимулировать приток населения в Томскую область из других регионов и стран.</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Ключевые направления и механизмы реализации:</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позиционирование области как комфортной территории для жизни ключевых социальных групп (студенты, многодетные семьи, ветераны СВО, трудовые мигранты) на основе развития эффективных социальных сервисов;</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реализация проекта «Возвращение на малую Родину» с формированием адресных пакетов мер (жилье, трудоустройство и др.) для специалистов и семей, ранее выехавших в другие регионы;</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привлечение новых трудовых ресурсов и талантов через визовые, информационные и интеграционные программы, ориентированные на разные целевые аудитории.</w:t>
      </w:r>
    </w:p>
    <w:p w:rsidR="00E618FE" w:rsidRPr="00535A4B" w:rsidRDefault="00800098">
      <w:pPr>
        <w:pStyle w:val="41"/>
        <w:rPr>
          <w:rFonts w:ascii="Times New Roman" w:eastAsia="Calibri" w:hAnsi="Times New Roman"/>
          <w:lang w:val="ru-RU"/>
        </w:rPr>
      </w:pPr>
      <w:r w:rsidRPr="00535A4B">
        <w:rPr>
          <w:rFonts w:ascii="Times New Roman" w:eastAsia="Calibri" w:hAnsi="Times New Roman"/>
          <w:lang w:val="ru-RU"/>
        </w:rPr>
        <w:t>Целевые показатели:</w:t>
      </w:r>
    </w:p>
    <w:p w:rsidR="00E618FE" w:rsidRPr="001C33C0" w:rsidRDefault="00800098">
      <w:pPr>
        <w:pStyle w:val="aff"/>
        <w:rPr>
          <w:rFonts w:ascii="Times New Roman" w:hAnsi="Times New Roman"/>
          <w:sz w:val="26"/>
          <w:szCs w:val="26"/>
          <w:lang w:val="ru-RU"/>
        </w:rPr>
      </w:pPr>
      <w:r w:rsidRPr="001C33C0">
        <w:rPr>
          <w:rFonts w:ascii="Times New Roman" w:hAnsi="Times New Roman"/>
          <w:sz w:val="26"/>
          <w:szCs w:val="26"/>
          <w:lang w:val="ru-RU"/>
        </w:rPr>
        <w:t xml:space="preserve">Таблица 9.1. Целевые показатели Стратегического приоритета 1.1. «Семья </w:t>
      </w:r>
      <w:r w:rsidR="001C33C0" w:rsidRPr="001C33C0">
        <w:rPr>
          <w:rFonts w:ascii="Times New Roman" w:hAnsi="Times New Roman"/>
          <w:sz w:val="26"/>
          <w:szCs w:val="26"/>
          <w:lang w:val="ru-RU"/>
        </w:rPr>
        <w:t>–</w:t>
      </w:r>
      <w:r w:rsidRPr="001C33C0">
        <w:rPr>
          <w:rFonts w:ascii="Times New Roman" w:hAnsi="Times New Roman"/>
          <w:sz w:val="26"/>
          <w:szCs w:val="26"/>
          <w:lang w:val="ru-RU"/>
        </w:rPr>
        <w:t xml:space="preserve"> основа будущего»</w:t>
      </w:r>
    </w:p>
    <w:tbl>
      <w:tblPr>
        <w:tblStyle w:val="-141"/>
        <w:tblW w:w="9460" w:type="dxa"/>
        <w:tblLayout w:type="fixed"/>
        <w:tblCellMar>
          <w:left w:w="57" w:type="dxa"/>
          <w:right w:w="57" w:type="dxa"/>
        </w:tblCellMar>
        <w:tblLook w:val="04A0" w:firstRow="1" w:lastRow="0" w:firstColumn="1" w:lastColumn="0" w:noHBand="0" w:noVBand="1"/>
      </w:tblPr>
      <w:tblGrid>
        <w:gridCol w:w="5524"/>
        <w:gridCol w:w="1417"/>
        <w:gridCol w:w="1276"/>
        <w:gridCol w:w="1243"/>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41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Суммарный коэффициент рождаемости, единиц</w:t>
            </w:r>
          </w:p>
        </w:tc>
        <w:tc>
          <w:tcPr>
            <w:tcW w:w="141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1,129</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1,390</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1,564</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 xml:space="preserve">Суммарный коэффициент рождаемости третьих </w:t>
            </w:r>
            <w:r w:rsidRPr="00535A4B">
              <w:rPr>
                <w:rFonts w:eastAsiaTheme="minorHAnsi"/>
                <w:b w:val="0"/>
                <w:bCs w:val="0"/>
              </w:rPr>
              <w:br/>
              <w:t>и последующих детей, единиц</w:t>
            </w:r>
          </w:p>
        </w:tc>
        <w:tc>
          <w:tcPr>
            <w:tcW w:w="141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0,280</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0,362</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0,374</w:t>
            </w:r>
          </w:p>
        </w:tc>
      </w:tr>
    </w:tbl>
    <w:p w:rsidR="00E618FE" w:rsidRPr="00535A4B" w:rsidRDefault="00E618FE"/>
    <w:p w:rsidR="00E618FE" w:rsidRPr="00535A4B" w:rsidRDefault="00800098">
      <w:pPr>
        <w:pStyle w:val="21"/>
        <w:rPr>
          <w:rFonts w:ascii="Times New Roman" w:eastAsia="Calibri" w:hAnsi="Times New Roman" w:cs="Times New Roman"/>
        </w:rPr>
      </w:pPr>
      <w:bookmarkStart w:id="90" w:name="_Toc229484470"/>
      <w:bookmarkStart w:id="91" w:name="_Toc235810143"/>
      <w:bookmarkStart w:id="92" w:name="_Toc238554531"/>
      <w:r w:rsidRPr="00535A4B">
        <w:rPr>
          <w:rFonts w:ascii="Times New Roman" w:eastAsia="Calibri" w:hAnsi="Times New Roman" w:cs="Times New Roman"/>
        </w:rPr>
        <w:t xml:space="preserve">Стратегический приоритет 1.2. «Здоровая, продолжительная </w:t>
      </w:r>
      <w:r w:rsidRPr="00535A4B">
        <w:rPr>
          <w:rFonts w:ascii="Times New Roman" w:eastAsia="Calibri" w:hAnsi="Times New Roman" w:cs="Times New Roman"/>
        </w:rPr>
        <w:br/>
        <w:t>и активная жизнь — общее дело»</w:t>
      </w:r>
      <w:bookmarkEnd w:id="87"/>
      <w:bookmarkEnd w:id="90"/>
      <w:bookmarkEnd w:id="91"/>
      <w:bookmarkEnd w:id="92"/>
      <w:r w:rsidRPr="00535A4B">
        <w:rPr>
          <w:rFonts w:ascii="Times New Roman" w:eastAsia="Calibri" w:hAnsi="Times New Roman" w:cs="Times New Roman"/>
        </w:rPr>
        <w:t xml:space="preserve"> </w:t>
      </w:r>
    </w:p>
    <w:p w:rsidR="00E618FE" w:rsidRPr="00535A4B" w:rsidRDefault="00E618FE">
      <w:pPr>
        <w:pStyle w:val="a4"/>
        <w:rPr>
          <w:rFonts w:ascii="Times New Roman" w:hAnsi="Times New Roman"/>
          <w:color w:val="auto"/>
          <w:lang w:eastAsia="en-US" w:bidi="en-US"/>
        </w:rPr>
      </w:pPr>
    </w:p>
    <w:p w:rsidR="00E618FE" w:rsidRPr="001C33C0" w:rsidRDefault="00800098">
      <w:pPr>
        <w:pStyle w:val="ConsPlusNormal"/>
        <w:ind w:firstLine="709"/>
        <w:jc w:val="both"/>
        <w:rPr>
          <w:rFonts w:eastAsia="Times New Roman"/>
          <w:sz w:val="26"/>
          <w:szCs w:val="26"/>
          <w:lang w:eastAsia="ar-SA"/>
        </w:rPr>
      </w:pPr>
      <w:r w:rsidRPr="001C33C0">
        <w:rPr>
          <w:rFonts w:eastAsia="Times New Roman"/>
          <w:sz w:val="26"/>
          <w:szCs w:val="26"/>
          <w:lang w:eastAsia="ar-SA"/>
        </w:rPr>
        <w:t xml:space="preserve">Первоочередной приоритет в социальной сфере </w:t>
      </w:r>
      <w:r w:rsidR="001C33C0">
        <w:rPr>
          <w:rFonts w:eastAsia="Times New Roman"/>
          <w:sz w:val="26"/>
          <w:szCs w:val="26"/>
          <w:lang w:eastAsia="ar-SA"/>
        </w:rPr>
        <w:t>–</w:t>
      </w:r>
      <w:r w:rsidRPr="001C33C0">
        <w:rPr>
          <w:rFonts w:eastAsia="Times New Roman"/>
          <w:sz w:val="26"/>
          <w:szCs w:val="26"/>
          <w:lang w:eastAsia="ar-SA"/>
        </w:rPr>
        <w:t xml:space="preserve"> создание условий </w:t>
      </w:r>
      <w:r w:rsidR="001C33C0">
        <w:rPr>
          <w:rFonts w:eastAsia="Times New Roman"/>
          <w:sz w:val="26"/>
          <w:szCs w:val="26"/>
          <w:lang w:eastAsia="ar-SA"/>
        </w:rPr>
        <w:br/>
      </w:r>
      <w:r w:rsidRPr="001C33C0">
        <w:rPr>
          <w:rFonts w:eastAsia="Times New Roman"/>
          <w:sz w:val="26"/>
          <w:szCs w:val="26"/>
          <w:lang w:eastAsia="ar-SA"/>
        </w:rPr>
        <w:t>для</w:t>
      </w:r>
      <w:r w:rsidRPr="001C33C0">
        <w:rPr>
          <w:sz w:val="26"/>
          <w:szCs w:val="26"/>
        </w:rPr>
        <w:t xml:space="preserve"> </w:t>
      </w:r>
      <w:r w:rsidRPr="001C33C0">
        <w:rPr>
          <w:rFonts w:eastAsia="Times New Roman"/>
          <w:sz w:val="26"/>
          <w:szCs w:val="26"/>
          <w:lang w:eastAsia="ar-SA"/>
        </w:rPr>
        <w:t xml:space="preserve">продолжительной, здоровой, активной жизни людей посредством оказания качественной и доступной медицинской помощи. </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Ключевым преимуществом Томской области является высокий научно-исследовательский и ресурсный потенциал крупных городских и региональных клинических больниц, федеральных медицинских центров (Ф</w:t>
      </w:r>
      <w:r w:rsidRPr="001C33C0">
        <w:rPr>
          <w:rFonts w:ascii="Times New Roman" w:eastAsia="Calibri" w:hAnsi="Times New Roman"/>
          <w:color w:val="auto"/>
          <w:sz w:val="26"/>
          <w:szCs w:val="26"/>
        </w:rPr>
        <w:t>ГБОУ ВО «Сибирский государственный медицинск</w:t>
      </w:r>
      <w:r w:rsidR="001C33C0">
        <w:rPr>
          <w:rFonts w:ascii="Times New Roman" w:eastAsia="Calibri" w:hAnsi="Times New Roman"/>
          <w:color w:val="auto"/>
          <w:sz w:val="26"/>
          <w:szCs w:val="26"/>
        </w:rPr>
        <w:t xml:space="preserve">ий университет», </w:t>
      </w:r>
      <w:r w:rsidRPr="001C33C0">
        <w:rPr>
          <w:rFonts w:ascii="Times New Roman" w:eastAsia="Calibri" w:hAnsi="Times New Roman"/>
          <w:color w:val="auto"/>
          <w:sz w:val="26"/>
          <w:szCs w:val="26"/>
        </w:rPr>
        <w:t>ФГБНУ «Томский национальный исследовательский медицинский центр Российской академии наук»,</w:t>
      </w:r>
      <w:r w:rsidRPr="001C33C0">
        <w:rPr>
          <w:rFonts w:ascii="Times New Roman" w:hAnsi="Times New Roman"/>
          <w:color w:val="auto"/>
          <w:sz w:val="26"/>
          <w:szCs w:val="26"/>
        </w:rPr>
        <w:t xml:space="preserve"> институты ФБМА России).</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lastRenderedPageBreak/>
        <w:t xml:space="preserve">Основными факторами, влияющими на здоровье, по оценкам Всемирной организации здравоохранения, являются образ жизни и социально-экономические условия, генетические особенности, состояние окружающей среды, а также доступность и качество медицинской помощи, профилактика, своевременность диагностики и лечения. Основной вклад в состояние здоровья населения вносит образ жизни и социально-экономические условия. В Томской области наблюдается недостаточная мотивация населения к соблюдению принципов здорового образа жизни; относительно высока распространенность поведенческих факторов риска. В связи с этим актуальной является задача укрепления общественного здоровья путем разработки и внедрения новых подходов в работе системы профилактики хронических неинфекционных заболеваний, формирования профиля здоровья каждого жителя («Линии жизни») с учетом генетических и средовых факторов риска, развития семейной медицины, персонализированного подхода к лечению. </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Необходимо решить задачу по активному внедрению новых результатов научных исследований и разработок в клиническую практику, совершенствованию механизмов оказания специализированной, в том числе высокотехнологичной, медицинской помощи и повышению ее доступности. </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В Томской области, как и в большинстве регионов России, отмечается рост числа хронических и послеоперационных заболеваний, требующих длительной реабилитации. Для этого необходимо создать доступную и качественную систему медицинской реабилитации и санаторно-курортного лечения, способствующую восстановлению здоровья, улучшению качества жизни, адаптации пациентов после перенесенных заболеваний, травм и операций.</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На организацию оказания медицинской помощи жителям Томской области влияют неблагоприятные климатогеографические условия региона. Доступность медицинской помощи существенно отличается в муниципальных образованиях. Необходимо обеспечить территориальную доступность медицинской помощи </w:t>
      </w:r>
      <w:r w:rsidR="001C33C0">
        <w:rPr>
          <w:rFonts w:ascii="Times New Roman" w:hAnsi="Times New Roman"/>
          <w:color w:val="auto"/>
          <w:sz w:val="26"/>
          <w:szCs w:val="26"/>
        </w:rPr>
        <w:br/>
      </w:r>
      <w:r w:rsidRPr="001C33C0">
        <w:rPr>
          <w:rFonts w:ascii="Times New Roman" w:hAnsi="Times New Roman"/>
          <w:color w:val="auto"/>
          <w:sz w:val="26"/>
          <w:szCs w:val="26"/>
        </w:rPr>
        <w:t>для жителей отдаленных населенных пунктов, в том числе сельских жителей.</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Значимым направлением развития системы здравоохранения является </w:t>
      </w:r>
      <w:r w:rsidR="001C33C0">
        <w:rPr>
          <w:rFonts w:ascii="Times New Roman" w:hAnsi="Times New Roman"/>
          <w:color w:val="auto"/>
          <w:sz w:val="26"/>
          <w:szCs w:val="26"/>
        </w:rPr>
        <w:br/>
      </w:r>
      <w:r w:rsidRPr="001C33C0">
        <w:rPr>
          <w:rFonts w:ascii="Times New Roman" w:hAnsi="Times New Roman"/>
          <w:color w:val="auto"/>
          <w:sz w:val="26"/>
          <w:szCs w:val="26"/>
        </w:rPr>
        <w:t xml:space="preserve">ее цифровизация и повышение технологической оснащенности. Необходимо расширять доступность медицинских услуг посредством внедрения цифровых технологий и развития телемедицины. На территории Томской области реализуются образовательные программы среднего профессионального образования, высшего образования и дополнительные профессиональные программы медицинского </w:t>
      </w:r>
      <w:r w:rsidR="001C33C0">
        <w:rPr>
          <w:rFonts w:ascii="Times New Roman" w:hAnsi="Times New Roman"/>
          <w:color w:val="auto"/>
          <w:sz w:val="26"/>
          <w:szCs w:val="26"/>
        </w:rPr>
        <w:br/>
      </w:r>
      <w:r w:rsidRPr="001C33C0">
        <w:rPr>
          <w:rFonts w:ascii="Times New Roman" w:hAnsi="Times New Roman"/>
          <w:color w:val="auto"/>
          <w:sz w:val="26"/>
          <w:szCs w:val="26"/>
        </w:rPr>
        <w:t>и фармацевтического образования, меры по поддержке кадрового обеспечения. Анализ кадровой ситуации демонстрирует устойчивую территориальную асимметрию: высокая обеспеченность врачам</w:t>
      </w:r>
      <w:r w:rsidR="001C33C0">
        <w:rPr>
          <w:rFonts w:ascii="Times New Roman" w:hAnsi="Times New Roman"/>
          <w:color w:val="auto"/>
          <w:sz w:val="26"/>
          <w:szCs w:val="26"/>
        </w:rPr>
        <w:t xml:space="preserve">и в областном центре и низкая </w:t>
      </w:r>
      <w:r w:rsidR="001C33C0">
        <w:rPr>
          <w:rFonts w:ascii="Times New Roman" w:hAnsi="Times New Roman"/>
          <w:color w:val="auto"/>
          <w:sz w:val="26"/>
          <w:szCs w:val="26"/>
        </w:rPr>
        <w:br/>
        <w:t>–</w:t>
      </w:r>
      <w:r w:rsidRPr="001C33C0">
        <w:rPr>
          <w:rFonts w:ascii="Times New Roman" w:hAnsi="Times New Roman"/>
          <w:color w:val="auto"/>
          <w:sz w:val="26"/>
          <w:szCs w:val="26"/>
        </w:rPr>
        <w:t xml:space="preserve"> в муниципальных образованиях. Фиксируется дефицит врачей узких </w:t>
      </w:r>
      <w:r w:rsidRPr="001C33C0">
        <w:rPr>
          <w:rFonts w:ascii="Times New Roman" w:hAnsi="Times New Roman"/>
          <w:color w:val="auto"/>
          <w:sz w:val="26"/>
          <w:szCs w:val="26"/>
        </w:rPr>
        <w:br/>
        <w:t xml:space="preserve">и диагностических специальностей, а также выраженная тенденция </w:t>
      </w:r>
      <w:r w:rsidRPr="001C33C0">
        <w:rPr>
          <w:rFonts w:ascii="Times New Roman" w:hAnsi="Times New Roman"/>
          <w:color w:val="auto"/>
          <w:sz w:val="26"/>
          <w:szCs w:val="26"/>
        </w:rPr>
        <w:br/>
        <w:t xml:space="preserve">к старению кадров, что сопровождается низкой привлекательностью профессии медицинского работника. </w:t>
      </w:r>
    </w:p>
    <w:p w:rsidR="00E618FE" w:rsidRPr="001C33C0" w:rsidRDefault="00800098">
      <w:pPr>
        <w:pStyle w:val="ConsPlusNormal"/>
        <w:ind w:firstLine="709"/>
        <w:jc w:val="both"/>
        <w:rPr>
          <w:rFonts w:eastAsia="Times New Roman"/>
          <w:sz w:val="26"/>
          <w:szCs w:val="26"/>
          <w:lang w:eastAsia="ar-SA"/>
        </w:rPr>
      </w:pPr>
      <w:r w:rsidRPr="001C33C0">
        <w:rPr>
          <w:rFonts w:eastAsia="Times New Roman"/>
          <w:sz w:val="26"/>
          <w:szCs w:val="26"/>
          <w:lang w:eastAsia="ar-SA"/>
        </w:rPr>
        <w:t>Преодоление структурных и территориальных диспропорций кадрового потенциала требует перехода к комплексному сопровождению врача на всех этапах профессионального становления, что позволит трансформировать существующий высокий кадровый ресурс областного центра в сбалансированное развитие всей региональной системы здравоохранения.</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В регионе строятся новые объекты инфраструктуры здравоохранения. Однако в системе здравоохранения недостаточно новых современных поликлиник, </w:t>
      </w:r>
      <w:r w:rsidRPr="001C33C0">
        <w:rPr>
          <w:rFonts w:ascii="Times New Roman" w:hAnsi="Times New Roman"/>
          <w:color w:val="auto"/>
          <w:sz w:val="26"/>
          <w:szCs w:val="26"/>
        </w:rPr>
        <w:lastRenderedPageBreak/>
        <w:t xml:space="preserve">стационаров; наблюдается высокий удельный вес от общей площади зданий, находящихся в аварийном состоянии или требующих сноса, реконструкции </w:t>
      </w:r>
      <w:r w:rsidR="001C33C0">
        <w:rPr>
          <w:rFonts w:ascii="Times New Roman" w:hAnsi="Times New Roman"/>
          <w:color w:val="auto"/>
          <w:sz w:val="26"/>
          <w:szCs w:val="26"/>
        </w:rPr>
        <w:br/>
      </w:r>
      <w:r w:rsidRPr="001C33C0">
        <w:rPr>
          <w:rFonts w:ascii="Times New Roman" w:hAnsi="Times New Roman"/>
          <w:color w:val="auto"/>
          <w:sz w:val="26"/>
          <w:szCs w:val="26"/>
        </w:rPr>
        <w:t xml:space="preserve">и капитального ремонта. Необходимо решить задачу по строительству и вводу </w:t>
      </w:r>
      <w:r w:rsidR="001C33C0">
        <w:rPr>
          <w:rFonts w:ascii="Times New Roman" w:hAnsi="Times New Roman"/>
          <w:color w:val="auto"/>
          <w:sz w:val="26"/>
          <w:szCs w:val="26"/>
        </w:rPr>
        <w:br/>
      </w:r>
      <w:r w:rsidRPr="001C33C0">
        <w:rPr>
          <w:rFonts w:ascii="Times New Roman" w:hAnsi="Times New Roman"/>
          <w:color w:val="auto"/>
          <w:sz w:val="26"/>
          <w:szCs w:val="26"/>
        </w:rPr>
        <w:t xml:space="preserve">в эксплуатацию новых медицинских объектов, обновлению материально-технической базы медицинских организаций. </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Для повышения качества медицинских услуг и роста эффективности управления необходимо внедрение системы менеджмента качества. </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Томская область обладает высоким кадровым потенциалом </w:t>
      </w:r>
      <w:r w:rsidR="001C33C0">
        <w:rPr>
          <w:rFonts w:ascii="Times New Roman" w:hAnsi="Times New Roman"/>
          <w:color w:val="auto"/>
          <w:sz w:val="26"/>
          <w:szCs w:val="26"/>
        </w:rPr>
        <w:br/>
      </w:r>
      <w:r w:rsidRPr="001C33C0">
        <w:rPr>
          <w:rFonts w:ascii="Times New Roman" w:hAnsi="Times New Roman"/>
          <w:color w:val="auto"/>
          <w:sz w:val="26"/>
          <w:szCs w:val="26"/>
        </w:rPr>
        <w:t xml:space="preserve">в здравоохранении, развитой научной и образовательной базой, современными медицинскими центрами и опытом внедрения инноваций в здравоохранении, поэтому необходимо развивать медицинский туризм и увеличить экспорт медицинских услуг путем создания благоприятных условий для пациентов </w:t>
      </w:r>
      <w:r w:rsidR="001C33C0">
        <w:rPr>
          <w:rFonts w:ascii="Times New Roman" w:hAnsi="Times New Roman"/>
          <w:color w:val="auto"/>
          <w:sz w:val="26"/>
          <w:szCs w:val="26"/>
        </w:rPr>
        <w:br/>
      </w:r>
      <w:r w:rsidRPr="001C33C0">
        <w:rPr>
          <w:rFonts w:ascii="Times New Roman" w:hAnsi="Times New Roman"/>
          <w:color w:val="auto"/>
          <w:sz w:val="26"/>
          <w:szCs w:val="26"/>
        </w:rPr>
        <w:t xml:space="preserve">из-за рубежа и регионов России. </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Стратегическим приоритетом в сфере развития системы здравоохранения Томской области до 2036 года является формирование профиля здоровья каждого жителя («Линии жизни») и развитие на этой основе персонализированного подхода к лечению и профилактике, формирование современной медицинской системы, доступной на всей территории региона для всех категорий населения, в том числе </w:t>
      </w:r>
      <w:r w:rsidR="001C33C0">
        <w:rPr>
          <w:rFonts w:ascii="Times New Roman" w:hAnsi="Times New Roman"/>
          <w:color w:val="auto"/>
          <w:sz w:val="26"/>
          <w:szCs w:val="26"/>
        </w:rPr>
        <w:br/>
      </w:r>
      <w:r w:rsidRPr="001C33C0">
        <w:rPr>
          <w:rFonts w:ascii="Times New Roman" w:hAnsi="Times New Roman"/>
          <w:color w:val="auto"/>
          <w:sz w:val="26"/>
          <w:szCs w:val="26"/>
        </w:rPr>
        <w:t>за счет внедрения инноваций и научных разработок в клиническую практику, развития специализированной и высокотехнологичной помощи, цифровых сервисов и телемедицины, укрепления кадрового потенциала и модернизации инфраструктуры, а также развития медицинского туризма и экспорта услуг.</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Опорными центрами реализации приоритета выступают областные, районные и городские медицинские организации (Томская областная клиническая больница (ТОКБ), ФГБОУ ВО «Сибирский государственный медицинский университет» Министерства здравоохранения Российской Федерации с клинической базой, ОГБПОУ «Томский базовый медицинский колледж», ФГБНУ «Томский национальный исследовательский медицинский центр Российской академии наук», в том числе НИИ кардиологии, НИИ психического здоровья, НИИ фармакологии, НИИ онкологии, городские и районные больницы, санатории и др.), обеспечивающие высокотехнологическую специализированную медицинскую помощь, санаторно-курортное лечение, трансфер научных разработок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 xml:space="preserve">в медицинскую практику и подготовку кадров для всей сети учреждений здравоохранения региона. </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Устойчивость системы обеспечивается цифровой интеграцией </w:t>
      </w:r>
      <w:r w:rsidRPr="001C33C0">
        <w:rPr>
          <w:rFonts w:ascii="Times New Roman" w:eastAsia="Calibri" w:hAnsi="Times New Roman"/>
          <w:color w:val="auto"/>
          <w:sz w:val="26"/>
          <w:szCs w:val="26"/>
        </w:rPr>
        <w:br/>
        <w:t xml:space="preserve">и внедрением телемедицинских технологий, дистанционным мониторингом хронических заболеваний и развитием мобильных форм медицинской помощи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 xml:space="preserve">для труднодоступных и отдаленных районов. </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Сетевое партнерство с ФГАОУ ВО «Национальный исследовательский Томский политехнический университет», ФГАОУ ВО «Национальный исследовательский Томский государственный университет»,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 xml:space="preserve">ФГБОУ ВО «Сибирский государственный медицинский университет» Министерства здравоохранения Российской Федерации будет способствовать развитию новых медицинских технологий, разработке и внедрению нового медицинского оборудования и лекарственных препаратов, средств реабилитации, цифровых платформ мониторинга здоровья. </w:t>
      </w:r>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 xml:space="preserve">Реализация приоритета опирается на сложившиеся компетенции региона </w:t>
      </w:r>
      <w:r w:rsidR="001C33C0">
        <w:rPr>
          <w:rFonts w:ascii="Times New Roman" w:eastAsia="Calibri" w:hAnsi="Times New Roman"/>
          <w:color w:val="auto"/>
          <w:sz w:val="26"/>
          <w:szCs w:val="26"/>
        </w:rPr>
        <w:br/>
      </w:r>
      <w:r w:rsidRPr="001C33C0">
        <w:rPr>
          <w:rFonts w:ascii="Times New Roman" w:eastAsia="Calibri" w:hAnsi="Times New Roman"/>
          <w:color w:val="auto"/>
          <w:sz w:val="26"/>
          <w:szCs w:val="26"/>
        </w:rPr>
        <w:t xml:space="preserve">в области онкологии, сердечно-сосудистой хирургии, репродуктивной медицины, </w:t>
      </w:r>
      <w:r w:rsidRPr="001C33C0">
        <w:rPr>
          <w:rFonts w:ascii="Times New Roman" w:eastAsia="Calibri" w:hAnsi="Times New Roman"/>
          <w:color w:val="auto"/>
          <w:sz w:val="26"/>
          <w:szCs w:val="26"/>
        </w:rPr>
        <w:lastRenderedPageBreak/>
        <w:t>реабилитации и телемедицины, с</w:t>
      </w:r>
      <w:r w:rsidRPr="001C33C0">
        <w:rPr>
          <w:rFonts w:ascii="Times New Roman" w:hAnsi="Times New Roman"/>
          <w:color w:val="auto"/>
          <w:sz w:val="26"/>
          <w:szCs w:val="26"/>
        </w:rPr>
        <w:t xml:space="preserve">тратегические региональные проекты Томской области в сфере здравоохранения в рамках двух национальных проектов (НП): </w:t>
      </w:r>
      <w:r w:rsidR="001C33C0">
        <w:rPr>
          <w:rFonts w:ascii="Times New Roman" w:hAnsi="Times New Roman"/>
          <w:color w:val="auto"/>
          <w:sz w:val="26"/>
          <w:szCs w:val="26"/>
        </w:rPr>
        <w:br/>
      </w:r>
      <w:r w:rsidRPr="001C33C0">
        <w:rPr>
          <w:rFonts w:ascii="Times New Roman" w:hAnsi="Times New Roman"/>
          <w:color w:val="auto"/>
          <w:sz w:val="26"/>
          <w:szCs w:val="26"/>
        </w:rPr>
        <w:t xml:space="preserve">НП «Продолжительная и активная жизнь» (9 региональных проектов) и НП «Семья» (1 региональный проект), </w:t>
      </w:r>
      <w:r w:rsidRPr="001C33C0">
        <w:rPr>
          <w:rFonts w:ascii="Times New Roman" w:eastAsia="Calibri" w:hAnsi="Times New Roman"/>
          <w:color w:val="auto"/>
          <w:sz w:val="26"/>
          <w:szCs w:val="26"/>
        </w:rPr>
        <w:t>на социальный проект «Плавучая поликлиника», охватывающий отдаленные населенные пункты по рекам области, а также программы «Земский доктор» и «Земский фельдшер».</w:t>
      </w:r>
    </w:p>
    <w:p w:rsidR="001C33C0" w:rsidRDefault="001C33C0">
      <w:pPr>
        <w:pStyle w:val="41"/>
        <w:rPr>
          <w:rFonts w:ascii="Times New Roman" w:hAnsi="Times New Roman"/>
          <w:bCs/>
          <w:lang w:val="ru-RU" w:eastAsia="ar-SA"/>
        </w:rPr>
      </w:pPr>
    </w:p>
    <w:p w:rsidR="00E618FE" w:rsidRPr="00535A4B" w:rsidRDefault="00800098">
      <w:pPr>
        <w:pStyle w:val="41"/>
        <w:rPr>
          <w:rFonts w:ascii="Times New Roman" w:hAnsi="Times New Roman"/>
          <w:b w:val="0"/>
          <w:bCs/>
          <w:i/>
          <w:iCs/>
          <w:lang w:val="ru-RU" w:eastAsia="ar-SA"/>
        </w:rPr>
      </w:pPr>
      <w:r w:rsidRPr="00535A4B">
        <w:rPr>
          <w:rFonts w:ascii="Times New Roman" w:hAnsi="Times New Roman"/>
          <w:bCs/>
          <w:lang w:val="ru-RU" w:eastAsia="ar-SA"/>
        </w:rPr>
        <w:t>Задачи:</w:t>
      </w:r>
    </w:p>
    <w:p w:rsidR="00E618FE" w:rsidRPr="00535A4B" w:rsidRDefault="00800098">
      <w:pPr>
        <w:pStyle w:val="a4"/>
        <w:rPr>
          <w:rFonts w:ascii="Times New Roman" w:hAnsi="Times New Roman"/>
          <w:b/>
          <w:bCs/>
          <w:color w:val="auto"/>
        </w:rPr>
      </w:pPr>
      <w:bookmarkStart w:id="93" w:name="_Hlk235728027"/>
      <w:r w:rsidRPr="00535A4B">
        <w:rPr>
          <w:rFonts w:ascii="Times New Roman" w:hAnsi="Times New Roman"/>
          <w:b/>
          <w:bCs/>
          <w:color w:val="auto"/>
        </w:rPr>
        <w:t xml:space="preserve">Задача 1.2.1. Развивать систему укрепления общественного здоровья путем формирования здорового образа жизни и разработки новых подходов в работе системы профилактики заболеваний. </w:t>
      </w:r>
      <w:bookmarkEnd w:id="93"/>
    </w:p>
    <w:p w:rsidR="00E618FE" w:rsidRPr="001C33C0" w:rsidRDefault="00800098">
      <w:pPr>
        <w:pStyle w:val="a4"/>
        <w:rPr>
          <w:rFonts w:ascii="Times New Roman" w:eastAsia="Calibri" w:hAnsi="Times New Roman"/>
          <w:color w:val="auto"/>
          <w:sz w:val="26"/>
          <w:szCs w:val="26"/>
        </w:rPr>
      </w:pPr>
      <w:r w:rsidRPr="001C33C0">
        <w:rPr>
          <w:rFonts w:ascii="Times New Roman" w:eastAsia="Calibri" w:hAnsi="Times New Roman"/>
          <w:color w:val="auto"/>
          <w:sz w:val="26"/>
          <w:szCs w:val="26"/>
        </w:rPr>
        <w:t>Ключевые направления и механизмы реализации:</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разработка и внедрение в систему здравоохранения эффективных организационных технологий, позволяющих обеспечить сопровождение пациента на всем его жизненном пути, формирование профиля здоровья каждого жителя («Линии жизни») с учетом генетических и средовых факторов риска;</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 анализ лучших практик корпоративных и региональных программ </w:t>
      </w:r>
      <w:r w:rsidR="00CC6169">
        <w:rPr>
          <w:rFonts w:ascii="Times New Roman" w:hAnsi="Times New Roman"/>
          <w:color w:val="auto"/>
          <w:sz w:val="26"/>
          <w:szCs w:val="26"/>
        </w:rPr>
        <w:br/>
      </w:r>
      <w:r w:rsidRPr="001C33C0">
        <w:rPr>
          <w:rFonts w:ascii="Times New Roman" w:hAnsi="Times New Roman"/>
          <w:color w:val="auto"/>
          <w:sz w:val="26"/>
          <w:szCs w:val="26"/>
        </w:rPr>
        <w:t>по ведению здорового образа жизни и профилактики хронических неинфекционных заболеваний с внедрением в деятельность предприятий региона;</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w:t>
      </w:r>
      <w:r w:rsidR="00CC6169">
        <w:rPr>
          <w:rFonts w:ascii="Times New Roman" w:hAnsi="Times New Roman"/>
          <w:color w:val="auto"/>
          <w:sz w:val="26"/>
          <w:szCs w:val="26"/>
        </w:rPr>
        <w:t xml:space="preserve"> </w:t>
      </w:r>
      <w:r w:rsidRPr="001C33C0">
        <w:rPr>
          <w:rFonts w:ascii="Times New Roman" w:hAnsi="Times New Roman"/>
          <w:color w:val="auto"/>
          <w:sz w:val="26"/>
          <w:szCs w:val="26"/>
        </w:rPr>
        <w:t>разработка, апробация и отбор эффективных практик здоровьесбережения с опорой на потенциал университетов и научных коллективов г. Томска;</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w:t>
      </w:r>
      <w:r w:rsidR="00CC6169">
        <w:rPr>
          <w:rFonts w:ascii="Times New Roman" w:hAnsi="Times New Roman"/>
          <w:color w:val="auto"/>
          <w:sz w:val="26"/>
          <w:szCs w:val="26"/>
        </w:rPr>
        <w:t xml:space="preserve"> </w:t>
      </w:r>
      <w:r w:rsidRPr="001C33C0">
        <w:rPr>
          <w:rFonts w:ascii="Times New Roman" w:hAnsi="Times New Roman"/>
          <w:color w:val="auto"/>
          <w:sz w:val="26"/>
          <w:szCs w:val="26"/>
        </w:rPr>
        <w:t xml:space="preserve">организация работы с целевой аудиторией из числа студентов вузов и СПО города Томска по распространению доказавших результативность решений </w:t>
      </w:r>
      <w:r w:rsidR="00CC6169">
        <w:rPr>
          <w:rFonts w:ascii="Times New Roman" w:hAnsi="Times New Roman"/>
          <w:color w:val="auto"/>
          <w:sz w:val="26"/>
          <w:szCs w:val="26"/>
        </w:rPr>
        <w:br/>
      </w:r>
      <w:r w:rsidRPr="001C33C0">
        <w:rPr>
          <w:rFonts w:ascii="Times New Roman" w:hAnsi="Times New Roman"/>
          <w:color w:val="auto"/>
          <w:sz w:val="26"/>
          <w:szCs w:val="26"/>
        </w:rPr>
        <w:t>через муниципалитеты, работодателей, школы, учреждения культуры и спорта, общественные организации и первичное звено здравоохранения;</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формирование новой модели работы с населением в центрах здоровья, включая выявление у граждан предрисков и факторов риска развития заболеваний, динамическое наблюдение за предрисками и факторами риска и их коррекцию;</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 организация обследования работающих граждан Центрами здоровья </w:t>
      </w:r>
      <w:r w:rsidR="00CC6169">
        <w:rPr>
          <w:rFonts w:ascii="Times New Roman" w:hAnsi="Times New Roman"/>
          <w:color w:val="auto"/>
          <w:sz w:val="26"/>
          <w:szCs w:val="26"/>
        </w:rPr>
        <w:br/>
      </w:r>
      <w:r w:rsidRPr="001C33C0">
        <w:rPr>
          <w:rFonts w:ascii="Times New Roman" w:hAnsi="Times New Roman"/>
          <w:color w:val="auto"/>
          <w:sz w:val="26"/>
          <w:szCs w:val="26"/>
        </w:rPr>
        <w:t xml:space="preserve">на рабочем месте, а также диспансерное наблюдение на рабочем месте лиц </w:t>
      </w:r>
      <w:r w:rsidRPr="001C33C0">
        <w:rPr>
          <w:rFonts w:ascii="Times New Roman" w:hAnsi="Times New Roman"/>
          <w:color w:val="auto"/>
          <w:sz w:val="26"/>
          <w:szCs w:val="26"/>
        </w:rPr>
        <w:br/>
        <w:t>с выявленными рисками развития заболеваний;</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оснащение/дооснащение Центров здоровья оборудованием для выявления и коррекции факторов риска развития хронических неинфекционных заболеваний;</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xml:space="preserve">— организация диспансерного наблюдения за гражданами с факторами риска развития хронических неинфекционных заболеваний с формированием индивидуальных программ по ведению здорового образа жизни, в том числе </w:t>
      </w:r>
      <w:r w:rsidR="00CC6169">
        <w:rPr>
          <w:rFonts w:ascii="Times New Roman" w:hAnsi="Times New Roman"/>
          <w:color w:val="auto"/>
          <w:sz w:val="26"/>
          <w:szCs w:val="26"/>
        </w:rPr>
        <w:br/>
      </w:r>
      <w:r w:rsidRPr="001C33C0">
        <w:rPr>
          <w:rFonts w:ascii="Times New Roman" w:hAnsi="Times New Roman"/>
          <w:color w:val="auto"/>
          <w:sz w:val="26"/>
          <w:szCs w:val="26"/>
        </w:rPr>
        <w:t>с использованием выездных методов работы;</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профилактика, диагностика и лечение инфекционных заболеваний, распространение которых представляет биологическую угрозу населению (туберкулез, ВИЧ-инфекция, вирусные гепатиты B и C);</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реализация комплекса профилактических и противоэпидемических мероприятий, направленных на предупреждение заноса опасных инфекционных заболеваний, распространения природно-очаговых инфекций и зоонозных болезней, а также обеспечение готовности к реагированию на биологические угрозы естественного и преднамеренного характера;</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lastRenderedPageBreak/>
        <w:t xml:space="preserve">— развитие семейной медицины, персонализированного подхода к лечению </w:t>
      </w:r>
      <w:r w:rsidR="00CC6169">
        <w:rPr>
          <w:rFonts w:ascii="Times New Roman" w:hAnsi="Times New Roman"/>
          <w:color w:val="auto"/>
          <w:sz w:val="26"/>
          <w:szCs w:val="26"/>
        </w:rPr>
        <w:br/>
      </w:r>
      <w:r w:rsidRPr="001C33C0">
        <w:rPr>
          <w:rFonts w:ascii="Times New Roman" w:hAnsi="Times New Roman"/>
          <w:color w:val="auto"/>
          <w:sz w:val="26"/>
          <w:szCs w:val="26"/>
        </w:rPr>
        <w:t>и профилактике, в том числе через инструменты стимулирования здорового образа жизни в семье (питание, физическая активность), профилактику профессиональных заболеваний и снижение смертности от внешних причин;</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оказание гериатрической помощи в старшем возрасте, развитие рынка уходовых услуг;</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популяризация ответственного отношения к своему здоровью через вовлечение населения в систему диспансеризации и профилактических медицинских осмотров;</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активное продвижение здорового образа жизни через комплексные программы снижения потребления алкоголя, табака, наркотических веществ, развитие системы здорового питания и витаминизации;</w:t>
      </w:r>
    </w:p>
    <w:p w:rsidR="00E618FE" w:rsidRPr="001C33C0" w:rsidRDefault="00800098">
      <w:pPr>
        <w:pStyle w:val="a4"/>
        <w:rPr>
          <w:rFonts w:ascii="Times New Roman" w:hAnsi="Times New Roman"/>
          <w:color w:val="auto"/>
          <w:sz w:val="26"/>
          <w:szCs w:val="26"/>
        </w:rPr>
      </w:pPr>
      <w:r w:rsidRPr="001C33C0">
        <w:rPr>
          <w:rFonts w:ascii="Times New Roman" w:hAnsi="Times New Roman"/>
          <w:color w:val="auto"/>
          <w:sz w:val="26"/>
          <w:szCs w:val="26"/>
        </w:rPr>
        <w:t>— разработка и реализация создания мультисервисной интернет-платформы для жителей Томской области по услугам в сфере здорового образа жизни, спорта, питания, вэлнес и лечения, ведения цифрового профиля здоровья.</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1.2.2. </w:t>
      </w:r>
      <w:bookmarkStart w:id="94" w:name="_Hlk235789657"/>
      <w:r w:rsidRPr="00535A4B">
        <w:rPr>
          <w:rFonts w:ascii="Times New Roman" w:hAnsi="Times New Roman"/>
          <w:b/>
          <w:bCs/>
          <w:color w:val="auto"/>
        </w:rPr>
        <w:t>Повысить качество и доступность медицинской помощи гражданам, планирующим ребенка, беременным женщинам, детям, укрепить репродуктивное здоровье граждан</w:t>
      </w:r>
      <w:bookmarkEnd w:id="94"/>
      <w:r w:rsidRPr="00535A4B">
        <w:rPr>
          <w:rFonts w:ascii="Times New Roman" w:hAnsi="Times New Roman"/>
          <w:b/>
          <w:bCs/>
          <w:color w:val="auto"/>
        </w:rPr>
        <w:t>.</w:t>
      </w:r>
    </w:p>
    <w:p w:rsidR="00E618FE" w:rsidRPr="00CC6169" w:rsidRDefault="00800098">
      <w:pPr>
        <w:pStyle w:val="a4"/>
        <w:rPr>
          <w:rFonts w:ascii="Times New Roman" w:eastAsia="Calibri" w:hAnsi="Times New Roman"/>
          <w:color w:val="auto"/>
          <w:sz w:val="26"/>
          <w:szCs w:val="26"/>
        </w:rPr>
      </w:pPr>
      <w:r w:rsidRPr="00CC6169">
        <w:rPr>
          <w:rFonts w:ascii="Times New Roman" w:eastAsia="Calibri"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оказание медицинской помощи с использованием вспомогательных репродуктивных технологий для лечения бесплодия;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оснащение мобильным медицинским оборудованием детских поликлиник (отделений) для проведения выездных мероприятий, в том числе с целью профилактических медицинских осмотров, диспансеризации и диспансерного наблюдения детского населения;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оснащение (дооснащение и (или) переоснащение) медицинскими изделиями перинатальных центров, родильных домов (отделений), детских больниц, в том числе в составе других организаций;</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расширение охвата мужчин и женщин репродуктивного возраста мероприятиями по сохранению репродуктивного здоровья, включая комплексную диспансеризацию данной категории населения;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совершенствование оказания медицинской помощи несовершеннолетним, в том числе в общеобразовательных организациях.</w:t>
      </w:r>
    </w:p>
    <w:p w:rsidR="00F90C4C" w:rsidRDefault="00F90C4C" w:rsidP="00CC6169">
      <w:pPr>
        <w:pStyle w:val="a4"/>
        <w:rPr>
          <w:rFonts w:ascii="Times New Roman" w:hAnsi="Times New Roman"/>
          <w:b/>
          <w:bCs/>
          <w:color w:val="auto"/>
        </w:rPr>
      </w:pPr>
      <w:bookmarkStart w:id="95" w:name="_Hlk235788285"/>
    </w:p>
    <w:p w:rsidR="00E618FE" w:rsidRPr="00CC6169" w:rsidRDefault="00800098" w:rsidP="00CC6169">
      <w:pPr>
        <w:pStyle w:val="a4"/>
        <w:rPr>
          <w:rFonts w:ascii="Times New Roman" w:hAnsi="Times New Roman"/>
          <w:b/>
          <w:bCs/>
          <w:color w:val="auto"/>
        </w:rPr>
      </w:pPr>
      <w:r w:rsidRPr="00535A4B">
        <w:rPr>
          <w:rFonts w:ascii="Times New Roman" w:hAnsi="Times New Roman"/>
          <w:b/>
          <w:bCs/>
          <w:color w:val="auto"/>
        </w:rPr>
        <w:t>Задача 1.2.3. </w:t>
      </w:r>
      <w:bookmarkStart w:id="96" w:name="_Hlk235789339"/>
      <w:r w:rsidRPr="00535A4B">
        <w:rPr>
          <w:rFonts w:ascii="Times New Roman" w:hAnsi="Times New Roman"/>
          <w:b/>
          <w:bCs/>
          <w:color w:val="auto"/>
        </w:rPr>
        <w:t xml:space="preserve">Совершенствовать оказание специализированной, </w:t>
      </w:r>
      <w:r w:rsidRPr="00535A4B">
        <w:rPr>
          <w:rFonts w:ascii="Times New Roman" w:hAnsi="Times New Roman"/>
          <w:b/>
          <w:bCs/>
          <w:color w:val="auto"/>
        </w:rPr>
        <w:br/>
        <w:t xml:space="preserve">в том числе высокотехнологичной, медицинской помощи и повысить </w:t>
      </w:r>
      <w:r w:rsidR="00CC6169">
        <w:rPr>
          <w:rFonts w:ascii="Times New Roman" w:hAnsi="Times New Roman"/>
          <w:b/>
          <w:bCs/>
          <w:color w:val="auto"/>
        </w:rPr>
        <w:br/>
      </w:r>
      <w:r w:rsidRPr="00535A4B">
        <w:rPr>
          <w:rFonts w:ascii="Times New Roman" w:hAnsi="Times New Roman"/>
          <w:b/>
          <w:bCs/>
          <w:color w:val="auto"/>
        </w:rPr>
        <w:t>ее доступность</w:t>
      </w:r>
      <w:bookmarkEnd w:id="95"/>
      <w:bookmarkEnd w:id="96"/>
      <w:r w:rsidRPr="00535A4B">
        <w:rPr>
          <w:rFonts w:ascii="Times New Roman" w:hAnsi="Times New Roman"/>
          <w:b/>
          <w:bCs/>
          <w:color w:val="auto"/>
        </w:rPr>
        <w:t>.</w:t>
      </w:r>
      <w:r w:rsidRPr="00535A4B">
        <w:rPr>
          <w:rFonts w:ascii="Times New Roman" w:hAnsi="Times New Roman"/>
          <w:color w:val="auto"/>
        </w:rPr>
        <w:t xml:space="preserve"> </w:t>
      </w:r>
    </w:p>
    <w:p w:rsidR="00E618FE" w:rsidRPr="00CC6169" w:rsidRDefault="00800098">
      <w:pPr>
        <w:pStyle w:val="a4"/>
        <w:rPr>
          <w:rFonts w:ascii="Times New Roman" w:eastAsia="Calibri" w:hAnsi="Times New Roman"/>
          <w:color w:val="auto"/>
          <w:sz w:val="26"/>
          <w:szCs w:val="26"/>
        </w:rPr>
      </w:pPr>
      <w:r w:rsidRPr="00CC6169">
        <w:rPr>
          <w:rFonts w:ascii="Times New Roman" w:eastAsia="Calibri"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совершенствование оказания специализированной и высокотехнологичной медицинской помощи, повышение ее качества и доступности через интеграцию федеральных и региональных медицинских организаций, научных центров региона в единую систему;</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обеспечение профильных медицинских организаций необходимыми финансовыми и кадровыми ресурсами, а также современным оборудованием;</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lastRenderedPageBreak/>
        <w:t xml:space="preserve">— консолидация медицинских услуг в области родовспоможения </w:t>
      </w:r>
      <w:r w:rsidR="00CC6169">
        <w:rPr>
          <w:rFonts w:ascii="Times New Roman" w:hAnsi="Times New Roman"/>
          <w:color w:val="auto"/>
          <w:sz w:val="26"/>
          <w:szCs w:val="26"/>
        </w:rPr>
        <w:br/>
      </w:r>
      <w:r w:rsidRPr="00CC6169">
        <w:rPr>
          <w:rFonts w:ascii="Times New Roman" w:hAnsi="Times New Roman"/>
          <w:color w:val="auto"/>
          <w:sz w:val="26"/>
          <w:szCs w:val="26"/>
        </w:rPr>
        <w:t xml:space="preserve">в высокотехнологичных учреждениях с целью повышения качества </w:t>
      </w:r>
      <w:r w:rsidRPr="00CC6169">
        <w:rPr>
          <w:rFonts w:ascii="Times New Roman" w:hAnsi="Times New Roman"/>
          <w:color w:val="auto"/>
          <w:sz w:val="26"/>
          <w:szCs w:val="26"/>
        </w:rPr>
        <w:br/>
        <w:t>и безопасности медицинской помощи;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реализация программы по борьбе с онкологическими заболеваниями;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совершенствование оказания медицинской помощи пациентам </w:t>
      </w:r>
      <w:r w:rsidR="00CC6169">
        <w:rPr>
          <w:rFonts w:ascii="Times New Roman" w:hAnsi="Times New Roman"/>
          <w:color w:val="auto"/>
          <w:sz w:val="26"/>
          <w:szCs w:val="26"/>
        </w:rPr>
        <w:br/>
      </w:r>
      <w:r w:rsidRPr="00CC6169">
        <w:rPr>
          <w:rFonts w:ascii="Times New Roman" w:hAnsi="Times New Roman"/>
          <w:color w:val="auto"/>
          <w:sz w:val="26"/>
          <w:szCs w:val="26"/>
        </w:rPr>
        <w:t xml:space="preserve">с неинфекционными заболеваниями сердечно сосудистой, нервной, эндокринной </w:t>
      </w:r>
      <w:r w:rsidR="00CC6169">
        <w:rPr>
          <w:rFonts w:ascii="Times New Roman" w:hAnsi="Times New Roman"/>
          <w:color w:val="auto"/>
          <w:sz w:val="26"/>
          <w:szCs w:val="26"/>
        </w:rPr>
        <w:br/>
      </w:r>
      <w:r w:rsidRPr="00CC6169">
        <w:rPr>
          <w:rFonts w:ascii="Times New Roman" w:hAnsi="Times New Roman"/>
          <w:color w:val="auto"/>
          <w:sz w:val="26"/>
          <w:szCs w:val="26"/>
        </w:rPr>
        <w:t xml:space="preserve">и других систем;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увеличение объемов паллиативной медицинской помощи, совершенствование услуг паллиативной медицинской помощи;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развитие гериатрических центров и отделений, укрепление </w:t>
      </w:r>
      <w:r w:rsidRPr="00CC6169">
        <w:rPr>
          <w:rFonts w:ascii="Times New Roman" w:hAnsi="Times New Roman"/>
          <w:color w:val="auto"/>
          <w:sz w:val="26"/>
          <w:szCs w:val="26"/>
        </w:rPr>
        <w:br/>
        <w:t>их материально-технической базы.</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1.2.4. </w:t>
      </w:r>
      <w:bookmarkStart w:id="97" w:name="_Hlk235790446"/>
      <w:r w:rsidRPr="00535A4B">
        <w:rPr>
          <w:rFonts w:ascii="Times New Roman" w:hAnsi="Times New Roman"/>
          <w:b/>
          <w:bCs/>
          <w:color w:val="auto"/>
        </w:rPr>
        <w:t xml:space="preserve">Обеспечить доступность медицинской помощи, </w:t>
      </w:r>
      <w:r w:rsidRPr="00535A4B">
        <w:rPr>
          <w:rFonts w:ascii="Times New Roman" w:hAnsi="Times New Roman"/>
          <w:b/>
          <w:bCs/>
          <w:color w:val="auto"/>
        </w:rPr>
        <w:br/>
        <w:t>в том числе для сельских жителей, и повысить результативность первичной медико-санитарной помощи</w:t>
      </w:r>
    </w:p>
    <w:p w:rsidR="00E618FE" w:rsidRPr="00CC6169" w:rsidRDefault="00800098">
      <w:pPr>
        <w:pStyle w:val="a4"/>
        <w:rPr>
          <w:rFonts w:ascii="Times New Roman" w:eastAsia="Calibri" w:hAnsi="Times New Roman"/>
          <w:color w:val="auto"/>
          <w:sz w:val="26"/>
          <w:szCs w:val="26"/>
        </w:rPr>
      </w:pPr>
      <w:r w:rsidRPr="00CC6169">
        <w:rPr>
          <w:rFonts w:ascii="Times New Roman" w:eastAsia="Calibri" w:hAnsi="Times New Roman"/>
          <w:color w:val="auto"/>
          <w:sz w:val="26"/>
          <w:szCs w:val="26"/>
        </w:rPr>
        <w:t>Ключевые направления и механизмы реализации:</w:t>
      </w:r>
    </w:p>
    <w:p w:rsidR="00E618FE" w:rsidRPr="00CC6169" w:rsidRDefault="00CC6169">
      <w:pPr>
        <w:pStyle w:val="a4"/>
        <w:rPr>
          <w:rFonts w:ascii="Times New Roman" w:hAnsi="Times New Roman"/>
          <w:color w:val="auto"/>
          <w:sz w:val="26"/>
          <w:szCs w:val="26"/>
        </w:rPr>
      </w:pPr>
      <w:r w:rsidRPr="00CC6169">
        <w:rPr>
          <w:rFonts w:ascii="Times New Roman" w:hAnsi="Times New Roman"/>
          <w:color w:val="auto"/>
          <w:sz w:val="26"/>
          <w:szCs w:val="26"/>
        </w:rPr>
        <w:t>—</w:t>
      </w:r>
      <w:r w:rsidR="00800098" w:rsidRPr="00CC6169">
        <w:rPr>
          <w:rFonts w:ascii="Times New Roman" w:hAnsi="Times New Roman"/>
          <w:color w:val="auto"/>
          <w:sz w:val="26"/>
          <w:szCs w:val="26"/>
        </w:rPr>
        <w:t xml:space="preserve"> интеграция профилактических программ, медицинской реабилитации, охраны репродуктивного здоровья в маршруты первичного звена здравоохранения;</w:t>
      </w:r>
    </w:p>
    <w:p w:rsidR="00E618FE" w:rsidRPr="00CC6169" w:rsidRDefault="00CC6169">
      <w:pPr>
        <w:pStyle w:val="a4"/>
        <w:rPr>
          <w:rFonts w:ascii="Times New Roman" w:hAnsi="Times New Roman"/>
          <w:color w:val="auto"/>
          <w:sz w:val="26"/>
          <w:szCs w:val="26"/>
        </w:rPr>
      </w:pPr>
      <w:r w:rsidRPr="00CC6169">
        <w:rPr>
          <w:rFonts w:ascii="Times New Roman" w:hAnsi="Times New Roman"/>
          <w:color w:val="auto"/>
          <w:sz w:val="26"/>
          <w:szCs w:val="26"/>
        </w:rPr>
        <w:t>—</w:t>
      </w:r>
      <w:r w:rsidR="00800098" w:rsidRPr="00CC6169">
        <w:rPr>
          <w:rFonts w:ascii="Times New Roman" w:hAnsi="Times New Roman"/>
          <w:color w:val="auto"/>
          <w:sz w:val="26"/>
          <w:szCs w:val="26"/>
        </w:rPr>
        <w:t xml:space="preserve"> разработка и внедрение инструментов обеспечения преемственности между уровнями и видами медицинской помощи, оказываемой в т.ч. в федеральных и частных медицинских организациях;</w:t>
      </w:r>
    </w:p>
    <w:p w:rsidR="00E618FE" w:rsidRPr="00CC6169" w:rsidRDefault="00CC6169">
      <w:pPr>
        <w:pStyle w:val="a4"/>
        <w:rPr>
          <w:rFonts w:ascii="Times New Roman" w:hAnsi="Times New Roman"/>
          <w:color w:val="auto"/>
          <w:sz w:val="26"/>
          <w:szCs w:val="26"/>
        </w:rPr>
      </w:pPr>
      <w:r w:rsidRPr="00CC6169">
        <w:rPr>
          <w:rFonts w:ascii="Times New Roman" w:hAnsi="Times New Roman"/>
          <w:color w:val="auto"/>
          <w:sz w:val="26"/>
          <w:szCs w:val="26"/>
        </w:rPr>
        <w:t>—</w:t>
      </w:r>
      <w:r w:rsidR="00800098" w:rsidRPr="00CC6169">
        <w:rPr>
          <w:rFonts w:ascii="Times New Roman" w:hAnsi="Times New Roman"/>
          <w:color w:val="auto"/>
          <w:sz w:val="26"/>
          <w:szCs w:val="26"/>
        </w:rPr>
        <w:t xml:space="preserve"> пересмотр схем территориального планирования и маршрутизации пациентов по профилям с целью обеспечения доступности медицинской помощи </w:t>
      </w:r>
      <w:r>
        <w:rPr>
          <w:rFonts w:ascii="Times New Roman" w:hAnsi="Times New Roman"/>
          <w:color w:val="auto"/>
          <w:sz w:val="26"/>
          <w:szCs w:val="26"/>
        </w:rPr>
        <w:br/>
      </w:r>
      <w:r w:rsidR="00800098" w:rsidRPr="00CC6169">
        <w:rPr>
          <w:rFonts w:ascii="Times New Roman" w:hAnsi="Times New Roman"/>
          <w:color w:val="auto"/>
          <w:sz w:val="26"/>
          <w:szCs w:val="26"/>
        </w:rPr>
        <w:t>для всех жителей;</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дальнейшее развитие службы санитарной авиации и необходимой сопутствующей инфраструктуры;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мобильных форм оказания медицинской помощи жителям отдаленных населенных пунктов, в том числе мобильных медицинских бригад узких специалистов, вахтового метода работы специалистов;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усиление роли опорных населенных пунктов в обеспечении медицинской помощью населения прилегающих территорий;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создание необходимой транспортной и цифровой инфраструктуры </w:t>
      </w:r>
      <w:r w:rsidR="00CC6169">
        <w:rPr>
          <w:rFonts w:ascii="Times New Roman" w:hAnsi="Times New Roman"/>
          <w:color w:val="auto"/>
          <w:sz w:val="26"/>
          <w:szCs w:val="26"/>
        </w:rPr>
        <w:br/>
      </w:r>
      <w:r w:rsidRPr="00CC6169">
        <w:rPr>
          <w:rFonts w:ascii="Times New Roman" w:hAnsi="Times New Roman"/>
          <w:color w:val="auto"/>
          <w:sz w:val="26"/>
          <w:szCs w:val="26"/>
        </w:rPr>
        <w:t>для повышения доступности медицинской помощи.</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1.2.5. Обновить инфраструктуру регионального здравоохранения, включая материально-техническое обеспечение медицинских организаций, и обеспечить эффективность управления ресурсами медицинских организаций</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строительство новых поликлиник, клинико-диагностического корпуса, </w:t>
      </w:r>
      <w:r w:rsidR="00CC6169">
        <w:rPr>
          <w:rFonts w:ascii="Times New Roman" w:hAnsi="Times New Roman"/>
          <w:color w:val="auto"/>
          <w:sz w:val="26"/>
          <w:szCs w:val="26"/>
        </w:rPr>
        <w:br/>
      </w:r>
      <w:r w:rsidRPr="00CC6169">
        <w:rPr>
          <w:rFonts w:ascii="Times New Roman" w:hAnsi="Times New Roman"/>
          <w:color w:val="auto"/>
          <w:sz w:val="26"/>
          <w:szCs w:val="26"/>
        </w:rPr>
        <w:t xml:space="preserve">в том числе поликлиники смешанного типа мощностью 350 посещений в смену </w:t>
      </w:r>
      <w:r w:rsidR="00CC6169">
        <w:rPr>
          <w:rFonts w:ascii="Times New Roman" w:hAnsi="Times New Roman"/>
          <w:color w:val="auto"/>
          <w:sz w:val="26"/>
          <w:szCs w:val="26"/>
        </w:rPr>
        <w:br/>
      </w:r>
      <w:r w:rsidRPr="00CC6169">
        <w:rPr>
          <w:rFonts w:ascii="Times New Roman" w:hAnsi="Times New Roman"/>
          <w:color w:val="auto"/>
          <w:sz w:val="26"/>
          <w:szCs w:val="26"/>
        </w:rPr>
        <w:t xml:space="preserve">с детским отделением на 120 посещений в смену в мкр. «Зеленые горки» (г. Томск); поликлиники на 350 посещений в смену в д. Кисловка (мкр. «Левобережный») </w:t>
      </w:r>
      <w:r w:rsidR="00CC6169">
        <w:rPr>
          <w:rFonts w:ascii="Times New Roman" w:hAnsi="Times New Roman"/>
          <w:color w:val="auto"/>
          <w:sz w:val="26"/>
          <w:szCs w:val="26"/>
        </w:rPr>
        <w:br/>
      </w:r>
      <w:r w:rsidRPr="00CC6169">
        <w:rPr>
          <w:rFonts w:ascii="Times New Roman" w:hAnsi="Times New Roman"/>
          <w:color w:val="auto"/>
          <w:sz w:val="26"/>
          <w:szCs w:val="26"/>
        </w:rPr>
        <w:t>для размещения подразделения ОГАУЗ «Томская районная больница»; поликлиники в п. Светлом для ОГАУЗ «Светленская районная больница»; нового клинико-диагностического корпуса НИИ кардиологии Томского НИМЦ;</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lastRenderedPageBreak/>
        <w:t xml:space="preserve">— строительство новых больниц, в том числе инфекционной больницы </w:t>
      </w:r>
      <w:r w:rsidR="00CC6169">
        <w:rPr>
          <w:rFonts w:ascii="Times New Roman" w:hAnsi="Times New Roman"/>
          <w:color w:val="auto"/>
          <w:sz w:val="26"/>
          <w:szCs w:val="26"/>
        </w:rPr>
        <w:br/>
      </w:r>
      <w:r w:rsidRPr="00CC6169">
        <w:rPr>
          <w:rFonts w:ascii="Times New Roman" w:hAnsi="Times New Roman"/>
          <w:color w:val="auto"/>
          <w:sz w:val="26"/>
          <w:szCs w:val="26"/>
        </w:rPr>
        <w:t xml:space="preserve">в г. Томске; областной многопрофильной детской больницы в г. Томске. Строительство многопрофильной детской больницы позволит сформировать в регионе современную инфраструктуру для лечения и реабилитации детей, повысит доступность и качество медицинской помощи детскому населению;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проведение реконструкции или капитального ремонта зданий подразделений, оказывающих медицинскую помощь в амбулаторных условиях, стационарных условиях, а также патологоанатомических отделений;</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оснащение объектов первичной медико-санитарной помощи современным диагностическим оборудованием, включая средства непрерывного мониторинга состояния здоровья пациентов из групп риска;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обновление материально-технической базы первичного звена здравоохранения, включая строительство, ремонт и переоснащение ФАП;</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оснащение ФАП и врачебных амбулаторий, расположенных в сельской местности, средствами индивидуальной мобильности и транспортом </w:t>
      </w:r>
      <w:r w:rsidR="00CC6169">
        <w:rPr>
          <w:rFonts w:ascii="Times New Roman" w:hAnsi="Times New Roman"/>
          <w:color w:val="auto"/>
          <w:sz w:val="26"/>
          <w:szCs w:val="26"/>
        </w:rPr>
        <w:br/>
      </w:r>
      <w:r w:rsidRPr="00CC6169">
        <w:rPr>
          <w:rFonts w:ascii="Times New Roman" w:hAnsi="Times New Roman"/>
          <w:color w:val="auto"/>
          <w:sz w:val="26"/>
          <w:szCs w:val="26"/>
        </w:rPr>
        <w:t>для преодоления расстояний по пересеченной местности и в условиях распутицы при отсутствии регулярного транспортного сообщения;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использование механизмов государственно-частного партнерства </w:t>
      </w:r>
      <w:r w:rsidR="00CC6169">
        <w:rPr>
          <w:rFonts w:ascii="Times New Roman" w:hAnsi="Times New Roman"/>
          <w:color w:val="auto"/>
          <w:sz w:val="26"/>
          <w:szCs w:val="26"/>
        </w:rPr>
        <w:br/>
      </w:r>
      <w:r w:rsidRPr="00CC6169">
        <w:rPr>
          <w:rFonts w:ascii="Times New Roman" w:hAnsi="Times New Roman"/>
          <w:color w:val="auto"/>
          <w:sz w:val="26"/>
          <w:szCs w:val="26"/>
        </w:rPr>
        <w:t>для развития медицинской инфраструктуры;</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регулярный мониторинг финансового состояния учреждений здравоохранения и система раннего предупреждения рисков;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разработка и сопровождение планов финансового оздоровления учреждений здравоохранения региона;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совершенствование системы управления запасами, включая планирование потребности и организацию закупок. </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1.2.6. Совершенствовать систему лекарственного обеспечения</w:t>
      </w:r>
    </w:p>
    <w:p w:rsidR="00E618FE" w:rsidRPr="00CC6169" w:rsidRDefault="00800098">
      <w:pPr>
        <w:pStyle w:val="a4"/>
        <w:rPr>
          <w:rFonts w:ascii="Times New Roman" w:eastAsia="Calibri" w:hAnsi="Times New Roman"/>
          <w:color w:val="auto"/>
          <w:sz w:val="26"/>
          <w:szCs w:val="26"/>
        </w:rPr>
      </w:pPr>
      <w:r w:rsidRPr="00CC6169">
        <w:rPr>
          <w:rFonts w:ascii="Times New Roman" w:eastAsia="Calibri"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обеспечение стабильности лекарственного обеспечения граждан, в том числе граждан, страдающих редкими (орфанными) заболеваниями;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внедрение механизмов применения инновационных лекарственных препаратов, обеспечивающих качественно новый уровень достижения клинического эффекта;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повышение информированности медицинских кадров и населения </w:t>
      </w:r>
      <w:r w:rsidR="00CC6169">
        <w:rPr>
          <w:rFonts w:ascii="Times New Roman" w:hAnsi="Times New Roman"/>
          <w:color w:val="auto"/>
          <w:sz w:val="26"/>
          <w:szCs w:val="26"/>
        </w:rPr>
        <w:br/>
      </w:r>
      <w:r w:rsidRPr="00CC6169">
        <w:rPr>
          <w:rFonts w:ascii="Times New Roman" w:hAnsi="Times New Roman"/>
          <w:color w:val="auto"/>
          <w:sz w:val="26"/>
          <w:szCs w:val="26"/>
        </w:rPr>
        <w:t xml:space="preserve">в вопросах лекарственного обеспечения;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взаимодействия с частными фондами по вопросам обеспечения граждан лекарственными препаратами, в том числе для лечения редких (орфанных) заболеваний.</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1.2.7 Внедрять научные исследования и разработки </w:t>
      </w:r>
      <w:r w:rsidRPr="00535A4B">
        <w:rPr>
          <w:rFonts w:ascii="Times New Roman" w:hAnsi="Times New Roman"/>
          <w:b/>
          <w:bCs/>
          <w:color w:val="auto"/>
        </w:rPr>
        <w:br/>
        <w:t>в клиническую практику.</w:t>
      </w:r>
      <w:r w:rsidRPr="00535A4B">
        <w:rPr>
          <w:rFonts w:ascii="Times New Roman" w:hAnsi="Times New Roman"/>
          <w:color w:val="auto"/>
        </w:rPr>
        <w:t xml:space="preserve"> </w:t>
      </w:r>
    </w:p>
    <w:p w:rsidR="00E618FE" w:rsidRPr="00CC6169" w:rsidRDefault="00800098">
      <w:pPr>
        <w:pStyle w:val="a4"/>
        <w:rPr>
          <w:rFonts w:ascii="Times New Roman" w:eastAsia="Calibri" w:hAnsi="Times New Roman"/>
          <w:color w:val="auto"/>
          <w:sz w:val="26"/>
          <w:szCs w:val="26"/>
        </w:rPr>
      </w:pPr>
      <w:r w:rsidRPr="00CC6169">
        <w:rPr>
          <w:rFonts w:ascii="Times New Roman" w:eastAsia="Calibri"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проработка региональной инициативы создания инжинирингового центра по разработке приборов и технологий для медицинской робототехники, экстремальной и реабилитационной медицины;</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lastRenderedPageBreak/>
        <w:t>— содействие в разработке и сертификации продукции медицинского назначения, востребованных средств и препаратов (медицинская конверсия), применение инновационных продуктов в клиниках региона в режиме «регулятивной песочницы»;</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направления по разработке и производству новых медицинских технологий и лекарственных препаратов в Томской области;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рынка медицинских услуг, в том числе сотрудничество с российскими технологическими компаниями в сфере медицинских услуг, развитие обеспечивающих отраслей в регионе;</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обеспечение поддержки организации сетевого научно-образовательного центра высокотехнологичной медицины в сфере общественного здоровья </w:t>
      </w:r>
      <w:r w:rsidR="00CC6169">
        <w:rPr>
          <w:rFonts w:ascii="Times New Roman" w:hAnsi="Times New Roman"/>
          <w:color w:val="auto"/>
          <w:sz w:val="26"/>
          <w:szCs w:val="26"/>
        </w:rPr>
        <w:br/>
      </w:r>
      <w:r w:rsidRPr="00CC6169">
        <w:rPr>
          <w:rFonts w:ascii="Times New Roman" w:hAnsi="Times New Roman"/>
          <w:color w:val="auto"/>
          <w:sz w:val="26"/>
          <w:szCs w:val="26"/>
        </w:rPr>
        <w:t>и эпидемиологической безопасности, в том числе с целью разработки и внедрения новых образовательных программ для населения, предприятий, медицинских работников;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комплекс мероприятий по реализации программы долгосрочных системных популяционных исследований на территории Томской области.</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1.2.8. Расширять доступность медицинских услуг посредством внедрения цифровых технологий и развития телемедицины.</w:t>
      </w:r>
    </w:p>
    <w:p w:rsidR="00E618FE" w:rsidRPr="00CC6169" w:rsidRDefault="00800098">
      <w:pPr>
        <w:pStyle w:val="a4"/>
        <w:rPr>
          <w:rFonts w:ascii="Times New Roman" w:eastAsia="Calibri" w:hAnsi="Times New Roman"/>
          <w:color w:val="auto"/>
          <w:sz w:val="26"/>
          <w:szCs w:val="26"/>
        </w:rPr>
      </w:pPr>
      <w:r w:rsidRPr="00CC6169">
        <w:rPr>
          <w:rFonts w:ascii="Times New Roman" w:eastAsia="Calibri"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развитие электронной системы записи на прием к врачу </w:t>
      </w:r>
      <w:r w:rsidRPr="00CC6169">
        <w:rPr>
          <w:rFonts w:ascii="Times New Roman" w:hAnsi="Times New Roman"/>
          <w:color w:val="auto"/>
          <w:sz w:val="26"/>
          <w:szCs w:val="26"/>
        </w:rPr>
        <w:br/>
        <w:t>и прохождение диагностических процедур;</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телемедицинских технологий для проведения дистанционных консультаций, скринингов, дистанционного мониторинга состояния здоровья, в том числе с использованием технологий искусственного интеллекта;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построение полноценного цифрового контура «врач </w:t>
      </w:r>
      <w:r w:rsidR="00CC6169">
        <w:rPr>
          <w:rFonts w:ascii="Times New Roman" w:hAnsi="Times New Roman"/>
          <w:color w:val="auto"/>
          <w:sz w:val="26"/>
          <w:szCs w:val="26"/>
        </w:rPr>
        <w:t>– врач –</w:t>
      </w:r>
      <w:r w:rsidRPr="00CC6169">
        <w:rPr>
          <w:rFonts w:ascii="Times New Roman" w:hAnsi="Times New Roman"/>
          <w:color w:val="auto"/>
          <w:sz w:val="26"/>
          <w:szCs w:val="26"/>
        </w:rPr>
        <w:t xml:space="preserve"> пациент»;</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расширение охвата пациентов дистанционным мониторингом состояния здоровья путем закупки дистанционных высокотехнологичных устройств </w:t>
      </w:r>
      <w:r w:rsidR="00CC6169">
        <w:rPr>
          <w:rFonts w:ascii="Times New Roman" w:hAnsi="Times New Roman"/>
          <w:color w:val="auto"/>
          <w:sz w:val="26"/>
          <w:szCs w:val="26"/>
        </w:rPr>
        <w:br/>
      </w:r>
      <w:r w:rsidRPr="00CC6169">
        <w:rPr>
          <w:rFonts w:ascii="Times New Roman" w:hAnsi="Times New Roman"/>
          <w:color w:val="auto"/>
          <w:sz w:val="26"/>
          <w:szCs w:val="26"/>
        </w:rPr>
        <w:t>и сервисов;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совершенствование региональной медицинской информационной системы для обеспечения гибкости, информационной преемственности </w:t>
      </w:r>
      <w:r w:rsidR="00CC6169">
        <w:rPr>
          <w:rFonts w:ascii="Times New Roman" w:hAnsi="Times New Roman"/>
          <w:color w:val="auto"/>
          <w:sz w:val="26"/>
          <w:szCs w:val="26"/>
        </w:rPr>
        <w:br/>
      </w:r>
      <w:r w:rsidRPr="00CC6169">
        <w:rPr>
          <w:rFonts w:ascii="Times New Roman" w:hAnsi="Times New Roman"/>
          <w:color w:val="auto"/>
          <w:sz w:val="26"/>
          <w:szCs w:val="26"/>
        </w:rPr>
        <w:t>между организациями различных форм собственности в системе обязательного медицинского страхования и рационализации документооборота между муниципальным образованием, страховой медицинской организацией, Территориальным фондом обязательного медицинского страхования;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инфраструктуры связи (вышки и пр.) для внедрения телемедицины и цифровых сервисов;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использование беспилотных летательных аппаратов для доставки медицинских грузов.</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1.2.9. Организовать сбалансированное о</w:t>
      </w:r>
      <w:r w:rsidRPr="00535A4B">
        <w:rPr>
          <w:rFonts w:ascii="Times New Roman" w:hAnsi="Times New Roman"/>
          <w:b/>
          <w:color w:val="auto"/>
        </w:rPr>
        <w:t>беспечение системы здравоохранения квалифицированными кадрами.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развитие системы долгосрочного прогнозирования потребности отрасли здравоохранения в кадрах, сплошного мониторинга текущей потребности </w:t>
      </w:r>
      <w:r w:rsidR="00CC6169">
        <w:rPr>
          <w:rFonts w:ascii="Times New Roman" w:hAnsi="Times New Roman"/>
          <w:color w:val="auto"/>
          <w:sz w:val="26"/>
          <w:szCs w:val="26"/>
        </w:rPr>
        <w:br/>
      </w:r>
      <w:r w:rsidRPr="00CC6169">
        <w:rPr>
          <w:rFonts w:ascii="Times New Roman" w:hAnsi="Times New Roman"/>
          <w:color w:val="auto"/>
          <w:sz w:val="26"/>
          <w:szCs w:val="26"/>
        </w:rPr>
        <w:t>и оперативного взаимодействия внутри отрасли в целях ее устранения, в том числе путем создания отраслевого кадрового центра;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lastRenderedPageBreak/>
        <w:t>— повышение имиджа медицинского работника;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ранняя профориентация учащихся;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увеличение количества бюджетных мест с целевым обучением </w:t>
      </w:r>
      <w:r w:rsidR="00CC6169">
        <w:rPr>
          <w:rFonts w:ascii="Times New Roman" w:hAnsi="Times New Roman"/>
          <w:color w:val="auto"/>
          <w:sz w:val="26"/>
          <w:szCs w:val="26"/>
        </w:rPr>
        <w:br/>
      </w:r>
      <w:r w:rsidRPr="00CC6169">
        <w:rPr>
          <w:rFonts w:ascii="Times New Roman" w:hAnsi="Times New Roman"/>
          <w:color w:val="auto"/>
          <w:sz w:val="26"/>
          <w:szCs w:val="26"/>
        </w:rPr>
        <w:t xml:space="preserve">по образовательным программам среднего профессионального и высшего медицинского образования, предусматривающим обязательство по трудоустройству с гарантированной достойной заработной платой, создание условий для роста </w:t>
      </w:r>
      <w:r w:rsidR="00CC6169">
        <w:rPr>
          <w:rFonts w:ascii="Times New Roman" w:hAnsi="Times New Roman"/>
          <w:color w:val="auto"/>
          <w:sz w:val="26"/>
          <w:szCs w:val="26"/>
        </w:rPr>
        <w:br/>
      </w:r>
      <w:r w:rsidRPr="00CC6169">
        <w:rPr>
          <w:rFonts w:ascii="Times New Roman" w:hAnsi="Times New Roman"/>
          <w:color w:val="auto"/>
          <w:sz w:val="26"/>
          <w:szCs w:val="26"/>
        </w:rPr>
        <w:t>и развития молодых специалистов;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разработка и реализация программ поддержки профессионального развития молодых специалистов в сфере здравоохранения;</w:t>
      </w:r>
    </w:p>
    <w:p w:rsidR="00E618FE" w:rsidRPr="00CC6169" w:rsidRDefault="00800098">
      <w:pPr>
        <w:pStyle w:val="a4"/>
        <w:rPr>
          <w:rFonts w:ascii="Times New Roman" w:eastAsia="Calibri" w:hAnsi="Times New Roman"/>
          <w:color w:val="auto"/>
          <w:sz w:val="26"/>
          <w:szCs w:val="26"/>
        </w:rPr>
      </w:pPr>
      <w:r w:rsidRPr="00CC6169">
        <w:rPr>
          <w:rFonts w:ascii="Times New Roman" w:hAnsi="Times New Roman"/>
          <w:color w:val="auto"/>
          <w:sz w:val="26"/>
          <w:szCs w:val="26"/>
        </w:rPr>
        <w:t xml:space="preserve">— закрепление кадров в муниципальных образованиях северных </w:t>
      </w:r>
      <w:r w:rsidR="00CC6169">
        <w:rPr>
          <w:rFonts w:ascii="Times New Roman" w:hAnsi="Times New Roman"/>
          <w:color w:val="auto"/>
          <w:sz w:val="26"/>
          <w:szCs w:val="26"/>
        </w:rPr>
        <w:br/>
      </w:r>
      <w:r w:rsidRPr="00CC6169">
        <w:rPr>
          <w:rFonts w:ascii="Times New Roman" w:hAnsi="Times New Roman"/>
          <w:color w:val="auto"/>
          <w:sz w:val="26"/>
          <w:szCs w:val="26"/>
        </w:rPr>
        <w:t xml:space="preserve">и труднодоступных районов, а также сельской местности за счет вахтового метода, предоставления служебного жилья для выпускников и молодых специалистов </w:t>
      </w:r>
      <w:r w:rsidR="00CC6169">
        <w:rPr>
          <w:rFonts w:ascii="Times New Roman" w:hAnsi="Times New Roman"/>
          <w:color w:val="auto"/>
          <w:sz w:val="26"/>
          <w:szCs w:val="26"/>
        </w:rPr>
        <w:br/>
      </w:r>
      <w:r w:rsidRPr="00CC6169">
        <w:rPr>
          <w:rFonts w:ascii="Times New Roman" w:hAnsi="Times New Roman"/>
          <w:color w:val="auto"/>
          <w:sz w:val="26"/>
          <w:szCs w:val="26"/>
        </w:rPr>
        <w:t xml:space="preserve">с возможностью последующего выкупа или приватизации, компенсации аренды жилья, внедрения новой системы оплаты труда и системной социальной поддержки, реализации </w:t>
      </w:r>
      <w:r w:rsidRPr="00CC6169">
        <w:rPr>
          <w:rFonts w:ascii="Times New Roman" w:eastAsia="Calibri" w:hAnsi="Times New Roman"/>
          <w:color w:val="auto"/>
          <w:sz w:val="26"/>
          <w:szCs w:val="26"/>
        </w:rPr>
        <w:t>программ «Земский доктор» и «Земский фельдшер».</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1.2.10. Создать доступную и качественную систему медицинской реабилитации и санаторно-курортного лечения.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многоуровневой сети реабилитационных отделений (стационарных, амбулаторных, дневного стационара) и специализированных центров по основным профилям (кардиология, неврология, травматология и др.);</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оснащение учреждений современным оборудованием </w:t>
      </w:r>
      <w:r w:rsidR="00CC6169">
        <w:rPr>
          <w:rFonts w:ascii="Times New Roman" w:hAnsi="Times New Roman"/>
          <w:color w:val="auto"/>
          <w:sz w:val="26"/>
          <w:szCs w:val="26"/>
        </w:rPr>
        <w:br/>
      </w:r>
      <w:r w:rsidRPr="00CC6169">
        <w:rPr>
          <w:rFonts w:ascii="Times New Roman" w:hAnsi="Times New Roman"/>
          <w:color w:val="auto"/>
          <w:sz w:val="26"/>
          <w:szCs w:val="26"/>
        </w:rPr>
        <w:t>для роботизированной механотерапии, физиотерапии, эрготерапии и внедрение телемедицинских технологий для удаленного контроля и консультирования;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подготовка мультидисциплинарных реабилитационных команд (врачи, физические терапевты, эрготерапевты, логопеды, психологи) и системное повышение их квалификации на базе профильных образовательных организаций;</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обеспечение преемственной маршрутизации пациентов </w:t>
      </w:r>
      <w:r w:rsidR="00CC6169">
        <w:rPr>
          <w:rFonts w:ascii="Times New Roman" w:hAnsi="Times New Roman"/>
          <w:color w:val="auto"/>
          <w:sz w:val="26"/>
          <w:szCs w:val="26"/>
        </w:rPr>
        <w:br/>
      </w:r>
      <w:r w:rsidRPr="00CC6169">
        <w:rPr>
          <w:rFonts w:ascii="Times New Roman" w:hAnsi="Times New Roman"/>
          <w:color w:val="auto"/>
          <w:sz w:val="26"/>
          <w:szCs w:val="26"/>
        </w:rPr>
        <w:t>с индивидуальными программа</w:t>
      </w:r>
      <w:r w:rsidR="00CC6169">
        <w:rPr>
          <w:rFonts w:ascii="Times New Roman" w:hAnsi="Times New Roman"/>
          <w:color w:val="auto"/>
          <w:sz w:val="26"/>
          <w:szCs w:val="26"/>
        </w:rPr>
        <w:t>ми реабилитации на всех этапах –</w:t>
      </w:r>
      <w:r w:rsidRPr="00CC6169">
        <w:rPr>
          <w:rFonts w:ascii="Times New Roman" w:hAnsi="Times New Roman"/>
          <w:color w:val="auto"/>
          <w:sz w:val="26"/>
          <w:szCs w:val="26"/>
        </w:rPr>
        <w:t xml:space="preserve"> от ранней реабилитации в остром периоде до санаторно-курортного долечивания, включая выездные формы работы для жителей отдаленных территорий;</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модернизация существующих корпусов санаториев, строительство новых объектов, соответствующих современным стандартам комфорта и безопасности;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сотрудничество с ведущими медицинскими и научными центрами </w:t>
      </w:r>
      <w:r w:rsidR="00CC6169">
        <w:rPr>
          <w:rFonts w:ascii="Times New Roman" w:hAnsi="Times New Roman"/>
          <w:color w:val="auto"/>
          <w:sz w:val="26"/>
          <w:szCs w:val="26"/>
        </w:rPr>
        <w:br/>
      </w:r>
      <w:r w:rsidRPr="00CC6169">
        <w:rPr>
          <w:rFonts w:ascii="Times New Roman" w:hAnsi="Times New Roman"/>
          <w:color w:val="auto"/>
          <w:sz w:val="26"/>
          <w:szCs w:val="26"/>
        </w:rPr>
        <w:t>для внедрения передовых практик реабилитации и санаторно-курортного лечения;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создание уникальных авторских методик лечения и оздоровления, основанных на сочетании природных факторов (грязи, минеральные воды, растительное сырье) и современных медицинских технологий (физиотерапия, кинезиотерапия);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привлечение врачей и среднего медицинского персонала в сферу медицинской реабилитации и санаторно-курортного лечения;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обеспечение условий для комфортного пребывания и лечения маломобильных граждан и людей с ограниченными возможностями здоровья.</w:t>
      </w:r>
    </w:p>
    <w:p w:rsidR="00F90C4C" w:rsidRDefault="00F90C4C">
      <w:pPr>
        <w:spacing w:after="160" w:line="259" w:lineRule="auto"/>
        <w:rPr>
          <w:b/>
          <w:sz w:val="28"/>
          <w:szCs w:val="28"/>
          <w:lang w:eastAsia="ar-SA"/>
        </w:rPr>
      </w:pPr>
      <w:r>
        <w:rPr>
          <w:b/>
        </w:rPr>
        <w:br w:type="page"/>
      </w:r>
    </w:p>
    <w:p w:rsidR="00E618FE" w:rsidRPr="00535A4B" w:rsidRDefault="00800098">
      <w:pPr>
        <w:pStyle w:val="a4"/>
        <w:rPr>
          <w:rFonts w:ascii="Times New Roman" w:hAnsi="Times New Roman"/>
          <w:b/>
          <w:color w:val="auto"/>
        </w:rPr>
      </w:pPr>
      <w:r w:rsidRPr="00535A4B">
        <w:rPr>
          <w:rFonts w:ascii="Times New Roman" w:hAnsi="Times New Roman"/>
          <w:b/>
          <w:color w:val="auto"/>
        </w:rPr>
        <w:lastRenderedPageBreak/>
        <w:t>Задача 1.2.11. Внедрить систему менеджмента качества.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разработка и утверждение региональной политики в области качества медицинской помощи, интегрированной в общую стратегию развития здравоохранения;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создание организационной структуры: формирование регионального центра компетенций по качеству и безопасности медицинской деятельности;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разработка и распространение единых стандартов, стандартных операционных процедур и клинических рекомендаций для медицинских организаций региона;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стандартизация ключевых бизнес-процессов в медицинских организациях и цифровизация управления качеством;</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обучение персонала и формирование культуры качества;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обеспечение мониторинга и контроля;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управление рисками и постоянное улучшение.</w:t>
      </w:r>
    </w:p>
    <w:p w:rsidR="00E618FE" w:rsidRPr="00535A4B" w:rsidRDefault="00E618FE">
      <w:pPr>
        <w:pStyle w:val="a4"/>
        <w:rPr>
          <w:rFonts w:ascii="Times New Roman" w:hAnsi="Times New Roman"/>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1.2.12. Развивать медицинский туризм и увеличить экспорт медицинских услуг путем создания благоприятных условий </w:t>
      </w:r>
      <w:r w:rsidRPr="00535A4B">
        <w:rPr>
          <w:rFonts w:ascii="Times New Roman" w:hAnsi="Times New Roman"/>
          <w:b/>
          <w:bCs/>
          <w:color w:val="auto"/>
        </w:rPr>
        <w:br/>
        <w:t xml:space="preserve">для пациентов из-за рубежа и регионов России. </w:t>
      </w:r>
    </w:p>
    <w:p w:rsidR="00E618FE" w:rsidRPr="00CC6169" w:rsidRDefault="00800098">
      <w:pPr>
        <w:pStyle w:val="a4"/>
        <w:rPr>
          <w:rFonts w:ascii="Times New Roman" w:eastAsia="Calibri" w:hAnsi="Times New Roman"/>
          <w:color w:val="auto"/>
          <w:sz w:val="26"/>
          <w:szCs w:val="26"/>
        </w:rPr>
      </w:pPr>
      <w:r w:rsidRPr="00CC6169">
        <w:rPr>
          <w:rFonts w:ascii="Times New Roman" w:eastAsia="Calibri"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развитие инфраструктуры (строительство и модернизация медицинских центров, оснащение их современным оборудованием, внедрение цифровых сервисов);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повышение привлекательности региональных медучреждений;</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продвижение возможностей региона на внутреннем и внешнем рынках, презентация достижений региональной медицины на международных, общероссийских и региональных конференциях, форумах, выставках.</w:t>
      </w:r>
      <w:bookmarkEnd w:id="97"/>
    </w:p>
    <w:p w:rsidR="00E618FE" w:rsidRPr="00535A4B" w:rsidRDefault="00E618FE">
      <w:pPr>
        <w:pStyle w:val="a4"/>
        <w:rPr>
          <w:rFonts w:ascii="Times New Roman" w:hAnsi="Times New Roman"/>
          <w:b/>
          <w:bCs/>
          <w:color w:val="auto"/>
        </w:rPr>
      </w:pPr>
    </w:p>
    <w:p w:rsidR="00E618FE" w:rsidRPr="00535A4B" w:rsidRDefault="00800098">
      <w:pPr>
        <w:pStyle w:val="41"/>
        <w:rPr>
          <w:rFonts w:ascii="Times New Roman" w:hAnsi="Times New Roman"/>
          <w:lang w:val="ru-RU"/>
        </w:rPr>
      </w:pPr>
      <w:r w:rsidRPr="00535A4B">
        <w:rPr>
          <w:rFonts w:ascii="Times New Roman" w:hAnsi="Times New Roman"/>
          <w:lang w:val="ru-RU"/>
        </w:rPr>
        <w:t>Целевые показатели:</w:t>
      </w:r>
    </w:p>
    <w:p w:rsidR="00E618FE" w:rsidRPr="00CC6169" w:rsidRDefault="00800098">
      <w:pPr>
        <w:pStyle w:val="aff"/>
        <w:rPr>
          <w:rFonts w:ascii="Times New Roman" w:hAnsi="Times New Roman"/>
          <w:sz w:val="26"/>
          <w:szCs w:val="26"/>
          <w:lang w:val="ru-RU"/>
        </w:rPr>
      </w:pPr>
      <w:r w:rsidRPr="00CC6169">
        <w:rPr>
          <w:rFonts w:ascii="Times New Roman" w:hAnsi="Times New Roman"/>
          <w:sz w:val="26"/>
          <w:szCs w:val="26"/>
          <w:lang w:val="ru-RU"/>
        </w:rPr>
        <w:t xml:space="preserve">Таблица 9.2. Целевые показатели Стратегического приоритета 1.2. «Здоровая, продолжительная и активная </w:t>
      </w:r>
      <w:r w:rsidR="00CC6169">
        <w:rPr>
          <w:rFonts w:ascii="Times New Roman" w:hAnsi="Times New Roman"/>
          <w:sz w:val="26"/>
          <w:szCs w:val="26"/>
          <w:lang w:val="ru-RU"/>
        </w:rPr>
        <w:t>жизнь –</w:t>
      </w:r>
      <w:r w:rsidRPr="00CC6169">
        <w:rPr>
          <w:rFonts w:ascii="Times New Roman" w:hAnsi="Times New Roman"/>
          <w:sz w:val="26"/>
          <w:szCs w:val="26"/>
          <w:lang w:val="ru-RU"/>
        </w:rPr>
        <w:t xml:space="preserve"> общее дело»</w:t>
      </w:r>
    </w:p>
    <w:tbl>
      <w:tblPr>
        <w:tblStyle w:val="-141"/>
        <w:tblW w:w="9460" w:type="dxa"/>
        <w:tblLayout w:type="fixed"/>
        <w:tblLook w:val="04A0" w:firstRow="1" w:lastRow="0" w:firstColumn="1" w:lastColumn="0" w:noHBand="0" w:noVBand="1"/>
      </w:tblPr>
      <w:tblGrid>
        <w:gridCol w:w="4957"/>
        <w:gridCol w:w="1984"/>
        <w:gridCol w:w="1276"/>
        <w:gridCol w:w="1243"/>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98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граждан, ведущих здоровый образ жизни, %</w:t>
            </w:r>
          </w:p>
        </w:tc>
        <w:tc>
          <w:tcPr>
            <w:tcW w:w="198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7,40</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10,50</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Удовлетворенность населения медицинской помощью по результатам оценки общественного мнения, %</w:t>
            </w:r>
          </w:p>
        </w:tc>
        <w:tc>
          <w:tcPr>
            <w:tcW w:w="198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36,50</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38,40</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40,60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Заболеваемость с впервые в жизни установленным диагнозом наркомании </w:t>
            </w:r>
            <w:r w:rsidRPr="00535A4B">
              <w:rPr>
                <w:b w:val="0"/>
                <w:bCs w:val="0"/>
              </w:rPr>
              <w:br/>
              <w:t>на 100 тыс.  населения, человек</w:t>
            </w:r>
          </w:p>
        </w:tc>
        <w:tc>
          <w:tcPr>
            <w:tcW w:w="198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4,90</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4,80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Обеспеченность населения врачами,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w:t>
            </w:r>
            <w:r w:rsidR="00CC6169">
              <w:rPr>
                <w:b w:val="0"/>
                <w:bCs w:val="0"/>
              </w:rPr>
              <w:br/>
            </w:r>
            <w:r w:rsidRPr="00535A4B">
              <w:rPr>
                <w:b w:val="0"/>
                <w:bCs w:val="0"/>
              </w:rPr>
              <w:t>на 10 тыс. населения, человек</w:t>
            </w:r>
          </w:p>
        </w:tc>
        <w:tc>
          <w:tcPr>
            <w:tcW w:w="198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57,50</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59,80</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61,60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lastRenderedPageBreak/>
              <w:t xml:space="preserve">Обеспеченность населения средними медицинскими работниками, работающими </w:t>
            </w:r>
            <w:r w:rsidRPr="00535A4B">
              <w:rPr>
                <w:b w:val="0"/>
                <w:bCs w:val="0"/>
              </w:rPr>
              <w:br/>
              <w:t xml:space="preserve">в медицинских организациях, участвующих </w:t>
            </w:r>
            <w:r w:rsidRPr="00535A4B">
              <w:rPr>
                <w:b w:val="0"/>
                <w:bCs w:val="0"/>
              </w:rPr>
              <w:br/>
              <w:t>в реализации программы государственных гарантий бесплатного оказания гражданам медицинской помощи, на 10 тыс. населения, человек</w:t>
            </w:r>
          </w:p>
        </w:tc>
        <w:tc>
          <w:tcPr>
            <w:tcW w:w="198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96,30</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98,60</w:t>
            </w:r>
          </w:p>
        </w:tc>
        <w:tc>
          <w:tcPr>
            <w:tcW w:w="12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100,40</w:t>
            </w:r>
          </w:p>
        </w:tc>
      </w:tr>
    </w:tbl>
    <w:p w:rsidR="00E618FE" w:rsidRPr="00535A4B" w:rsidRDefault="00E618FE">
      <w:pPr>
        <w:pStyle w:val="a4"/>
        <w:rPr>
          <w:rFonts w:ascii="Times New Roman" w:hAnsi="Times New Roman"/>
          <w:color w:val="auto"/>
        </w:rPr>
      </w:pPr>
    </w:p>
    <w:p w:rsidR="00E618FE" w:rsidRPr="00535A4B" w:rsidRDefault="00800098">
      <w:pPr>
        <w:pStyle w:val="21"/>
        <w:rPr>
          <w:rFonts w:ascii="Times New Roman" w:hAnsi="Times New Roman" w:cs="Times New Roman"/>
        </w:rPr>
      </w:pPr>
      <w:bookmarkStart w:id="98" w:name="_Toc238554532"/>
      <w:bookmarkEnd w:id="88"/>
      <w:r w:rsidRPr="00535A4B">
        <w:rPr>
          <w:rFonts w:ascii="Times New Roman" w:hAnsi="Times New Roman" w:cs="Times New Roman"/>
        </w:rPr>
        <w:t>Стратегический приор</w:t>
      </w:r>
      <w:r w:rsidR="00CC6169">
        <w:rPr>
          <w:rFonts w:ascii="Times New Roman" w:hAnsi="Times New Roman" w:cs="Times New Roman"/>
        </w:rPr>
        <w:t>итет 1.3. «Физкультура и спорт –</w:t>
      </w:r>
      <w:r w:rsidRPr="00535A4B">
        <w:rPr>
          <w:rFonts w:ascii="Times New Roman" w:hAnsi="Times New Roman" w:cs="Times New Roman"/>
        </w:rPr>
        <w:t xml:space="preserve"> равные возможности для каждого»</w:t>
      </w:r>
      <w:bookmarkEnd w:id="98"/>
    </w:p>
    <w:p w:rsidR="00E618FE" w:rsidRPr="00535A4B" w:rsidRDefault="00E618FE">
      <w:pPr>
        <w:pStyle w:val="a4"/>
        <w:rPr>
          <w:rFonts w:ascii="Times New Roman" w:hAnsi="Times New Roman"/>
          <w:color w:val="auto"/>
        </w:rPr>
      </w:pPr>
    </w:p>
    <w:p w:rsidR="00E618FE" w:rsidRPr="00CC6169" w:rsidRDefault="00CC6169">
      <w:pPr>
        <w:pStyle w:val="a4"/>
        <w:rPr>
          <w:rFonts w:ascii="Times New Roman" w:hAnsi="Times New Roman"/>
          <w:color w:val="auto"/>
          <w:sz w:val="26"/>
          <w:szCs w:val="26"/>
        </w:rPr>
      </w:pPr>
      <w:r>
        <w:rPr>
          <w:rFonts w:ascii="Times New Roman" w:hAnsi="Times New Roman"/>
          <w:color w:val="auto"/>
          <w:sz w:val="26"/>
          <w:szCs w:val="26"/>
        </w:rPr>
        <w:t>Основное содержание приоритета –</w:t>
      </w:r>
      <w:r w:rsidR="00800098" w:rsidRPr="00CC6169">
        <w:rPr>
          <w:rFonts w:ascii="Times New Roman" w:hAnsi="Times New Roman"/>
          <w:color w:val="auto"/>
          <w:sz w:val="26"/>
          <w:szCs w:val="26"/>
        </w:rPr>
        <w:t xml:space="preserve"> создать всем жителям Томской области условия для регулярных занятий физической культурой и спортом, обеспечить реализацию потребностей в двигательной активности, направленной на укрепление здоровья и увеличение продолжительности жизни. В текущей ситуации </w:t>
      </w:r>
      <w:r>
        <w:rPr>
          <w:rFonts w:ascii="Times New Roman" w:hAnsi="Times New Roman"/>
          <w:color w:val="auto"/>
          <w:sz w:val="26"/>
          <w:szCs w:val="26"/>
        </w:rPr>
        <w:br/>
      </w:r>
      <w:r w:rsidR="00800098" w:rsidRPr="00CC6169">
        <w:rPr>
          <w:rFonts w:ascii="Times New Roman" w:hAnsi="Times New Roman"/>
          <w:color w:val="auto"/>
          <w:sz w:val="26"/>
          <w:szCs w:val="26"/>
        </w:rPr>
        <w:t xml:space="preserve">при значимых достигнутых результатах вовлечения в физическую культуру, когда 58,6% жителей регулярно занимаются спортом, Томская область уступает регионам-лидерам по массовости спорта. Вовлеченность в физкультуру и спорт может быть повышена за счет жителей сельских территорий области, среди которых доля занимающихся спортом составляет только 44,9%. Несмотря на рост числа спортивных объектов, уровень обеспеченности населения спортивными сооружениями остается недостаточным. Единовременная пропускная способность составляет 62,2% от норматива.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Опорными центрами реализации приоритета выступают: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ОГАУ ДО «Томская областная спортивная школа олимпийского резерва» и входящий в ее состав Центр водных видов спорта «Звездный», </w:t>
      </w:r>
      <w:hyperlink r:id="rId13" w:tooltip="https://sport.tomsk.gov.ru/people/front/view/id/508" w:history="1">
        <w:r w:rsidRPr="00CC6169">
          <w:rPr>
            <w:rFonts w:ascii="Times New Roman" w:hAnsi="Times New Roman"/>
            <w:color w:val="auto"/>
            <w:sz w:val="26"/>
            <w:szCs w:val="26"/>
          </w:rPr>
          <w:t>ОГАУ «Центр спортивной подготовки сборных команд Томской области»</w:t>
        </w:r>
      </w:hyperlink>
      <w:r w:rsidRPr="00CC6169">
        <w:rPr>
          <w:rFonts w:ascii="Times New Roman" w:hAnsi="Times New Roman"/>
          <w:color w:val="auto"/>
          <w:sz w:val="26"/>
          <w:szCs w:val="26"/>
        </w:rPr>
        <w:t xml:space="preserve">, МАУДО СШ </w:t>
      </w:r>
      <w:r w:rsidR="00CC6169">
        <w:rPr>
          <w:rFonts w:ascii="Times New Roman" w:hAnsi="Times New Roman"/>
          <w:color w:val="auto"/>
          <w:sz w:val="26"/>
          <w:szCs w:val="26"/>
        </w:rPr>
        <w:br/>
      </w:r>
      <w:r w:rsidRPr="00CC6169">
        <w:rPr>
          <w:rFonts w:ascii="Times New Roman" w:hAnsi="Times New Roman"/>
          <w:color w:val="auto"/>
          <w:sz w:val="26"/>
          <w:szCs w:val="26"/>
        </w:rPr>
        <w:t xml:space="preserve">им. Л. Егоровой, ОГАУ ДО «Спортивная школа олимпийского резерва Натальи Барановой», </w:t>
      </w:r>
      <w:r w:rsidRPr="00CC6169">
        <w:rPr>
          <w:rFonts w:ascii="Times New Roman" w:eastAsia="PT Astra Serif" w:hAnsi="Times New Roman"/>
          <w:color w:val="auto"/>
          <w:sz w:val="26"/>
          <w:szCs w:val="26"/>
        </w:rPr>
        <w:t xml:space="preserve">МБУ ДО СШОР № 1 г. Томска, МБУДО СШОР «Янтарь», </w:t>
      </w:r>
      <w:r w:rsidR="00CC6169">
        <w:rPr>
          <w:rFonts w:ascii="Times New Roman" w:eastAsia="PT Astra Serif" w:hAnsi="Times New Roman"/>
          <w:color w:val="auto"/>
          <w:sz w:val="26"/>
          <w:szCs w:val="26"/>
        </w:rPr>
        <w:br/>
      </w:r>
      <w:r w:rsidRPr="00CC6169">
        <w:rPr>
          <w:rFonts w:ascii="Times New Roman" w:eastAsia="PT Astra Serif" w:hAnsi="Times New Roman"/>
          <w:color w:val="auto"/>
          <w:sz w:val="26"/>
          <w:szCs w:val="26"/>
        </w:rPr>
        <w:t xml:space="preserve">МБУДО СШОР «Лидер» </w:t>
      </w:r>
      <w:r w:rsidRPr="00CC6169">
        <w:rPr>
          <w:rFonts w:ascii="Times New Roman" w:hAnsi="Times New Roman"/>
          <w:color w:val="auto"/>
          <w:sz w:val="26"/>
          <w:szCs w:val="26"/>
        </w:rPr>
        <w:t xml:space="preserve">как базовые учреждения подготовки спортивного резерва и проведения соревнований регионального и всероссийского уровней;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сеть детско-юношеских спортивных школ муниципальных образований, обеспечивающих первичную спортивную подготовку и охват детей по месту жительства;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спортивные площадки по месту жительства, установленные в </w:t>
      </w:r>
      <w:r w:rsidRPr="00CC6169">
        <w:rPr>
          <w:rFonts w:ascii="Times New Roman" w:eastAsia="PT Astra Serif" w:hAnsi="Times New Roman"/>
          <w:color w:val="auto"/>
          <w:sz w:val="26"/>
          <w:szCs w:val="26"/>
        </w:rPr>
        <w:t xml:space="preserve">целях подготовки населения к сдаче нормативов ВФСК </w:t>
      </w:r>
      <w:r w:rsidRPr="00CC6169">
        <w:rPr>
          <w:rFonts w:ascii="Times New Roman" w:hAnsi="Times New Roman"/>
          <w:color w:val="auto"/>
          <w:sz w:val="26"/>
          <w:szCs w:val="26"/>
        </w:rPr>
        <w:t>«Готов к труду и обороне» (ГТО), в том числе новые объекты 2025 года;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специализированные спортивные залы в общеобразовательных организациях, обеспечивающие массовое вовлечение учащихся в систематические занятия спортом;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w:t>
      </w:r>
      <w:r w:rsidR="00CC6169">
        <w:rPr>
          <w:rFonts w:ascii="Times New Roman" w:hAnsi="Times New Roman"/>
          <w:color w:val="auto"/>
          <w:sz w:val="26"/>
          <w:szCs w:val="26"/>
        </w:rPr>
        <w:t xml:space="preserve"> </w:t>
      </w:r>
      <w:r w:rsidRPr="00CC6169">
        <w:rPr>
          <w:rFonts w:ascii="Times New Roman" w:hAnsi="Times New Roman"/>
          <w:color w:val="auto"/>
          <w:sz w:val="26"/>
          <w:szCs w:val="26"/>
        </w:rPr>
        <w:t xml:space="preserve">негосударственный сектор спортивных и физкультурно-оздоровительных организаций г. Томска и ЗАТО Северск, формирующий значительную долю реальной обеспеченности населения возможностями для занятий.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Устойчивая пространственная модель предполагает создание крытых модульных спортивно-досуговых комплексов в опорных населенных пунктах районного уровня, совмещающих функции спортивного зала, тренажерной </w:t>
      </w:r>
      <w:r w:rsidRPr="00CC6169">
        <w:rPr>
          <w:rFonts w:ascii="Times New Roman" w:hAnsi="Times New Roman"/>
          <w:color w:val="auto"/>
          <w:sz w:val="26"/>
          <w:szCs w:val="26"/>
        </w:rPr>
        <w:lastRenderedPageBreak/>
        <w:t>площадки, площадки для командных видов спорта и пространства для семейного досуга.</w:t>
      </w:r>
    </w:p>
    <w:p w:rsidR="00E618FE" w:rsidRPr="00535A4B" w:rsidRDefault="00800098">
      <w:pPr>
        <w:pStyle w:val="41"/>
        <w:rPr>
          <w:rFonts w:ascii="Times New Roman" w:hAnsi="Times New Roman"/>
          <w:iCs/>
          <w:lang w:val="ru-RU" w:eastAsia="ar-SA"/>
        </w:rPr>
      </w:pPr>
      <w:r w:rsidRPr="00535A4B">
        <w:rPr>
          <w:rFonts w:ascii="Times New Roman" w:hAnsi="Times New Roman"/>
          <w:lang w:val="ru-RU" w:eastAsia="ar-SA"/>
        </w:rPr>
        <w:t>Задачи:</w:t>
      </w:r>
    </w:p>
    <w:p w:rsidR="00E618FE" w:rsidRPr="00535A4B" w:rsidRDefault="00800098">
      <w:pPr>
        <w:pStyle w:val="a4"/>
        <w:rPr>
          <w:rFonts w:ascii="Times New Roman" w:hAnsi="Times New Roman"/>
          <w:color w:val="auto"/>
        </w:rPr>
      </w:pPr>
      <w:bookmarkStart w:id="99" w:name="_Hlk227095827"/>
      <w:r w:rsidRPr="00535A4B">
        <w:rPr>
          <w:rFonts w:ascii="Times New Roman" w:hAnsi="Times New Roman"/>
          <w:b/>
          <w:bCs/>
          <w:color w:val="auto"/>
        </w:rPr>
        <w:t>Задача 1.3.1. Создать условия для максимального охвата населения спортом и физической культурой</w:t>
      </w:r>
      <w:r w:rsidRPr="00535A4B">
        <w:rPr>
          <w:rFonts w:ascii="Times New Roman" w:hAnsi="Times New Roman"/>
          <w:color w:val="auto"/>
        </w:rPr>
        <w:t xml:space="preserve">.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применение дифференцированного подхода к вовлечению в физическую активность с учетом потребностей различных групп населения (сельских жителей, людей старшего возраста, семей с детьми, людей с ОВЗ);</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внедрение семейных форматов физической активности: льготные семейные абонементы, семейные клубы, фестивали ГТО и другие мероприятия </w:t>
      </w:r>
      <w:r w:rsidR="00CC6169">
        <w:rPr>
          <w:rFonts w:ascii="Times New Roman" w:hAnsi="Times New Roman"/>
          <w:color w:val="auto"/>
          <w:sz w:val="26"/>
          <w:szCs w:val="26"/>
        </w:rPr>
        <w:br/>
      </w:r>
      <w:r w:rsidRPr="00CC6169">
        <w:rPr>
          <w:rFonts w:ascii="Times New Roman" w:hAnsi="Times New Roman"/>
          <w:color w:val="auto"/>
          <w:sz w:val="26"/>
          <w:szCs w:val="26"/>
        </w:rPr>
        <w:t>с участием всей семьи;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развитие физкультурно-оздоровительной работы по месту жительства, создание специализированных секций адаптивной физической культуры </w:t>
      </w:r>
      <w:r w:rsidR="00CC6169">
        <w:rPr>
          <w:rFonts w:ascii="Times New Roman" w:hAnsi="Times New Roman"/>
          <w:color w:val="auto"/>
          <w:sz w:val="26"/>
          <w:szCs w:val="26"/>
        </w:rPr>
        <w:br/>
      </w:r>
      <w:r w:rsidRPr="00CC6169">
        <w:rPr>
          <w:rFonts w:ascii="Times New Roman" w:hAnsi="Times New Roman"/>
          <w:color w:val="auto"/>
          <w:sz w:val="26"/>
          <w:szCs w:val="26"/>
        </w:rPr>
        <w:t xml:space="preserve">и реабилитационных программ для людей старшего возраста </w:t>
      </w:r>
      <w:r w:rsidRPr="00CC6169">
        <w:rPr>
          <w:rFonts w:ascii="Times New Roman" w:hAnsi="Times New Roman"/>
          <w:color w:val="auto"/>
          <w:sz w:val="26"/>
          <w:szCs w:val="26"/>
        </w:rPr>
        <w:br/>
        <w:t>и граждан с ОВЗ;</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первоочередное создание инфраструктурных условий и активная популяризация занятий физической культурой в сельской местности.</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1.3.2. Активизировать пропаганду физической культуры, спорта и здорового образа жизни</w:t>
      </w:r>
      <w:r w:rsidRPr="00535A4B">
        <w:rPr>
          <w:rFonts w:ascii="Times New Roman" w:hAnsi="Times New Roman"/>
          <w:color w:val="auto"/>
        </w:rPr>
        <w:t xml:space="preserve">.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организация мероприятий по сдаче норм комплекса ГТО и дальнейшее развитие сети специализированных площадок;</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проведение официальных физкультурных и массовых спортивных мероприятий, обновление их традиционного состава за счет веломарафонов, волейбольных турниров и других массовых видов;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организация Спартакиады образовательных организаций высшего образования;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повышение роли тренеров-инструкторов в пропаганде здорового образа жизни и материальное стимулирование их пропагандистских функций.</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1.3.3. Создать условия для развития физической культуры </w:t>
      </w:r>
      <w:r w:rsidRPr="00535A4B">
        <w:rPr>
          <w:rFonts w:ascii="Times New Roman" w:hAnsi="Times New Roman"/>
          <w:b/>
          <w:bCs/>
          <w:color w:val="auto"/>
        </w:rPr>
        <w:br/>
        <w:t>и массового спорта в муниципальных образованиях Томской области</w:t>
      </w:r>
      <w:r w:rsidRPr="00535A4B">
        <w:rPr>
          <w:rFonts w:ascii="Times New Roman" w:hAnsi="Times New Roman"/>
          <w:color w:val="auto"/>
        </w:rPr>
        <w:t xml:space="preserve">.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создание в муниципальных образованиях спортивных площадок по месту жительства и учебы, в том числе «умных» площадок и площадок для подготовки </w:t>
      </w:r>
      <w:r w:rsidR="00CC6169">
        <w:rPr>
          <w:rFonts w:ascii="Times New Roman" w:hAnsi="Times New Roman"/>
          <w:color w:val="auto"/>
          <w:sz w:val="26"/>
          <w:szCs w:val="26"/>
        </w:rPr>
        <w:br/>
      </w:r>
      <w:r w:rsidRPr="00CC6169">
        <w:rPr>
          <w:rFonts w:ascii="Times New Roman" w:hAnsi="Times New Roman"/>
          <w:color w:val="auto"/>
          <w:sz w:val="26"/>
          <w:szCs w:val="26"/>
        </w:rPr>
        <w:t>к сдаче нормативов ГТО;</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строительство и модернизация спортивных сооружений, способных удовлетворить потребности детского и взрослого населения, оснащение </w:t>
      </w:r>
      <w:r w:rsidR="00CC6169">
        <w:rPr>
          <w:rFonts w:ascii="Times New Roman" w:hAnsi="Times New Roman"/>
          <w:color w:val="auto"/>
          <w:sz w:val="26"/>
          <w:szCs w:val="26"/>
        </w:rPr>
        <w:br/>
      </w:r>
      <w:r w:rsidRPr="00CC6169">
        <w:rPr>
          <w:rFonts w:ascii="Times New Roman" w:hAnsi="Times New Roman"/>
          <w:color w:val="auto"/>
          <w:sz w:val="26"/>
          <w:szCs w:val="26"/>
        </w:rPr>
        <w:t>их современным оборудованием, в том числе с использованием механизмов государственно-частного партнерства;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обеспечение муниципальных спортивных объектов квалифицированным тренерским составом, в том числе в рамках программы «Земский тренер».</w:t>
      </w:r>
    </w:p>
    <w:p w:rsidR="00F90C4C" w:rsidRDefault="00F90C4C">
      <w:pPr>
        <w:spacing w:after="160" w:line="259" w:lineRule="auto"/>
        <w:rPr>
          <w:b/>
          <w:bCs/>
          <w:sz w:val="28"/>
          <w:szCs w:val="28"/>
          <w:lang w:eastAsia="ar-SA"/>
        </w:rPr>
      </w:pPr>
      <w:r>
        <w:rPr>
          <w:b/>
          <w:bCs/>
        </w:rPr>
        <w:br w:type="page"/>
      </w:r>
    </w:p>
    <w:p w:rsidR="00E618FE" w:rsidRPr="00535A4B" w:rsidRDefault="00800098">
      <w:pPr>
        <w:pStyle w:val="a4"/>
        <w:rPr>
          <w:rFonts w:ascii="Times New Roman" w:hAnsi="Times New Roman"/>
          <w:color w:val="auto"/>
        </w:rPr>
      </w:pPr>
      <w:r w:rsidRPr="00535A4B">
        <w:rPr>
          <w:rFonts w:ascii="Times New Roman" w:hAnsi="Times New Roman"/>
          <w:b/>
          <w:bCs/>
          <w:color w:val="auto"/>
        </w:rPr>
        <w:lastRenderedPageBreak/>
        <w:t xml:space="preserve">Задача 1.3.4. Развивать спортивную инфраструктуру </w:t>
      </w:r>
      <w:r w:rsidRPr="00535A4B">
        <w:rPr>
          <w:rFonts w:ascii="Times New Roman" w:hAnsi="Times New Roman"/>
          <w:b/>
          <w:bCs/>
          <w:color w:val="auto"/>
        </w:rPr>
        <w:br/>
        <w:t>на территории Томской области</w:t>
      </w:r>
      <w:r w:rsidRPr="00535A4B">
        <w:rPr>
          <w:rFonts w:ascii="Times New Roman" w:hAnsi="Times New Roman"/>
          <w:color w:val="auto"/>
        </w:rPr>
        <w:t xml:space="preserve">.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строительство новых и модернизация морально устаревших спортивных объектов;</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внедрение инновационных спортивных технологий и видов спорта (включая фиджитал-спорт), систем электронной записи на занятия и расширение спектра спортивных и сопутствующих услуг;</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привлечение бизнеса и некоммерческого сектора к финансовой поддержке инфраструктурных изменений через публичные поощрительные конкурсы («Спортивная элита»);</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строительство в г. Томске современного стадиона, отвечающего стандартам проведения всероссийских и международных соревнований.</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1.3.5. Развивать спортивные способности у детей </w:t>
      </w:r>
      <w:r w:rsidRPr="00535A4B">
        <w:rPr>
          <w:rFonts w:ascii="Times New Roman" w:hAnsi="Times New Roman"/>
          <w:b/>
          <w:bCs/>
          <w:color w:val="auto"/>
        </w:rPr>
        <w:br/>
        <w:t>и молодежи</w:t>
      </w:r>
      <w:r w:rsidRPr="00535A4B">
        <w:rPr>
          <w:rFonts w:ascii="Times New Roman" w:hAnsi="Times New Roman"/>
          <w:color w:val="auto"/>
        </w:rPr>
        <w:t xml:space="preserve">. </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Ключевые направления и механизмы реализации: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совершенствование системы спортивной подготовки, модернизация спортивных школ в соответствии с федеральными стандартами;</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увеличение числа детей и подростков, обучающихся по дополнительным образовательным программам спортивной подготовки, расширение возможностей их участия в спортивных соревнованиях различного уровня;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расширение возможностей участия в спортивных соревнованиях различного уровня;</w:t>
      </w:r>
    </w:p>
    <w:p w:rsidR="00E618FE" w:rsidRPr="00CC6169" w:rsidRDefault="00800098">
      <w:pPr>
        <w:pStyle w:val="a4"/>
        <w:rPr>
          <w:rFonts w:ascii="Times New Roman" w:hAnsi="Times New Roman"/>
          <w:color w:val="auto"/>
          <w:sz w:val="26"/>
          <w:szCs w:val="26"/>
        </w:rPr>
      </w:pPr>
      <w:r w:rsidRPr="00CC6169">
        <w:rPr>
          <w:rFonts w:ascii="Times New Roman" w:hAnsi="Times New Roman"/>
          <w:color w:val="auto"/>
          <w:sz w:val="26"/>
          <w:szCs w:val="26"/>
        </w:rPr>
        <w:t xml:space="preserve">— улучшение условий для развития школьного и студенческого спорта, </w:t>
      </w:r>
      <w:r w:rsidR="00FA39B3">
        <w:rPr>
          <w:rFonts w:ascii="Times New Roman" w:hAnsi="Times New Roman"/>
          <w:color w:val="auto"/>
          <w:sz w:val="26"/>
          <w:szCs w:val="26"/>
        </w:rPr>
        <w:br/>
      </w:r>
      <w:r w:rsidRPr="00CC6169">
        <w:rPr>
          <w:rFonts w:ascii="Times New Roman" w:hAnsi="Times New Roman"/>
          <w:color w:val="auto"/>
          <w:sz w:val="26"/>
          <w:szCs w:val="26"/>
        </w:rPr>
        <w:t>а также подготовки спортивного резерва на базе спортивных школ и школ олимпийского резерва.</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1.3.6. Укрепить кадровый состав специалистов и тренеров</w:t>
      </w:r>
      <w:r w:rsidRPr="00535A4B">
        <w:rPr>
          <w:rFonts w:ascii="Times New Roman" w:hAnsi="Times New Roman"/>
          <w:color w:val="auto"/>
        </w:rPr>
        <w:t xml:space="preserve">. </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Ключевые направления и механизмы реализации:</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внедрение системы материального стимулирования и социальной поддержки тренеров и специалистов;</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улучшение условий труда и развитие системы повышения квалификации;</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 привлечение специалистов для работы в муниципальных образованиях </w:t>
      </w:r>
      <w:r w:rsidR="00FA39B3">
        <w:rPr>
          <w:rFonts w:ascii="Times New Roman" w:hAnsi="Times New Roman"/>
          <w:color w:val="auto"/>
          <w:sz w:val="26"/>
          <w:szCs w:val="26"/>
        </w:rPr>
        <w:br/>
      </w:r>
      <w:r w:rsidRPr="00FA39B3">
        <w:rPr>
          <w:rFonts w:ascii="Times New Roman" w:hAnsi="Times New Roman"/>
          <w:color w:val="auto"/>
          <w:sz w:val="26"/>
          <w:szCs w:val="26"/>
        </w:rPr>
        <w:t>в рамках программы «Земский тренер».</w:t>
      </w:r>
    </w:p>
    <w:p w:rsidR="00FA39B3" w:rsidRDefault="00FA39B3">
      <w:pPr>
        <w:spacing w:after="160" w:line="259" w:lineRule="auto"/>
        <w:rPr>
          <w:b/>
          <w:bCs/>
          <w:sz w:val="28"/>
          <w:szCs w:val="28"/>
          <w:lang w:eastAsia="ar-SA"/>
        </w:rPr>
      </w:pPr>
      <w:r>
        <w:rPr>
          <w:b/>
          <w:bCs/>
        </w:rPr>
        <w:br w:type="page"/>
      </w:r>
    </w:p>
    <w:p w:rsidR="00E618FE" w:rsidRPr="00535A4B" w:rsidRDefault="00800098">
      <w:pPr>
        <w:pStyle w:val="a4"/>
        <w:rPr>
          <w:rFonts w:ascii="Times New Roman" w:hAnsi="Times New Roman"/>
          <w:color w:val="auto"/>
        </w:rPr>
      </w:pPr>
      <w:r w:rsidRPr="00535A4B">
        <w:rPr>
          <w:rFonts w:ascii="Times New Roman" w:hAnsi="Times New Roman"/>
          <w:b/>
          <w:bCs/>
          <w:color w:val="auto"/>
        </w:rPr>
        <w:lastRenderedPageBreak/>
        <w:t>Задача 1.3.7. Усовершенствовать систему подготовки спортсменов высокого класса</w:t>
      </w:r>
      <w:r w:rsidRPr="00535A4B">
        <w:rPr>
          <w:rFonts w:ascii="Times New Roman" w:hAnsi="Times New Roman"/>
          <w:color w:val="auto"/>
        </w:rPr>
        <w:t xml:space="preserve">. </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Ключевые направления и механизмы реализации:</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увеличение числа перспективных спортсменов через совершенствование системы отбора;</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 материальное стимулирование спортсменов, показывающих высокие результаты (дополнительное обеспечение, стипендии, вознаграждения), а также </w:t>
      </w:r>
      <w:r w:rsidR="00FA39B3">
        <w:rPr>
          <w:rFonts w:ascii="Times New Roman" w:hAnsi="Times New Roman"/>
          <w:color w:val="auto"/>
          <w:sz w:val="26"/>
          <w:szCs w:val="26"/>
        </w:rPr>
        <w:br/>
      </w:r>
      <w:r w:rsidRPr="00FA39B3">
        <w:rPr>
          <w:rFonts w:ascii="Times New Roman" w:hAnsi="Times New Roman"/>
          <w:color w:val="auto"/>
          <w:sz w:val="26"/>
          <w:szCs w:val="26"/>
        </w:rPr>
        <w:t>их тренеров;</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сохранение и развитие практики проведения в регионе статусных спортивных событий всероссийского и международного уровней;</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 материально-техническое обеспечение участия спортсменов и тренеров </w:t>
      </w:r>
      <w:r w:rsidR="00FA39B3">
        <w:rPr>
          <w:rFonts w:ascii="Times New Roman" w:hAnsi="Times New Roman"/>
          <w:color w:val="auto"/>
          <w:sz w:val="26"/>
          <w:szCs w:val="26"/>
        </w:rPr>
        <w:br/>
      </w:r>
      <w:r w:rsidRPr="00FA39B3">
        <w:rPr>
          <w:rFonts w:ascii="Times New Roman" w:hAnsi="Times New Roman"/>
          <w:color w:val="auto"/>
          <w:sz w:val="26"/>
          <w:szCs w:val="26"/>
        </w:rPr>
        <w:t>в тренировочных сборах и соревнованиях за пределами области;</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создание образовательной организации, реализующей дополнительные образовательные программы спортивной подготовки, с интернатом для проживания обучающихся (специализированного профессионального образовательного учреждения «училище олимпийского резерва»).</w:t>
      </w:r>
    </w:p>
    <w:p w:rsidR="00E618FE" w:rsidRPr="00535A4B" w:rsidRDefault="00800098">
      <w:pPr>
        <w:pStyle w:val="41"/>
        <w:rPr>
          <w:rFonts w:ascii="Times New Roman" w:hAnsi="Times New Roman"/>
          <w:lang w:val="ru-RU"/>
        </w:rPr>
      </w:pPr>
      <w:r w:rsidRPr="00535A4B">
        <w:rPr>
          <w:rFonts w:ascii="Times New Roman" w:hAnsi="Times New Roman"/>
          <w:lang w:val="ru-RU"/>
        </w:rPr>
        <w:t>Целевые показатели:</w:t>
      </w:r>
    </w:p>
    <w:p w:rsidR="00E618FE" w:rsidRPr="00FA39B3" w:rsidRDefault="00800098">
      <w:pPr>
        <w:pStyle w:val="aff"/>
        <w:rPr>
          <w:rFonts w:ascii="Times New Roman" w:hAnsi="Times New Roman"/>
          <w:sz w:val="26"/>
          <w:szCs w:val="26"/>
          <w:lang w:val="ru-RU"/>
        </w:rPr>
      </w:pPr>
      <w:bookmarkStart w:id="100" w:name="_Hlk228122445"/>
      <w:bookmarkEnd w:id="99"/>
      <w:r w:rsidRPr="00FA39B3">
        <w:rPr>
          <w:rFonts w:ascii="Times New Roman" w:hAnsi="Times New Roman"/>
          <w:sz w:val="26"/>
          <w:szCs w:val="26"/>
          <w:lang w:val="ru-RU"/>
        </w:rPr>
        <w:t>Таблица 9.3. Целевые показатели Стратегического приорит</w:t>
      </w:r>
      <w:r w:rsidR="00FA39B3">
        <w:rPr>
          <w:rFonts w:ascii="Times New Roman" w:hAnsi="Times New Roman"/>
          <w:sz w:val="26"/>
          <w:szCs w:val="26"/>
          <w:lang w:val="ru-RU"/>
        </w:rPr>
        <w:t xml:space="preserve">ета </w:t>
      </w:r>
      <w:r w:rsidR="00FA39B3">
        <w:rPr>
          <w:rFonts w:ascii="Times New Roman" w:hAnsi="Times New Roman"/>
          <w:sz w:val="26"/>
          <w:szCs w:val="26"/>
          <w:lang w:val="ru-RU"/>
        </w:rPr>
        <w:br/>
        <w:t>1.3. «Физкультура и спорт –</w:t>
      </w:r>
      <w:r w:rsidRPr="00FA39B3">
        <w:rPr>
          <w:rFonts w:ascii="Times New Roman" w:hAnsi="Times New Roman"/>
          <w:sz w:val="26"/>
          <w:szCs w:val="26"/>
          <w:lang w:val="ru-RU"/>
        </w:rPr>
        <w:t xml:space="preserve"> равные возможности для каждого»</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Уровень удовлетворенности граждан условиями для занятий физической культурой и спортом,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65,50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граждан, систематически занимающихся физической культурой и спортом,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58,60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75,00 </w:t>
            </w:r>
            <w:bookmarkEnd w:id="100"/>
          </w:p>
        </w:tc>
      </w:tr>
    </w:tbl>
    <w:p w:rsidR="00E618FE" w:rsidRPr="00535A4B" w:rsidRDefault="00E618FE">
      <w:pPr>
        <w:pStyle w:val="a4"/>
        <w:rPr>
          <w:rFonts w:ascii="Times New Roman" w:eastAsia="PT Astra Serif" w:hAnsi="Times New Roman"/>
          <w:color w:val="auto"/>
        </w:rPr>
      </w:pPr>
    </w:p>
    <w:p w:rsidR="00E618FE" w:rsidRPr="00535A4B" w:rsidRDefault="00800098">
      <w:pPr>
        <w:pStyle w:val="21"/>
        <w:rPr>
          <w:rFonts w:ascii="Times New Roman" w:hAnsi="Times New Roman" w:cs="Times New Roman"/>
        </w:rPr>
      </w:pPr>
      <w:bookmarkStart w:id="101" w:name="_Toc235810145"/>
      <w:bookmarkStart w:id="102" w:name="_Toc238554533"/>
      <w:r w:rsidRPr="00535A4B">
        <w:rPr>
          <w:rFonts w:ascii="Times New Roman" w:hAnsi="Times New Roman" w:cs="Times New Roman"/>
        </w:rPr>
        <w:t>Стратегический приоритет 1.4. «Поддержка отдельных категорий граждан, в том числе участников СВО и членов их семей»</w:t>
      </w:r>
      <w:bookmarkEnd w:id="101"/>
      <w:bookmarkEnd w:id="102"/>
    </w:p>
    <w:p w:rsidR="00E618FE" w:rsidRPr="00535A4B" w:rsidRDefault="00E618FE">
      <w:pPr>
        <w:pStyle w:val="a4"/>
        <w:rPr>
          <w:rFonts w:ascii="Times New Roman" w:hAnsi="Times New Roman"/>
          <w:color w:val="auto"/>
        </w:rPr>
      </w:pP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Приоритетными направлениями социальной поддержки и социального обслуживания жителей Томской области являются создание условий </w:t>
      </w:r>
      <w:r w:rsidRPr="00FA39B3">
        <w:rPr>
          <w:rFonts w:ascii="Times New Roman" w:hAnsi="Times New Roman"/>
          <w:color w:val="auto"/>
          <w:sz w:val="26"/>
          <w:szCs w:val="26"/>
        </w:rPr>
        <w:br/>
        <w:t>для роста благосостояния, включая снижение уровня бедности, и благополучия населения. Доля населения с денежными доходами ниже границы бедности в общей численности населения сократилась с 14,4% в 2020 году до 8,7% в 2025 году за счет реализации мер государственной поддержки граждан и развития сектора бизнеса, повышения уровня заработной платы. Томская область занимала четвертое место среди регионов Сибирского федерального округа по уровню бедности.</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В регионе предоставляются меры социальной поддержки, установленные федеральным и региональным законодательством для отдельных категорий граждан, и действуют социально значимые программы. Осуществляется масштабная поддержка льготных категорий граждан, включая помощь ветеранам труда, малоимущим семьям с детьми, участникам СВО и членам их семей. Реализуются современные социальные технологии «работы со случаем», межведомственного взаимодействия раннего выявления детей, нуждающихся в государственной защите </w:t>
      </w:r>
      <w:r w:rsidRPr="00FA39B3">
        <w:rPr>
          <w:rFonts w:ascii="Times New Roman" w:hAnsi="Times New Roman"/>
          <w:color w:val="auto"/>
          <w:sz w:val="26"/>
          <w:szCs w:val="26"/>
        </w:rPr>
        <w:br/>
        <w:t>по модели «полного цикла».</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Особое внимание уделяется пожилым людям и инвалидам. Реализация региональной программы «Активное долголетие в Томской области» обеспечивает </w:t>
      </w:r>
      <w:r w:rsidRPr="00FA39B3">
        <w:rPr>
          <w:rFonts w:ascii="Times New Roman" w:hAnsi="Times New Roman"/>
          <w:color w:val="auto"/>
          <w:sz w:val="26"/>
          <w:szCs w:val="26"/>
        </w:rPr>
        <w:lastRenderedPageBreak/>
        <w:t xml:space="preserve">старшему поколению всестороннюю поддержку, направленную на улучшение качества их жизни и создание комфортных условий для активного долголетия. Ключевое направление социального обслуживания граждан пожилого возраста </w:t>
      </w:r>
      <w:r w:rsidR="00FA39B3">
        <w:rPr>
          <w:rFonts w:ascii="Times New Roman" w:hAnsi="Times New Roman"/>
          <w:color w:val="auto"/>
          <w:sz w:val="26"/>
          <w:szCs w:val="26"/>
        </w:rPr>
        <w:br/>
      </w:r>
      <w:r w:rsidRPr="00FA39B3">
        <w:rPr>
          <w:rFonts w:ascii="Times New Roman" w:hAnsi="Times New Roman"/>
          <w:color w:val="auto"/>
          <w:sz w:val="26"/>
          <w:szCs w:val="26"/>
        </w:rPr>
        <w:t>и инвалидов в Томской области — оказание услуг на дому как наиболее социально ориентированное, продлевающее пребывание граждан в привычной домашней обстановке. Реализуется пилотный проект по развитию системы долговременного ухода за гражданами пожилого возраста и инвалидами, нуждающимися в уходе.</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Реализация задач по развитию системы социальной защиты населения </w:t>
      </w:r>
      <w:r w:rsidR="00FA39B3">
        <w:rPr>
          <w:rFonts w:ascii="Times New Roman" w:hAnsi="Times New Roman"/>
          <w:color w:val="auto"/>
          <w:sz w:val="26"/>
          <w:szCs w:val="26"/>
        </w:rPr>
        <w:br/>
      </w:r>
      <w:r w:rsidRPr="00FA39B3">
        <w:rPr>
          <w:rFonts w:ascii="Times New Roman" w:hAnsi="Times New Roman"/>
          <w:color w:val="auto"/>
          <w:sz w:val="26"/>
          <w:szCs w:val="26"/>
        </w:rPr>
        <w:t xml:space="preserve">до 2036 года должна быть ориентирована на решение существующих проблем: сохранение иждивенческих моделей поведения в расчете на получение помощи </w:t>
      </w:r>
      <w:r w:rsidR="00FA39B3">
        <w:rPr>
          <w:rFonts w:ascii="Times New Roman" w:hAnsi="Times New Roman"/>
          <w:color w:val="auto"/>
          <w:sz w:val="26"/>
          <w:szCs w:val="26"/>
        </w:rPr>
        <w:br/>
      </w:r>
      <w:r w:rsidRPr="00FA39B3">
        <w:rPr>
          <w:rFonts w:ascii="Times New Roman" w:hAnsi="Times New Roman"/>
          <w:color w:val="auto"/>
          <w:sz w:val="26"/>
          <w:szCs w:val="26"/>
        </w:rPr>
        <w:t xml:space="preserve">от государства; относительно высокая доля детей-сирот и детей, оставшихся </w:t>
      </w:r>
      <w:r w:rsidR="00FA39B3">
        <w:rPr>
          <w:rFonts w:ascii="Times New Roman" w:hAnsi="Times New Roman"/>
          <w:color w:val="auto"/>
          <w:sz w:val="26"/>
          <w:szCs w:val="26"/>
        </w:rPr>
        <w:br/>
      </w:r>
      <w:r w:rsidRPr="00FA39B3">
        <w:rPr>
          <w:rFonts w:ascii="Times New Roman" w:hAnsi="Times New Roman"/>
          <w:color w:val="auto"/>
          <w:sz w:val="26"/>
          <w:szCs w:val="26"/>
        </w:rPr>
        <w:t xml:space="preserve">без попечения родителей, в общей численности детского населения; недостаточное обеспечение долговременного ухода для старшего поколения; дефицит мощности существующих учреждений обслуживания стационарного типа </w:t>
      </w:r>
      <w:r w:rsidR="00FA39B3">
        <w:rPr>
          <w:rFonts w:ascii="Times New Roman" w:hAnsi="Times New Roman"/>
          <w:color w:val="auto"/>
          <w:sz w:val="26"/>
          <w:szCs w:val="26"/>
        </w:rPr>
        <w:t>–</w:t>
      </w:r>
      <w:r w:rsidRPr="00FA39B3">
        <w:rPr>
          <w:rFonts w:ascii="Times New Roman" w:hAnsi="Times New Roman"/>
          <w:color w:val="auto"/>
          <w:sz w:val="26"/>
          <w:szCs w:val="26"/>
        </w:rPr>
        <w:t xml:space="preserve"> домов-интернатов общего типа для престарелых и инвалидов-взрослых и интернатов психоневрологического профиля; ограниченный охват инновационными формами обслуживания, особенно в сельской местности; сильн</w:t>
      </w:r>
      <w:r w:rsidR="00FA39B3">
        <w:rPr>
          <w:rFonts w:ascii="Times New Roman" w:hAnsi="Times New Roman"/>
          <w:color w:val="auto"/>
          <w:sz w:val="26"/>
          <w:szCs w:val="26"/>
        </w:rPr>
        <w:t>ое территориальное неравенство –</w:t>
      </w:r>
      <w:r w:rsidRPr="00FA39B3">
        <w:rPr>
          <w:rFonts w:ascii="Times New Roman" w:hAnsi="Times New Roman"/>
          <w:color w:val="auto"/>
          <w:sz w:val="26"/>
          <w:szCs w:val="26"/>
        </w:rPr>
        <w:t xml:space="preserve"> доля получателей помощи варьируется от 13% в Томске до 48% </w:t>
      </w:r>
      <w:r w:rsidR="00FA39B3">
        <w:rPr>
          <w:rFonts w:ascii="Times New Roman" w:hAnsi="Times New Roman"/>
          <w:color w:val="auto"/>
          <w:sz w:val="26"/>
          <w:szCs w:val="26"/>
        </w:rPr>
        <w:br/>
      </w:r>
      <w:r w:rsidRPr="00FA39B3">
        <w:rPr>
          <w:rFonts w:ascii="Times New Roman" w:hAnsi="Times New Roman"/>
          <w:color w:val="auto"/>
          <w:sz w:val="26"/>
          <w:szCs w:val="26"/>
        </w:rPr>
        <w:t>в Зырянском районе; недоступность социальных услуг сохраняется в отдаленных сельских районах, где недостаточно развита инфраструктура; нерешенность кадровых вопросов (относительно низкий уровень заработной платы, недостаточный уровень укомплектованности кадрами в казенных учреждениях, нехватка квалифицированных кадров, отсутствие специалистов в отдаленных районах, старение кадров).</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Стратегическим приоритетом в сфере развития системы социальной поддержки и обслуживания населения до 2036 года является переход </w:t>
      </w:r>
      <w:r w:rsidRPr="00FA39B3">
        <w:rPr>
          <w:rFonts w:ascii="Times New Roman" w:hAnsi="Times New Roman"/>
          <w:color w:val="auto"/>
          <w:sz w:val="26"/>
          <w:szCs w:val="26"/>
        </w:rPr>
        <w:br/>
        <w:t xml:space="preserve">от пассивных форм помощи, способствующих формированию иждивенческих моделей поведения, к внедрению стимулирующих механизмов, непосредственно связанных с занятостью, развитием человеческого капитала детей и формализацией сектора ухода при безусловном сохранении мер адресной защиты для уязвимых категорий населения. В этих целях необходимо провести оценку эффективности действующих мер и перераспределить ресурсы в пользу инструментов, поощряющих трудовую активность и экономическую самостоятельность граждан, повысить качество и доступность социальной поддержки и социального обслуживания населения. </w:t>
      </w:r>
    </w:p>
    <w:p w:rsidR="00E618FE" w:rsidRPr="00FA39B3" w:rsidRDefault="00800098">
      <w:pPr>
        <w:pStyle w:val="a4"/>
        <w:rPr>
          <w:rFonts w:ascii="Times New Roman" w:hAnsi="Times New Roman"/>
          <w:color w:val="auto"/>
          <w:sz w:val="26"/>
          <w:szCs w:val="26"/>
        </w:rPr>
      </w:pPr>
      <w:r w:rsidRPr="00FA39B3">
        <w:rPr>
          <w:rFonts w:ascii="Times New Roman" w:hAnsi="Times New Roman"/>
          <w:color w:val="auto"/>
          <w:sz w:val="26"/>
          <w:szCs w:val="26"/>
        </w:rPr>
        <w:t xml:space="preserve">Опорными центрами реализации приоритета выступают: </w:t>
      </w:r>
    </w:p>
    <w:p w:rsidR="00E618FE" w:rsidRPr="00FA39B3" w:rsidRDefault="00800098">
      <w:pPr>
        <w:ind w:firstLine="708"/>
        <w:jc w:val="both"/>
        <w:rPr>
          <w:sz w:val="26"/>
          <w:szCs w:val="26"/>
          <w:lang w:eastAsia="ar-SA"/>
        </w:rPr>
      </w:pPr>
      <w:r w:rsidRPr="00FA39B3">
        <w:rPr>
          <w:sz w:val="26"/>
          <w:szCs w:val="26"/>
          <w:lang w:eastAsia="ar-SA"/>
        </w:rPr>
        <w:t>— центры социальной защиты населения;</w:t>
      </w:r>
    </w:p>
    <w:p w:rsidR="00E618FE" w:rsidRPr="00FA39B3" w:rsidRDefault="00800098">
      <w:pPr>
        <w:ind w:firstLine="708"/>
        <w:jc w:val="both"/>
        <w:rPr>
          <w:sz w:val="26"/>
          <w:szCs w:val="26"/>
          <w:lang w:eastAsia="ar-SA"/>
        </w:rPr>
      </w:pPr>
      <w:r w:rsidRPr="00FA39B3">
        <w:rPr>
          <w:sz w:val="26"/>
          <w:szCs w:val="26"/>
          <w:lang w:eastAsia="ar-SA"/>
        </w:rPr>
        <w:t xml:space="preserve">— учреждения стационарного социального обслуживания граждан пожилого возраста и инвалидов (дома-интернаты общего типа, психоневрологические интернаты), а также организации, оказывающие услуги долговременного ухода </w:t>
      </w:r>
      <w:r w:rsidR="00FA39B3">
        <w:rPr>
          <w:sz w:val="26"/>
          <w:szCs w:val="26"/>
          <w:lang w:eastAsia="ar-SA"/>
        </w:rPr>
        <w:br/>
      </w:r>
      <w:r w:rsidRPr="00FA39B3">
        <w:rPr>
          <w:sz w:val="26"/>
          <w:szCs w:val="26"/>
          <w:lang w:eastAsia="ar-SA"/>
        </w:rPr>
        <w:t xml:space="preserve">на дому; </w:t>
      </w:r>
    </w:p>
    <w:p w:rsidR="00E618FE" w:rsidRPr="00FA39B3" w:rsidRDefault="00800098">
      <w:pPr>
        <w:ind w:firstLine="708"/>
        <w:jc w:val="both"/>
        <w:rPr>
          <w:sz w:val="26"/>
          <w:szCs w:val="26"/>
          <w:lang w:eastAsia="ar-SA"/>
        </w:rPr>
      </w:pPr>
      <w:r w:rsidRPr="00FA39B3">
        <w:rPr>
          <w:sz w:val="26"/>
          <w:szCs w:val="26"/>
          <w:lang w:eastAsia="ar-SA"/>
        </w:rPr>
        <w:t xml:space="preserve">— региональное отделение фонда «Защитники Отечества» </w:t>
      </w:r>
      <w:r w:rsidR="00FA39B3">
        <w:rPr>
          <w:sz w:val="26"/>
          <w:szCs w:val="26"/>
          <w:lang w:eastAsia="ar-SA"/>
        </w:rPr>
        <w:t>–</w:t>
      </w:r>
      <w:r w:rsidRPr="00FA39B3">
        <w:rPr>
          <w:sz w:val="26"/>
          <w:szCs w:val="26"/>
          <w:lang w:eastAsia="ar-SA"/>
        </w:rPr>
        <w:t xml:space="preserve"> специализированный оператор поддержки участников СВО и членов их семей, обеспечивающий «единое окно» межведомственного взаимодействия; </w:t>
      </w:r>
    </w:p>
    <w:p w:rsidR="00E618FE" w:rsidRPr="00FA39B3" w:rsidRDefault="00800098">
      <w:pPr>
        <w:ind w:firstLine="708"/>
        <w:jc w:val="both"/>
        <w:rPr>
          <w:sz w:val="26"/>
          <w:szCs w:val="26"/>
          <w:lang w:eastAsia="ar-SA"/>
        </w:rPr>
      </w:pPr>
      <w:r w:rsidRPr="00FA39B3">
        <w:rPr>
          <w:sz w:val="26"/>
          <w:szCs w:val="26"/>
          <w:lang w:eastAsia="ar-SA"/>
        </w:rPr>
        <w:t xml:space="preserve">— Центр опережающей профессиональной подготовки Томской области </w:t>
      </w:r>
      <w:r w:rsidR="00FA39B3">
        <w:rPr>
          <w:sz w:val="26"/>
          <w:szCs w:val="26"/>
          <w:lang w:eastAsia="ar-SA"/>
        </w:rPr>
        <w:br/>
      </w:r>
      <w:r w:rsidRPr="00FA39B3">
        <w:rPr>
          <w:sz w:val="26"/>
          <w:szCs w:val="26"/>
          <w:lang w:eastAsia="ar-SA"/>
        </w:rPr>
        <w:t>и ка</w:t>
      </w:r>
      <w:r w:rsidR="00FA39B3">
        <w:rPr>
          <w:sz w:val="26"/>
          <w:szCs w:val="26"/>
          <w:lang w:eastAsia="ar-SA"/>
        </w:rPr>
        <w:t>дровый центр «Работа в России» –</w:t>
      </w:r>
      <w:r w:rsidRPr="00FA39B3">
        <w:rPr>
          <w:sz w:val="26"/>
          <w:szCs w:val="26"/>
          <w:lang w:eastAsia="ar-SA"/>
        </w:rPr>
        <w:t xml:space="preserve"> опорные структуры для трудоустройства </w:t>
      </w:r>
      <w:r w:rsidR="00FA39B3">
        <w:rPr>
          <w:sz w:val="26"/>
          <w:szCs w:val="26"/>
          <w:lang w:eastAsia="ar-SA"/>
        </w:rPr>
        <w:br/>
      </w:r>
      <w:r w:rsidRPr="00FA39B3">
        <w:rPr>
          <w:sz w:val="26"/>
          <w:szCs w:val="26"/>
          <w:lang w:eastAsia="ar-SA"/>
        </w:rPr>
        <w:t xml:space="preserve">и переподготовки граждан, оказавшихся в трудной жизненной ситуации, включая ветеранов СВО; </w:t>
      </w:r>
    </w:p>
    <w:p w:rsidR="00E618FE" w:rsidRPr="00FA39B3" w:rsidRDefault="00800098">
      <w:pPr>
        <w:ind w:firstLine="708"/>
        <w:jc w:val="both"/>
        <w:rPr>
          <w:sz w:val="26"/>
          <w:szCs w:val="26"/>
          <w:lang w:eastAsia="ar-SA"/>
        </w:rPr>
      </w:pPr>
      <w:r w:rsidRPr="00FA39B3">
        <w:rPr>
          <w:sz w:val="26"/>
          <w:szCs w:val="26"/>
          <w:lang w:eastAsia="ar-SA"/>
        </w:rPr>
        <w:lastRenderedPageBreak/>
        <w:t xml:space="preserve">— мобильные бригады социальной помощи, выезжающие в отдаленные населенные пункты для выявления и обслуживания граждан, нуждающихся </w:t>
      </w:r>
      <w:r w:rsidR="00FA39B3">
        <w:rPr>
          <w:sz w:val="26"/>
          <w:szCs w:val="26"/>
          <w:lang w:eastAsia="ar-SA"/>
        </w:rPr>
        <w:br/>
      </w:r>
      <w:r w:rsidRPr="00FA39B3">
        <w:rPr>
          <w:sz w:val="26"/>
          <w:szCs w:val="26"/>
          <w:lang w:eastAsia="ar-SA"/>
        </w:rPr>
        <w:t xml:space="preserve">в социальной поддержке; </w:t>
      </w:r>
    </w:p>
    <w:p w:rsidR="00E618FE" w:rsidRPr="00FA39B3" w:rsidRDefault="00800098">
      <w:pPr>
        <w:ind w:firstLine="708"/>
        <w:jc w:val="both"/>
        <w:rPr>
          <w:sz w:val="26"/>
          <w:szCs w:val="26"/>
          <w:lang w:eastAsia="ar-SA"/>
        </w:rPr>
      </w:pPr>
      <w:r w:rsidRPr="00FA39B3">
        <w:rPr>
          <w:sz w:val="26"/>
          <w:szCs w:val="26"/>
          <w:lang w:eastAsia="ar-SA"/>
        </w:rPr>
        <w:t xml:space="preserve">— сеть социально ориентированных некоммерческих организаций </w:t>
      </w:r>
      <w:r w:rsidR="00FA39B3">
        <w:rPr>
          <w:sz w:val="26"/>
          <w:szCs w:val="26"/>
          <w:lang w:eastAsia="ar-SA"/>
        </w:rPr>
        <w:br/>
      </w:r>
      <w:r w:rsidRPr="00FA39B3">
        <w:rPr>
          <w:sz w:val="26"/>
          <w:szCs w:val="26"/>
          <w:lang w:eastAsia="ar-SA"/>
        </w:rPr>
        <w:t xml:space="preserve">(ТРО ОО «Всероссийское общество глухих», ТОО «Всероссийское общество слепых», ТРО «Всероссийское общество инвалидов», НКО «Союз родителей детей-инвалидов» и другие), формирующая коворкинг-пространства Добро.Центров </w:t>
      </w:r>
      <w:r w:rsidR="00FA39B3">
        <w:rPr>
          <w:sz w:val="26"/>
          <w:szCs w:val="26"/>
          <w:lang w:eastAsia="ar-SA"/>
        </w:rPr>
        <w:br/>
      </w:r>
      <w:r w:rsidRPr="00FA39B3">
        <w:rPr>
          <w:sz w:val="26"/>
          <w:szCs w:val="26"/>
          <w:lang w:eastAsia="ar-SA"/>
        </w:rPr>
        <w:t>и дополняющая государственную систему социального обслуживания.</w:t>
      </w:r>
    </w:p>
    <w:p w:rsidR="00E618FE" w:rsidRPr="00FA39B3" w:rsidRDefault="00800098">
      <w:pPr>
        <w:tabs>
          <w:tab w:val="left" w:pos="851"/>
          <w:tab w:val="left" w:pos="993"/>
        </w:tabs>
        <w:ind w:firstLine="709"/>
        <w:jc w:val="both"/>
        <w:rPr>
          <w:sz w:val="26"/>
          <w:szCs w:val="26"/>
          <w:lang w:eastAsia="ar-SA"/>
        </w:rPr>
      </w:pPr>
      <w:r w:rsidRPr="00FA39B3">
        <w:rPr>
          <w:sz w:val="26"/>
          <w:szCs w:val="26"/>
          <w:lang w:eastAsia="ar-SA"/>
        </w:rPr>
        <w:t xml:space="preserve">Реализация приоритета опирается на региональную программу «Активное долголетие в Томской области», направленную на вовлечение граждан старшего поколения в волонтерскую деятельность и программы активного досуга, </w:t>
      </w:r>
      <w:r w:rsidR="00FA39B3">
        <w:rPr>
          <w:sz w:val="26"/>
          <w:szCs w:val="26"/>
          <w:lang w:eastAsia="ar-SA"/>
        </w:rPr>
        <w:br/>
      </w:r>
      <w:r w:rsidRPr="00FA39B3">
        <w:rPr>
          <w:sz w:val="26"/>
          <w:szCs w:val="26"/>
          <w:lang w:eastAsia="ar-SA"/>
        </w:rPr>
        <w:t xml:space="preserve">на региональный проект «Старшее поколение» (Томская область), реализуемый </w:t>
      </w:r>
      <w:r w:rsidR="00FA39B3">
        <w:rPr>
          <w:sz w:val="26"/>
          <w:szCs w:val="26"/>
          <w:lang w:eastAsia="ar-SA"/>
        </w:rPr>
        <w:br/>
      </w:r>
      <w:r w:rsidRPr="00FA39B3">
        <w:rPr>
          <w:sz w:val="26"/>
          <w:szCs w:val="26"/>
          <w:lang w:eastAsia="ar-SA"/>
        </w:rPr>
        <w:t xml:space="preserve">в рамках НП «Семья», государственную программу «Социальная поддержка населения Томской области», механизмы социального заказа и налогового стимулирования коммерческих поставщиков услуг долговременного ухода, </w:t>
      </w:r>
      <w:r w:rsidR="00FA39B3">
        <w:rPr>
          <w:sz w:val="26"/>
          <w:szCs w:val="26"/>
          <w:lang w:eastAsia="ar-SA"/>
        </w:rPr>
        <w:br/>
      </w:r>
      <w:r w:rsidRPr="00FA39B3">
        <w:rPr>
          <w:sz w:val="26"/>
          <w:szCs w:val="26"/>
          <w:lang w:eastAsia="ar-SA"/>
        </w:rPr>
        <w:t xml:space="preserve">на систему мер поддержки в рамках Единого стандарта для участников СВО. </w:t>
      </w:r>
    </w:p>
    <w:p w:rsidR="00E618FE" w:rsidRPr="00FA39B3" w:rsidRDefault="00800098">
      <w:pPr>
        <w:tabs>
          <w:tab w:val="left" w:pos="851"/>
          <w:tab w:val="left" w:pos="993"/>
        </w:tabs>
        <w:ind w:firstLine="709"/>
        <w:jc w:val="both"/>
        <w:rPr>
          <w:sz w:val="26"/>
          <w:szCs w:val="26"/>
          <w:lang w:eastAsia="ar-SA"/>
        </w:rPr>
      </w:pPr>
      <w:r w:rsidRPr="00FA39B3">
        <w:rPr>
          <w:sz w:val="26"/>
          <w:szCs w:val="26"/>
          <w:lang w:eastAsia="ar-SA"/>
        </w:rPr>
        <w:t>Устойчивость системы обеспечивается развитием с</w:t>
      </w:r>
      <w:r w:rsidR="00FA39B3">
        <w:rPr>
          <w:sz w:val="26"/>
          <w:szCs w:val="26"/>
          <w:lang w:eastAsia="ar-SA"/>
        </w:rPr>
        <w:t>тационарозамещающих технологий –</w:t>
      </w:r>
      <w:r w:rsidRPr="00FA39B3">
        <w:rPr>
          <w:sz w:val="26"/>
          <w:szCs w:val="26"/>
          <w:lang w:eastAsia="ar-SA"/>
        </w:rPr>
        <w:t xml:space="preserve"> приемных семей для граждан пожилого возраста, семейных бригад социальных работников, школ ухода, позволяющих максимально сохранить </w:t>
      </w:r>
      <w:r w:rsidR="00FA39B3">
        <w:rPr>
          <w:sz w:val="26"/>
          <w:szCs w:val="26"/>
          <w:lang w:eastAsia="ar-SA"/>
        </w:rPr>
        <w:br/>
      </w:r>
      <w:r w:rsidRPr="00FA39B3">
        <w:rPr>
          <w:sz w:val="26"/>
          <w:szCs w:val="26"/>
          <w:lang w:eastAsia="ar-SA"/>
        </w:rPr>
        <w:t>для получателей услуг привычную домашнюю среду.</w:t>
      </w:r>
    </w:p>
    <w:p w:rsidR="00BF1EF3" w:rsidRDefault="00BF1EF3">
      <w:pPr>
        <w:pStyle w:val="41"/>
        <w:rPr>
          <w:rFonts w:ascii="Times New Roman" w:hAnsi="Times New Roman"/>
          <w:bCs/>
          <w:lang w:val="ru-RU" w:eastAsia="ar-SA"/>
        </w:rPr>
      </w:pPr>
    </w:p>
    <w:p w:rsidR="00E618FE" w:rsidRPr="00535A4B" w:rsidRDefault="00800098">
      <w:pPr>
        <w:pStyle w:val="41"/>
        <w:rPr>
          <w:rFonts w:ascii="Times New Roman" w:hAnsi="Times New Roman"/>
          <w:b w:val="0"/>
          <w:bCs/>
          <w:i/>
          <w:iCs/>
          <w:lang w:val="ru-RU" w:eastAsia="ar-SA"/>
        </w:rPr>
      </w:pPr>
      <w:r w:rsidRPr="00535A4B">
        <w:rPr>
          <w:rFonts w:ascii="Times New Roman" w:hAnsi="Times New Roman"/>
          <w:bCs/>
          <w:lang w:val="ru-RU" w:eastAsia="ar-SA"/>
        </w:rPr>
        <w:t>Задачи:</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1.4.1. Обеспечить предоставление мер социальной поддержки отдельным категориям граждан.</w:t>
      </w:r>
      <w:r w:rsidRPr="00535A4B">
        <w:rPr>
          <w:rFonts w:ascii="Times New Roman" w:hAnsi="Times New Roman"/>
          <w:color w:val="auto"/>
        </w:rPr>
        <w:t xml:space="preserve"> </w:t>
      </w:r>
      <w:r w:rsidRPr="00535A4B">
        <w:rPr>
          <w:rFonts w:ascii="Times New Roman" w:hAnsi="Times New Roman"/>
          <w:b/>
          <w:bCs/>
          <w:color w:val="auto"/>
        </w:rPr>
        <w:t xml:space="preserve">Оказывать сопровождение </w:t>
      </w:r>
      <w:r w:rsidR="00BF1EF3">
        <w:rPr>
          <w:rFonts w:ascii="Times New Roman" w:hAnsi="Times New Roman"/>
          <w:b/>
          <w:bCs/>
          <w:color w:val="auto"/>
        </w:rPr>
        <w:br/>
      </w:r>
      <w:r w:rsidRPr="00535A4B">
        <w:rPr>
          <w:rFonts w:ascii="Times New Roman" w:hAnsi="Times New Roman"/>
          <w:b/>
          <w:bCs/>
          <w:color w:val="auto"/>
        </w:rPr>
        <w:t>и поддержку участникам СВО и членам их семей.</w:t>
      </w:r>
    </w:p>
    <w:p w:rsidR="00E618FE" w:rsidRPr="00BF1EF3" w:rsidRDefault="00800098">
      <w:pPr>
        <w:pStyle w:val="a4"/>
        <w:rPr>
          <w:rFonts w:ascii="Times New Roman" w:eastAsia="Calibri" w:hAnsi="Times New Roman"/>
          <w:color w:val="auto"/>
          <w:sz w:val="26"/>
          <w:szCs w:val="26"/>
        </w:rPr>
      </w:pPr>
      <w:r w:rsidRPr="00BF1EF3">
        <w:rPr>
          <w:rFonts w:ascii="Times New Roman" w:eastAsia="Calibri" w:hAnsi="Times New Roman"/>
          <w:color w:val="auto"/>
          <w:sz w:val="26"/>
          <w:szCs w:val="26"/>
        </w:rPr>
        <w:t>Ключевые направления и механизмы реализации:</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анализ эффективности реализуемых программ поддержки </w:t>
      </w:r>
      <w:r w:rsidRPr="00BF1EF3">
        <w:rPr>
          <w:sz w:val="26"/>
          <w:szCs w:val="26"/>
          <w:lang w:eastAsia="ar-SA"/>
        </w:rPr>
        <w:br/>
        <w:t xml:space="preserve">с последующим перераспределением бюджетных средств; исключение </w:t>
      </w:r>
      <w:r w:rsidRPr="00BF1EF3">
        <w:rPr>
          <w:sz w:val="26"/>
          <w:szCs w:val="26"/>
          <w:lang w:eastAsia="ar-SA"/>
        </w:rPr>
        <w:br/>
        <w:t>из практики предоставление финансовой помощи без установления измеримых критериев результативности;</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внедрение доходно-имущественного подхода, предусматривающего комплексную оценку материального положения получателей, включая наличие недвижимости, транспортных средств, источников рентного дохода и иных активов;</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обеспечение привязки предоставления социальных пособий к факту трудоустройства, использование механизма дополнительных выплат семьям </w:t>
      </w:r>
      <w:r w:rsidR="00BF1EF3">
        <w:rPr>
          <w:sz w:val="26"/>
          <w:szCs w:val="26"/>
          <w:lang w:eastAsia="ar-SA"/>
        </w:rPr>
        <w:br/>
      </w:r>
      <w:r w:rsidRPr="00BF1EF3">
        <w:rPr>
          <w:sz w:val="26"/>
          <w:szCs w:val="26"/>
          <w:lang w:eastAsia="ar-SA"/>
        </w:rPr>
        <w:t>с детьми при условии занятости родителей;</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реализация проактивного формата оказания поддержки, предусматривающего целевое использование передаваемых средств посредством специализированных банковских инструментов (социальных карт), исключающих нецелевое расходование;</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поддержка лиц, оказавшихся в трудной жизненный ситуации, </w:t>
      </w:r>
      <w:r w:rsidRPr="00BF1EF3">
        <w:rPr>
          <w:sz w:val="26"/>
          <w:szCs w:val="26"/>
          <w:lang w:eastAsia="ar-SA"/>
        </w:rPr>
        <w:br/>
        <w:t>в том числе участников СВО и членов их семей;</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—протезно-ортопедическая помощь инвалидам;</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—профессиональная и социальная реабилитация и абилитация инвалидов;</w:t>
      </w:r>
    </w:p>
    <w:p w:rsidR="00E618FE" w:rsidRPr="00535A4B" w:rsidRDefault="00800098">
      <w:pPr>
        <w:tabs>
          <w:tab w:val="left" w:pos="851"/>
          <w:tab w:val="left" w:pos="993"/>
        </w:tabs>
        <w:ind w:firstLine="709"/>
        <w:jc w:val="both"/>
        <w:rPr>
          <w:sz w:val="28"/>
          <w:lang w:eastAsia="ar-SA"/>
        </w:rPr>
      </w:pPr>
      <w:r w:rsidRPr="00BF1EF3">
        <w:rPr>
          <w:sz w:val="26"/>
          <w:szCs w:val="26"/>
          <w:lang w:eastAsia="ar-SA"/>
        </w:rPr>
        <w:t xml:space="preserve">— комплексная система мер по сопровождению участников СВО </w:t>
      </w:r>
      <w:r w:rsidRPr="00BF1EF3">
        <w:rPr>
          <w:sz w:val="26"/>
          <w:szCs w:val="26"/>
          <w:lang w:eastAsia="ar-SA"/>
        </w:rPr>
        <w:br/>
        <w:t xml:space="preserve">и членов их семей, направленная на всестороннюю поддержку военнослужащих и </w:t>
      </w:r>
      <w:r w:rsidRPr="00BF1EF3">
        <w:rPr>
          <w:sz w:val="26"/>
          <w:szCs w:val="26"/>
          <w:lang w:eastAsia="ar-SA"/>
        </w:rPr>
        <w:lastRenderedPageBreak/>
        <w:t>их близких, включающая психотерапию, социальную реинтеграцию (в том числе программы наставничества и группы взаимопомощи, социальные координаторы, центры поддержки), поддерживающую среду (в том числе спорт и боевые искусства, командные виды спорта).</w:t>
      </w:r>
    </w:p>
    <w:p w:rsidR="00BF1EF3" w:rsidRDefault="00BF1EF3">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1.4.2. Совершенствовать систему профилактики социального сиротства, ориентированную на сокращение доли детей-сирот и детей, оставшихся без попечения родителей.</w:t>
      </w:r>
      <w:r w:rsidRPr="00535A4B">
        <w:rPr>
          <w:rFonts w:ascii="Times New Roman" w:hAnsi="Times New Roman"/>
          <w:color w:val="auto"/>
        </w:rPr>
        <w:t xml:space="preserve"> </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Ключевые направления и механизмы реализации:</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совершенствование механизмов реализации на территории Томской области технологии межведомственного взаимодействия при выявлении детей, нуждающихся в государственной защите, на ранней стадии семейного неблагополучия и технологии работы со «случаем»;</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разработка и внедрение новых форм и методов, направленных </w:t>
      </w:r>
      <w:r w:rsidRPr="00BF1EF3">
        <w:rPr>
          <w:sz w:val="26"/>
          <w:szCs w:val="26"/>
          <w:lang w:eastAsia="ar-SA"/>
        </w:rPr>
        <w:br/>
        <w:t xml:space="preserve">на повышение качества предоставления социальных услуг детям и семьям </w:t>
      </w:r>
      <w:r w:rsidRPr="00BF1EF3">
        <w:rPr>
          <w:sz w:val="26"/>
          <w:szCs w:val="26"/>
          <w:lang w:eastAsia="ar-SA"/>
        </w:rPr>
        <w:br/>
        <w:t>с детьми, находящимся в трудной жизненной ситуации;</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развитие системы работы с замещающими семьями, повышение эффективности работы по профилактике возвратов детей из приемных семей, разработка и внедрение новых социальных технологий работы с семьями, находящимися в трудной жизненной ситуации, и с замещающими семьями;</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повышение качества и доступности социального обслуживания несовершеннолетних и семей с детьми, находящихся в трудной жизненной ситуации;</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создание в Томской области кризисного центра для женщин </w:t>
      </w:r>
      <w:r w:rsidRPr="00BF1EF3">
        <w:rPr>
          <w:sz w:val="26"/>
          <w:szCs w:val="26"/>
          <w:lang w:eastAsia="ar-SA"/>
        </w:rPr>
        <w:br/>
        <w:t>с несовершеннолетними детьми, оказавшимися в трудной жизненной ситуации.</w:t>
      </w:r>
    </w:p>
    <w:p w:rsidR="00BF1EF3" w:rsidRDefault="00BF1EF3">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1.4.3. Улучшить качество жизни граждан старшего поколения. </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Ключевые направления и механизмы реализации:</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реализация мер по использованию инфраструктуры (досуговая, образовательная, учреждений культуры, туристская) с целью создания среды </w:t>
      </w:r>
      <w:r w:rsidR="00BF1EF3">
        <w:rPr>
          <w:sz w:val="26"/>
          <w:szCs w:val="26"/>
          <w:lang w:eastAsia="ar-SA"/>
        </w:rPr>
        <w:br/>
      </w:r>
      <w:r w:rsidRPr="00BF1EF3">
        <w:rPr>
          <w:sz w:val="26"/>
          <w:szCs w:val="26"/>
          <w:lang w:eastAsia="ar-SA"/>
        </w:rPr>
        <w:t>для активного общения, участия в общественных делах граждан старшего поколения;</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обеспечение качества услуг долговременного ухода за гражданами </w:t>
      </w:r>
      <w:r w:rsidRPr="00BF1EF3">
        <w:rPr>
          <w:sz w:val="26"/>
          <w:szCs w:val="26"/>
          <w:lang w:eastAsia="ar-SA"/>
        </w:rPr>
        <w:br/>
        <w:t>с дефицитами самообслуживания и увеличение охвата граждан такими услугами организациями государственного и негосударственного сектора;</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строительство стационарных организаций социального обслуживания;</w:t>
      </w:r>
    </w:p>
    <w:p w:rsidR="00E618FE" w:rsidRPr="00BF1EF3" w:rsidRDefault="00800098" w:rsidP="00BF1EF3">
      <w:pPr>
        <w:tabs>
          <w:tab w:val="left" w:pos="851"/>
          <w:tab w:val="left" w:pos="993"/>
        </w:tabs>
        <w:ind w:firstLine="709"/>
        <w:jc w:val="both"/>
        <w:rPr>
          <w:sz w:val="26"/>
          <w:szCs w:val="26"/>
          <w:lang w:eastAsia="ar-SA"/>
        </w:rPr>
      </w:pPr>
      <w:r w:rsidRPr="00BF1EF3">
        <w:rPr>
          <w:sz w:val="26"/>
          <w:szCs w:val="26"/>
          <w:lang w:eastAsia="ar-SA"/>
        </w:rPr>
        <w:t xml:space="preserve">— расширение сети учреждений, предоставляющих услуги социального обслуживания (долговременного ухода). Изменение подходов </w:t>
      </w:r>
      <w:r w:rsidRPr="00BF1EF3">
        <w:rPr>
          <w:sz w:val="26"/>
          <w:szCs w:val="26"/>
          <w:lang w:eastAsia="ar-SA"/>
        </w:rPr>
        <w:br/>
        <w:t xml:space="preserve">к привлечению коммерческого сектора в качестве легальных поставщиков услуг </w:t>
      </w:r>
      <w:r w:rsidR="00BF1EF3">
        <w:rPr>
          <w:sz w:val="26"/>
          <w:szCs w:val="26"/>
          <w:lang w:eastAsia="ar-SA"/>
        </w:rPr>
        <w:br/>
      </w:r>
      <w:r w:rsidRPr="00BF1EF3">
        <w:rPr>
          <w:sz w:val="26"/>
          <w:szCs w:val="26"/>
          <w:lang w:eastAsia="ar-SA"/>
        </w:rPr>
        <w:t xml:space="preserve">по долговременному уходу (в том числе инструменты налогового стимулирования, государственный заказ, стандартизация и лицензирование деятельности </w:t>
      </w:r>
      <w:r w:rsidR="00BF1EF3">
        <w:rPr>
          <w:sz w:val="26"/>
          <w:szCs w:val="26"/>
          <w:lang w:eastAsia="ar-SA"/>
        </w:rPr>
        <w:br/>
      </w:r>
      <w:r w:rsidRPr="00BF1EF3">
        <w:rPr>
          <w:sz w:val="26"/>
          <w:szCs w:val="26"/>
          <w:lang w:eastAsia="ar-SA"/>
        </w:rPr>
        <w:t>для обеспечения высокого качества обслуживания);</w:t>
      </w:r>
    </w:p>
    <w:p w:rsidR="00E618FE" w:rsidRPr="00BF1EF3" w:rsidRDefault="00800098">
      <w:pPr>
        <w:tabs>
          <w:tab w:val="left" w:pos="851"/>
          <w:tab w:val="left" w:pos="993"/>
        </w:tabs>
        <w:ind w:firstLine="709"/>
        <w:jc w:val="both"/>
        <w:rPr>
          <w:sz w:val="26"/>
          <w:szCs w:val="26"/>
          <w:lang w:eastAsia="ar-SA"/>
        </w:rPr>
      </w:pPr>
      <w:r w:rsidRPr="00BF1EF3">
        <w:rPr>
          <w:sz w:val="26"/>
          <w:szCs w:val="26"/>
          <w:lang w:eastAsia="ar-SA"/>
        </w:rPr>
        <w:t xml:space="preserve">— содействие в организации профессионального обучения </w:t>
      </w:r>
      <w:r w:rsidRPr="00BF1EF3">
        <w:rPr>
          <w:sz w:val="26"/>
          <w:szCs w:val="26"/>
          <w:lang w:eastAsia="ar-SA"/>
        </w:rPr>
        <w:br/>
        <w:t>и привлечении к работе «помощников по уходу».</w:t>
      </w:r>
    </w:p>
    <w:p w:rsidR="00E618FE" w:rsidRPr="00535A4B" w:rsidRDefault="00800098">
      <w:pPr>
        <w:spacing w:after="160" w:line="259" w:lineRule="auto"/>
        <w:rPr>
          <w:b/>
          <w:bCs/>
          <w:sz w:val="28"/>
          <w:szCs w:val="28"/>
          <w:lang w:eastAsia="ar-SA"/>
        </w:rPr>
      </w:pPr>
      <w:r w:rsidRPr="00535A4B">
        <w:rPr>
          <w:b/>
          <w:bCs/>
        </w:rPr>
        <w:br w:type="page" w:clear="all"/>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lastRenderedPageBreak/>
        <w:t xml:space="preserve">Задача 1.4.4. Повысить качество и доступность социальной поддержки и социального обслуживания населения. </w:t>
      </w:r>
    </w:p>
    <w:p w:rsidR="00E618FE" w:rsidRPr="00BF1EF3" w:rsidRDefault="00800098">
      <w:pPr>
        <w:pStyle w:val="a4"/>
        <w:rPr>
          <w:rFonts w:ascii="Times New Roman" w:eastAsia="Calibri" w:hAnsi="Times New Roman"/>
          <w:color w:val="auto"/>
          <w:sz w:val="26"/>
          <w:szCs w:val="26"/>
        </w:rPr>
      </w:pPr>
      <w:r w:rsidRPr="00BF1EF3">
        <w:rPr>
          <w:rFonts w:ascii="Times New Roman" w:eastAsia="Calibri" w:hAnsi="Times New Roman"/>
          <w:color w:val="auto"/>
          <w:sz w:val="26"/>
          <w:szCs w:val="26"/>
        </w:rPr>
        <w:t>Ключевые направления и механизмы реализации:</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развитие стационарозамещающих технологий;</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xml:space="preserve">— повышение доступности оказания социальных услуг, в том числе для семей с детьми, проживающих в отдаленных населенных пунктах Томской области. Разработка системы стратегических индикаторов по отраслям социальной сферы </w:t>
      </w:r>
      <w:r w:rsidR="00BF1EF3">
        <w:rPr>
          <w:rFonts w:ascii="Times New Roman" w:hAnsi="Times New Roman"/>
          <w:color w:val="auto"/>
          <w:sz w:val="26"/>
          <w:szCs w:val="26"/>
        </w:rPr>
        <w:br/>
      </w:r>
      <w:r w:rsidRPr="00BF1EF3">
        <w:rPr>
          <w:rFonts w:ascii="Times New Roman" w:hAnsi="Times New Roman"/>
          <w:color w:val="auto"/>
          <w:sz w:val="26"/>
          <w:szCs w:val="26"/>
        </w:rPr>
        <w:t>с обязательной декомпозицией в разрезе ОНП и их зон обслуживания (доступность, качество, вовлеченность населения, кадровая обеспеченность), регулярный анализ причин отклонений и корректировка управленческих решений;</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стимулирование социально ориентированной предпринимательской активности, поддержка некоммерческих проектов социально ориентированных организаций, поддержка социального предпринимательства, системы наставничества для поддержки начинающих социальных предпринимателей;</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xml:space="preserve">— расширение сотрудничества с социально ориентированными некоммерческими организациями (СО НКО), а также коммерческими организациями в целях создания условий для передачи им части социальных услуг, в том числе для предоставления социальных услуг детям и семьям </w:t>
      </w:r>
      <w:r w:rsidRPr="00BF1EF3">
        <w:rPr>
          <w:rFonts w:ascii="Times New Roman" w:hAnsi="Times New Roman"/>
          <w:color w:val="auto"/>
          <w:sz w:val="26"/>
          <w:szCs w:val="26"/>
        </w:rPr>
        <w:br/>
        <w:t>с детьми СО НКО;</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поддержка создания на базе образовательных организаций высшего образования г. Томска «социальных клиник», центров психологической помощи гражданам, включение</w:t>
      </w:r>
      <w:r w:rsidR="00BF1EF3">
        <w:rPr>
          <w:rFonts w:ascii="Times New Roman" w:hAnsi="Times New Roman"/>
          <w:color w:val="auto"/>
          <w:sz w:val="26"/>
          <w:szCs w:val="26"/>
        </w:rPr>
        <w:t xml:space="preserve"> </w:t>
      </w:r>
      <w:r w:rsidRPr="00BF1EF3">
        <w:rPr>
          <w:rFonts w:ascii="Times New Roman" w:hAnsi="Times New Roman"/>
          <w:color w:val="auto"/>
          <w:sz w:val="26"/>
          <w:szCs w:val="26"/>
        </w:rPr>
        <w:t xml:space="preserve">практического предмета «Волонтерская деятельность» </w:t>
      </w:r>
      <w:r w:rsidR="00BF1EF3">
        <w:rPr>
          <w:rFonts w:ascii="Times New Roman" w:hAnsi="Times New Roman"/>
          <w:color w:val="auto"/>
          <w:sz w:val="26"/>
          <w:szCs w:val="26"/>
        </w:rPr>
        <w:br/>
      </w:r>
      <w:r w:rsidRPr="00BF1EF3">
        <w:rPr>
          <w:rFonts w:ascii="Times New Roman" w:hAnsi="Times New Roman"/>
          <w:color w:val="auto"/>
          <w:sz w:val="26"/>
          <w:szCs w:val="26"/>
        </w:rPr>
        <w:t xml:space="preserve">как </w:t>
      </w:r>
      <w:r w:rsidR="00BF1EF3" w:rsidRPr="00BF1EF3">
        <w:rPr>
          <w:rFonts w:ascii="Times New Roman" w:hAnsi="Times New Roman"/>
          <w:color w:val="auto"/>
          <w:sz w:val="26"/>
          <w:szCs w:val="26"/>
        </w:rPr>
        <w:t>обязательного,</w:t>
      </w:r>
      <w:r w:rsidRPr="00BF1EF3">
        <w:rPr>
          <w:rFonts w:ascii="Times New Roman" w:hAnsi="Times New Roman"/>
          <w:color w:val="auto"/>
          <w:sz w:val="26"/>
          <w:szCs w:val="26"/>
        </w:rPr>
        <w:t xml:space="preserve"> и организация социальных стажировок студентам образовательных организаций высшего образования и колледжей;</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xml:space="preserve">— развитие системы центров психологической помощи, переход </w:t>
      </w:r>
      <w:r w:rsidRPr="00BF1EF3">
        <w:rPr>
          <w:rFonts w:ascii="Times New Roman" w:hAnsi="Times New Roman"/>
          <w:color w:val="auto"/>
          <w:sz w:val="26"/>
          <w:szCs w:val="26"/>
        </w:rPr>
        <w:br/>
        <w:t xml:space="preserve">на службу многоканальной (включая социальные сети) и многопрофильной поддержки социально незащищенных граждан, реабилитации граждан </w:t>
      </w:r>
      <w:r w:rsidRPr="00BF1EF3">
        <w:rPr>
          <w:rFonts w:ascii="Times New Roman" w:hAnsi="Times New Roman"/>
          <w:color w:val="auto"/>
          <w:sz w:val="26"/>
          <w:szCs w:val="26"/>
        </w:rPr>
        <w:br/>
        <w:t xml:space="preserve">по направлениям медицинской психологии, помощи в экстремальных ситуациях, </w:t>
      </w:r>
      <w:r w:rsidR="00BF1EF3">
        <w:rPr>
          <w:rFonts w:ascii="Times New Roman" w:hAnsi="Times New Roman"/>
          <w:color w:val="auto"/>
          <w:sz w:val="26"/>
          <w:szCs w:val="26"/>
        </w:rPr>
        <w:br/>
      </w:r>
      <w:r w:rsidRPr="00BF1EF3">
        <w:rPr>
          <w:rFonts w:ascii="Times New Roman" w:hAnsi="Times New Roman"/>
          <w:color w:val="auto"/>
          <w:sz w:val="26"/>
          <w:szCs w:val="26"/>
        </w:rPr>
        <w:t>а также по группам доверия (в том числе для детей);</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xml:space="preserve">— разработка и внедрение стандартов психологической безопасности </w:t>
      </w:r>
      <w:r w:rsidRPr="00BF1EF3">
        <w:rPr>
          <w:rFonts w:ascii="Times New Roman" w:hAnsi="Times New Roman"/>
          <w:color w:val="auto"/>
          <w:sz w:val="26"/>
          <w:szCs w:val="26"/>
        </w:rPr>
        <w:br/>
        <w:t>и общественной стабильности, системы минимизации последствий общественных стрессов;</w:t>
      </w:r>
    </w:p>
    <w:p w:rsidR="00E618FE" w:rsidRPr="00BF1EF3" w:rsidRDefault="00800098">
      <w:pPr>
        <w:pStyle w:val="a4"/>
        <w:rPr>
          <w:rFonts w:ascii="Times New Roman" w:hAnsi="Times New Roman"/>
          <w:color w:val="auto"/>
          <w:sz w:val="26"/>
          <w:szCs w:val="26"/>
        </w:rPr>
      </w:pPr>
      <w:r w:rsidRPr="00BF1EF3">
        <w:rPr>
          <w:rFonts w:ascii="Times New Roman" w:hAnsi="Times New Roman"/>
          <w:color w:val="auto"/>
          <w:sz w:val="26"/>
          <w:szCs w:val="26"/>
        </w:rPr>
        <w:t xml:space="preserve">— создание условий для совершенствования кадрового обеспечения сферы </w:t>
      </w:r>
      <w:r w:rsidR="00BF1EF3">
        <w:rPr>
          <w:rFonts w:ascii="Times New Roman" w:hAnsi="Times New Roman"/>
          <w:color w:val="auto"/>
          <w:sz w:val="26"/>
          <w:szCs w:val="26"/>
        </w:rPr>
        <w:br/>
      </w:r>
      <w:r w:rsidRPr="00BF1EF3">
        <w:rPr>
          <w:rFonts w:ascii="Times New Roman" w:hAnsi="Times New Roman"/>
          <w:color w:val="auto"/>
          <w:sz w:val="26"/>
          <w:szCs w:val="26"/>
        </w:rPr>
        <w:t>и повышения профессионального уровня сотрудников учреждений социального обслуживания. </w:t>
      </w:r>
    </w:p>
    <w:p w:rsidR="00E618FE" w:rsidRPr="00535A4B" w:rsidRDefault="00800098">
      <w:pPr>
        <w:spacing w:after="160" w:line="259" w:lineRule="auto"/>
        <w:rPr>
          <w:b/>
          <w:bCs/>
          <w:spacing w:val="24"/>
          <w:sz w:val="28"/>
          <w:szCs w:val="28"/>
          <w:lang w:eastAsia="ar-SA"/>
        </w:rPr>
      </w:pPr>
      <w:r w:rsidRPr="00535A4B">
        <w:rPr>
          <w:bCs/>
          <w:lang w:eastAsia="ar-SA"/>
        </w:rPr>
        <w:br w:type="page" w:clear="all"/>
      </w:r>
    </w:p>
    <w:p w:rsidR="00E618FE" w:rsidRPr="00535A4B" w:rsidRDefault="00800098">
      <w:pPr>
        <w:pStyle w:val="41"/>
        <w:rPr>
          <w:rFonts w:ascii="Times New Roman" w:hAnsi="Times New Roman"/>
          <w:b w:val="0"/>
          <w:bCs/>
          <w:i/>
          <w:iCs/>
          <w:lang w:val="ru-RU" w:eastAsia="ar-SA"/>
        </w:rPr>
      </w:pPr>
      <w:r w:rsidRPr="00535A4B">
        <w:rPr>
          <w:rFonts w:ascii="Times New Roman" w:hAnsi="Times New Roman"/>
          <w:bCs/>
          <w:lang w:val="ru-RU" w:eastAsia="ar-SA"/>
        </w:rPr>
        <w:lastRenderedPageBreak/>
        <w:t>Целевые показатели:</w:t>
      </w:r>
    </w:p>
    <w:p w:rsidR="00E618FE" w:rsidRPr="00BF1EF3" w:rsidRDefault="00800098">
      <w:pPr>
        <w:pStyle w:val="aff"/>
        <w:rPr>
          <w:rFonts w:ascii="Times New Roman" w:hAnsi="Times New Roman"/>
          <w:sz w:val="26"/>
          <w:szCs w:val="26"/>
          <w:lang w:val="ru-RU"/>
        </w:rPr>
      </w:pPr>
      <w:bookmarkStart w:id="103" w:name="_Hlk228121552"/>
      <w:r w:rsidRPr="00BF1EF3">
        <w:rPr>
          <w:rFonts w:ascii="Times New Roman" w:hAnsi="Times New Roman"/>
          <w:sz w:val="26"/>
          <w:szCs w:val="26"/>
          <w:lang w:val="ru-RU"/>
        </w:rPr>
        <w:t xml:space="preserve">Таблица 9.4. Целевые показатели Стратегического приоритета 1.4. </w:t>
      </w:r>
      <w:r w:rsidRPr="00BF1EF3">
        <w:rPr>
          <w:rFonts w:ascii="Times New Roman" w:eastAsia="PT Astra Serif" w:hAnsi="Times New Roman"/>
          <w:sz w:val="26"/>
          <w:szCs w:val="26"/>
          <w:lang w:val="ru-RU"/>
        </w:rPr>
        <w:t>«</w:t>
      </w:r>
      <w:r w:rsidRPr="00BF1EF3">
        <w:rPr>
          <w:rFonts w:ascii="Times New Roman" w:hAnsi="Times New Roman"/>
          <w:sz w:val="26"/>
          <w:szCs w:val="26"/>
          <w:lang w:val="ru-RU"/>
        </w:rPr>
        <w:t>Поддержка отдельных категорий граждан, в том числе участников СВО и членов их семей</w:t>
      </w:r>
      <w:r w:rsidRPr="00BF1EF3">
        <w:rPr>
          <w:rFonts w:ascii="Times New Roman" w:eastAsia="PT Astra Serif" w:hAnsi="Times New Roman"/>
          <w:sz w:val="26"/>
          <w:szCs w:val="26"/>
          <w:lang w:val="ru-RU"/>
        </w:rPr>
        <w:t>»</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bookmarkEnd w:id="103"/>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Уровень бедности среди многодетных семей,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23,20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14,20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Theme="minorHAnsi"/>
              </w:rPr>
            </w:pPr>
            <w:r w:rsidRPr="00535A4B">
              <w:rPr>
                <w:rFonts w:eastAsiaTheme="minorHAnsi"/>
                <w:b w:val="0"/>
                <w:bCs w:val="0"/>
              </w:rPr>
              <w:t>Доля детей-сирот и детей, оставшихся без попечения родителей, в общей численности детского населения,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1,45</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1,39</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Theme="minorHAnsi"/>
              </w:rPr>
            </w:pPr>
            <w:r w:rsidRPr="00535A4B">
              <w:rPr>
                <w:rFonts w:eastAsiaTheme="minorHAnsi"/>
                <w:b w:val="0"/>
                <w:bCs w:val="0"/>
              </w:rPr>
              <w:t xml:space="preserve">Доля пожилых граждан и инвалидов, получающих долговременный уход, от общего числа нуждающихся </w:t>
            </w:r>
            <w:r w:rsidRPr="00535A4B">
              <w:rPr>
                <w:rFonts w:eastAsiaTheme="minorHAnsi"/>
                <w:b w:val="0"/>
                <w:bCs w:val="0"/>
              </w:rPr>
              <w:br/>
              <w:t>в таком уходе граждан,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bCs/>
              </w:rPr>
              <w:t>2,60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bCs/>
              </w:rPr>
              <w:t>15,30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bCs/>
              </w:rPr>
              <w:t>15,90</w:t>
            </w:r>
          </w:p>
        </w:tc>
      </w:tr>
    </w:tbl>
    <w:p w:rsidR="00E618FE" w:rsidRPr="00535A4B" w:rsidRDefault="00E618FE"/>
    <w:p w:rsidR="00E618FE" w:rsidRPr="00535A4B" w:rsidRDefault="00E618FE"/>
    <w:p w:rsidR="00E618FE" w:rsidRDefault="00800098">
      <w:pPr>
        <w:pStyle w:val="21"/>
        <w:rPr>
          <w:rFonts w:ascii="Times New Roman" w:eastAsia="Times New Roman" w:hAnsi="Times New Roman" w:cs="Times New Roman"/>
        </w:rPr>
      </w:pPr>
      <w:bookmarkStart w:id="104" w:name="_Toc229484473"/>
      <w:bookmarkStart w:id="105" w:name="_Toc235810146"/>
      <w:bookmarkStart w:id="106" w:name="_Toc238554534"/>
      <w:r w:rsidRPr="00535A4B">
        <w:rPr>
          <w:rFonts w:ascii="Times New Roman" w:eastAsia="Times New Roman" w:hAnsi="Times New Roman" w:cs="Times New Roman"/>
        </w:rPr>
        <w:t>Стратегический приоритет 1.5. «</w:t>
      </w:r>
      <w:bookmarkStart w:id="107" w:name="_Hlk235796660"/>
      <w:r w:rsidRPr="00535A4B">
        <w:rPr>
          <w:rFonts w:ascii="Times New Roman" w:eastAsia="Times New Roman" w:hAnsi="Times New Roman" w:cs="Times New Roman"/>
        </w:rPr>
        <w:t>Занятость и повышение уровня жизни населения</w:t>
      </w:r>
      <w:bookmarkEnd w:id="107"/>
      <w:r w:rsidRPr="00535A4B">
        <w:rPr>
          <w:rFonts w:ascii="Times New Roman" w:eastAsia="Times New Roman" w:hAnsi="Times New Roman" w:cs="Times New Roman"/>
        </w:rPr>
        <w:t>»</w:t>
      </w:r>
      <w:bookmarkEnd w:id="104"/>
      <w:bookmarkEnd w:id="105"/>
      <w:bookmarkEnd w:id="106"/>
    </w:p>
    <w:p w:rsidR="00BF1EF3" w:rsidRPr="00BF1EF3" w:rsidRDefault="00BF1EF3" w:rsidP="00BF1EF3">
      <w:pPr>
        <w:pStyle w:val="a4"/>
        <w:rPr>
          <w:lang w:eastAsia="en-US" w:bidi="en-US"/>
        </w:rPr>
      </w:pPr>
    </w:p>
    <w:p w:rsidR="00E618FE" w:rsidRPr="00BF1EF3" w:rsidRDefault="00800098">
      <w:pPr>
        <w:ind w:firstLine="708"/>
        <w:jc w:val="both"/>
        <w:rPr>
          <w:sz w:val="26"/>
          <w:szCs w:val="26"/>
          <w:lang w:eastAsia="ar-SA"/>
        </w:rPr>
      </w:pPr>
      <w:r w:rsidRPr="00BF1EF3">
        <w:rPr>
          <w:sz w:val="26"/>
          <w:szCs w:val="26"/>
          <w:lang w:eastAsia="ar-SA"/>
        </w:rPr>
        <w:t xml:space="preserve">Несмотря на низкий уровень безработицы (3,3% в 2024 – 2025 годах), </w:t>
      </w:r>
      <w:r w:rsidR="00BF1EF3">
        <w:rPr>
          <w:sz w:val="26"/>
          <w:szCs w:val="26"/>
          <w:lang w:eastAsia="ar-SA"/>
        </w:rPr>
        <w:br/>
      </w:r>
      <w:r w:rsidRPr="00BF1EF3">
        <w:rPr>
          <w:sz w:val="26"/>
          <w:szCs w:val="26"/>
          <w:lang w:eastAsia="ar-SA"/>
        </w:rPr>
        <w:t xml:space="preserve">для рынка труда Томской области характерен острый структурный дисбаланс, который проявляется в дефиците квалифицированных кадров при одновременном сохранении территориальных и профессиональных диспропорций. </w:t>
      </w:r>
      <w:bookmarkStart w:id="108" w:name="_Hlk235390233"/>
      <w:r w:rsidRPr="00BF1EF3">
        <w:rPr>
          <w:sz w:val="26"/>
          <w:szCs w:val="26"/>
          <w:lang w:eastAsia="ar-SA"/>
        </w:rPr>
        <w:t xml:space="preserve">Совокупная кадровая потребность региона на период 2026 – 2036 годов, согласно сбалансированному кадровому прогнозу, оценивается в 165,0 тыс. человек, при этом наиболее остро нехватка специалистов ощущается в обрабатывающих производствах (около 27,0 тыс. человек), строительстве (19,5 тыс. человек), </w:t>
      </w:r>
      <w:r w:rsidR="00BF1EF3">
        <w:rPr>
          <w:sz w:val="26"/>
          <w:szCs w:val="26"/>
          <w:lang w:eastAsia="ar-SA"/>
        </w:rPr>
        <w:br/>
      </w:r>
      <w:r w:rsidRPr="00BF1EF3">
        <w:rPr>
          <w:sz w:val="26"/>
          <w:szCs w:val="26"/>
          <w:lang w:eastAsia="ar-SA"/>
        </w:rPr>
        <w:t>ИТ</w:t>
      </w:r>
      <w:r w:rsidR="00BF1EF3">
        <w:rPr>
          <w:sz w:val="26"/>
          <w:szCs w:val="26"/>
          <w:lang w:eastAsia="ar-SA"/>
        </w:rPr>
        <w:t>-</w:t>
      </w:r>
      <w:r w:rsidRPr="00BF1EF3">
        <w:rPr>
          <w:sz w:val="26"/>
          <w:szCs w:val="26"/>
          <w:lang w:eastAsia="ar-SA"/>
        </w:rPr>
        <w:t xml:space="preserve">секторе, здравоохранении, образовании и социальной защите. Дефицит квалифицированных кадров сопровождается территориальными </w:t>
      </w:r>
      <w:r w:rsidR="00BF1EF3">
        <w:rPr>
          <w:sz w:val="26"/>
          <w:szCs w:val="26"/>
          <w:lang w:eastAsia="ar-SA"/>
        </w:rPr>
        <w:br/>
      </w:r>
      <w:r w:rsidRPr="00BF1EF3">
        <w:rPr>
          <w:sz w:val="26"/>
          <w:szCs w:val="26"/>
          <w:lang w:eastAsia="ar-SA"/>
        </w:rPr>
        <w:t xml:space="preserve">и профессиональными диспропорциями. </w:t>
      </w:r>
      <w:bookmarkEnd w:id="108"/>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Ключевым вызовом остается отток молодежи. Лишь 30% иногородних выпускников вузов связывают свою карьеру с Томской областью. Сохраняется </w:t>
      </w:r>
      <w:r w:rsidR="00BF1EF3">
        <w:rPr>
          <w:rFonts w:ascii="Times New Roman" w:hAnsi="Times New Roman"/>
          <w:color w:val="auto"/>
          <w:sz w:val="26"/>
          <w:szCs w:val="26"/>
        </w:rPr>
        <w:br/>
      </w:r>
      <w:r w:rsidRPr="00BF1EF3">
        <w:rPr>
          <w:rFonts w:ascii="Times New Roman" w:hAnsi="Times New Roman"/>
          <w:color w:val="auto"/>
          <w:sz w:val="26"/>
          <w:szCs w:val="26"/>
        </w:rPr>
        <w:t>и территориаль</w:t>
      </w:r>
      <w:r w:rsidR="00BF1EF3">
        <w:rPr>
          <w:rFonts w:ascii="Times New Roman" w:hAnsi="Times New Roman"/>
          <w:color w:val="auto"/>
          <w:sz w:val="26"/>
          <w:szCs w:val="26"/>
        </w:rPr>
        <w:t>ная поляризация –</w:t>
      </w:r>
      <w:r w:rsidRPr="00BF1EF3">
        <w:rPr>
          <w:rFonts w:ascii="Times New Roman" w:hAnsi="Times New Roman"/>
          <w:color w:val="auto"/>
          <w:sz w:val="26"/>
          <w:szCs w:val="26"/>
        </w:rPr>
        <w:t xml:space="preserve"> основная концентрация рабочих мест с высокой добавленной стоимостью (высокотехнологичные и наукоемкие) сосредоточена </w:t>
      </w:r>
      <w:r w:rsidR="00BF1EF3">
        <w:rPr>
          <w:rFonts w:ascii="Times New Roman" w:hAnsi="Times New Roman"/>
          <w:color w:val="auto"/>
          <w:sz w:val="26"/>
          <w:szCs w:val="26"/>
        </w:rPr>
        <w:br/>
      </w:r>
      <w:r w:rsidRPr="00BF1EF3">
        <w:rPr>
          <w:rFonts w:ascii="Times New Roman" w:hAnsi="Times New Roman"/>
          <w:color w:val="auto"/>
          <w:sz w:val="26"/>
          <w:szCs w:val="26"/>
        </w:rPr>
        <w:t>в Томской агломерации, тогда как в удаленных и северных районах занятость преимущественно представлена бюджетным сектором и производствами низкого передела с более низким уровнем оплаты труда.</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Задачи стратегического приоритета направлены на трансформацию регионального рынка труда, формирование сбалансированной, инклюзивной системы занятости, синхронизированной с потребностями экономики технологического лидерства и обеспечивающей реализацию трудового потенциала каждого жителя. К 2036 году планируется достижение качественно нового состояния занятости, где уровень безработицы не превысит 2,5%, а миграционный отток выпускников будет сокращен не менее чем на 30%. Целевые ориентиры </w:t>
      </w:r>
      <w:r w:rsidR="00BF1EF3">
        <w:rPr>
          <w:rFonts w:ascii="Times New Roman" w:hAnsi="Times New Roman"/>
          <w:color w:val="auto"/>
          <w:sz w:val="26"/>
          <w:szCs w:val="26"/>
        </w:rPr>
        <w:br/>
      </w:r>
      <w:r w:rsidRPr="00BF1EF3">
        <w:rPr>
          <w:rFonts w:ascii="Times New Roman" w:hAnsi="Times New Roman"/>
          <w:color w:val="auto"/>
          <w:sz w:val="26"/>
          <w:szCs w:val="26"/>
        </w:rPr>
        <w:t>по росту производительности труда и доле занятых в высокотехнологичных отраслях приведены для целевого (оптимистичного) сценария, предполагающего устойчивый приток квалифицированных кадров из других регионов и стран, а также вовлечение в экономическую активность дополнительных групп населения (люди старшего возраста, инвалиды). При реализации базового сценария ожидается стабилизация численности занятых на уровне 495 – 505 тыс. человек.</w:t>
      </w:r>
    </w:p>
    <w:p w:rsidR="00E618FE" w:rsidRPr="00BF1EF3" w:rsidRDefault="00800098">
      <w:pPr>
        <w:pStyle w:val="a4"/>
        <w:ind w:firstLine="708"/>
        <w:rPr>
          <w:rFonts w:ascii="Times New Roman" w:hAnsi="Times New Roman"/>
          <w:color w:val="auto"/>
          <w:sz w:val="26"/>
          <w:szCs w:val="26"/>
        </w:rPr>
      </w:pPr>
      <w:bookmarkStart w:id="109" w:name="_Hlk229124062"/>
      <w:r w:rsidRPr="00BF1EF3">
        <w:rPr>
          <w:rFonts w:ascii="Times New Roman" w:hAnsi="Times New Roman"/>
          <w:color w:val="auto"/>
          <w:sz w:val="26"/>
          <w:szCs w:val="26"/>
        </w:rPr>
        <w:t xml:space="preserve">Опорными центрами реализации приоритета выступают: </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sz w:val="26"/>
          <w:szCs w:val="26"/>
        </w:rPr>
        <w:lastRenderedPageBreak/>
        <w:t>—</w:t>
      </w:r>
      <w:r w:rsidR="00BF1EF3">
        <w:rPr>
          <w:rFonts w:ascii="Times New Roman" w:hAnsi="Times New Roman"/>
          <w:sz w:val="26"/>
          <w:szCs w:val="26"/>
        </w:rPr>
        <w:t xml:space="preserve"> </w:t>
      </w:r>
      <w:r w:rsidRPr="00BF1EF3">
        <w:rPr>
          <w:rFonts w:ascii="Times New Roman" w:hAnsi="Times New Roman"/>
          <w:color w:val="auto"/>
          <w:sz w:val="26"/>
          <w:szCs w:val="26"/>
        </w:rPr>
        <w:t xml:space="preserve">Кадровый центр «Работа России» (г. Томск и территориальные отделы </w:t>
      </w:r>
      <w:r w:rsidR="00BF1EF3">
        <w:rPr>
          <w:rFonts w:ascii="Times New Roman" w:hAnsi="Times New Roman"/>
          <w:color w:val="auto"/>
          <w:sz w:val="26"/>
          <w:szCs w:val="26"/>
        </w:rPr>
        <w:br/>
      </w:r>
      <w:r w:rsidRPr="00BF1EF3">
        <w:rPr>
          <w:rFonts w:ascii="Times New Roman" w:hAnsi="Times New Roman"/>
          <w:color w:val="auto"/>
          <w:sz w:val="26"/>
          <w:szCs w:val="26"/>
        </w:rPr>
        <w:t>в муниципальных образованиях), как кадровое агентство полного цикла, оказывающее комплексную адресную помощь соискателям и работодателям, используя цифровые инструменты и единые стандарты обслуживания.</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sz w:val="26"/>
          <w:szCs w:val="26"/>
        </w:rPr>
        <w:t>—</w:t>
      </w:r>
      <w:r w:rsidR="00BF1EF3">
        <w:rPr>
          <w:rFonts w:ascii="Times New Roman" w:hAnsi="Times New Roman"/>
          <w:sz w:val="26"/>
          <w:szCs w:val="26"/>
        </w:rPr>
        <w:t xml:space="preserve"> </w:t>
      </w:r>
      <w:r w:rsidRPr="00BF1EF3">
        <w:rPr>
          <w:rFonts w:ascii="Times New Roman" w:hAnsi="Times New Roman"/>
          <w:color w:val="auto"/>
          <w:sz w:val="26"/>
          <w:szCs w:val="26"/>
        </w:rPr>
        <w:t>Центр опережающей профессиональной подготовки как интегратор заказа работодателей и основных программ профессионального обучения, включая дополнительное профессиональное образование ветеранов СВО, людей предпенсионного возраста и высвобождаемых работников.</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sz w:val="26"/>
          <w:szCs w:val="26"/>
        </w:rPr>
        <w:t>—</w:t>
      </w:r>
      <w:r w:rsidR="00BF1EF3">
        <w:rPr>
          <w:rFonts w:ascii="Times New Roman" w:hAnsi="Times New Roman"/>
          <w:sz w:val="26"/>
          <w:szCs w:val="26"/>
        </w:rPr>
        <w:t xml:space="preserve"> </w:t>
      </w:r>
      <w:r w:rsidRPr="00BF1EF3">
        <w:rPr>
          <w:rFonts w:ascii="Times New Roman" w:hAnsi="Times New Roman"/>
          <w:color w:val="auto"/>
          <w:sz w:val="26"/>
          <w:szCs w:val="26"/>
        </w:rPr>
        <w:t>Фонд развития бизнеса, формирующий карту новых высокотехнологичных и высокопроизводительных рабочих мест в рамках реализуемых инвестиционных проектов (БРЕСТ-ОД-300, ОЭЗ «Томск», кластеры).</w:t>
      </w:r>
      <w:bookmarkEnd w:id="109"/>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Устойчивость системы обеспечивается за счет сетевого взаимодействия </w:t>
      </w:r>
      <w:r w:rsidR="00BF1EF3">
        <w:rPr>
          <w:rFonts w:ascii="Times New Roman" w:hAnsi="Times New Roman"/>
          <w:color w:val="auto"/>
          <w:sz w:val="26"/>
          <w:szCs w:val="26"/>
        </w:rPr>
        <w:br/>
      </w:r>
      <w:r w:rsidRPr="00BF1EF3">
        <w:rPr>
          <w:rFonts w:ascii="Times New Roman" w:hAnsi="Times New Roman"/>
          <w:color w:val="auto"/>
          <w:sz w:val="26"/>
          <w:szCs w:val="26"/>
        </w:rPr>
        <w:t xml:space="preserve">с вузами (ФГАОУ ВО «Национальный исследовательский Томский государственный университет», ФГАОУ ВО «Национальный исследовательский Томский политехнический университет», ФГАОУ ВО «Томский государственный университет систем управления и радиоэлектроники», </w:t>
      </w:r>
      <w:r w:rsidRPr="00BF1EF3">
        <w:rPr>
          <w:rFonts w:ascii="Times New Roman" w:eastAsia="Calibri" w:hAnsi="Times New Roman"/>
          <w:color w:val="auto"/>
          <w:sz w:val="26"/>
          <w:szCs w:val="26"/>
        </w:rPr>
        <w:t>ФГБОУ ВО «Сибирский государственный медицинский университет» Министерства здравоохранения Российской Федерации</w:t>
      </w:r>
      <w:r w:rsidRPr="00BF1EF3">
        <w:rPr>
          <w:rFonts w:ascii="Times New Roman" w:hAnsi="Times New Roman"/>
          <w:color w:val="auto"/>
          <w:sz w:val="26"/>
          <w:szCs w:val="26"/>
        </w:rPr>
        <w:t>), организациями СПО и работодателями через механизмы целевого обучения, стажировок и создания базовых кафедр, а также через программный комплекс «Цифровой двойник студента».</w:t>
      </w:r>
    </w:p>
    <w:p w:rsidR="00E618FE" w:rsidRPr="00535A4B" w:rsidRDefault="00800098">
      <w:pPr>
        <w:pStyle w:val="41"/>
        <w:rPr>
          <w:rFonts w:ascii="Times New Roman" w:hAnsi="Times New Roman"/>
          <w:b w:val="0"/>
          <w:bCs/>
          <w:i/>
          <w:iCs/>
          <w:lang w:val="ru-RU" w:eastAsia="ar-SA"/>
        </w:rPr>
      </w:pPr>
      <w:r w:rsidRPr="00535A4B">
        <w:rPr>
          <w:rFonts w:ascii="Times New Roman" w:hAnsi="Times New Roman"/>
          <w:bCs/>
          <w:lang w:val="ru-RU" w:eastAsia="ar-SA"/>
        </w:rPr>
        <w:t>Задачи:</w:t>
      </w:r>
    </w:p>
    <w:p w:rsidR="00E618FE" w:rsidRPr="00535A4B" w:rsidRDefault="00800098">
      <w:pPr>
        <w:pStyle w:val="a4"/>
        <w:ind w:firstLine="708"/>
        <w:rPr>
          <w:rFonts w:ascii="Times New Roman" w:eastAsia="Calibri" w:hAnsi="Times New Roman"/>
          <w:bCs/>
          <w:iCs/>
          <w:color w:val="auto"/>
        </w:rPr>
      </w:pPr>
      <w:bookmarkStart w:id="110" w:name="_Hlk235808831"/>
      <w:r w:rsidRPr="00535A4B">
        <w:rPr>
          <w:rFonts w:ascii="Times New Roman" w:eastAsia="Calibri" w:hAnsi="Times New Roman"/>
          <w:b/>
          <w:iCs/>
          <w:color w:val="auto"/>
        </w:rPr>
        <w:t xml:space="preserve">Задача 1.5.1. Сформировать систему долгосрочного прогнозирования кадровой потребности и синхронизировать </w:t>
      </w:r>
      <w:r w:rsidRPr="00535A4B">
        <w:rPr>
          <w:rFonts w:ascii="Times New Roman" w:eastAsia="Calibri" w:hAnsi="Times New Roman"/>
          <w:b/>
          <w:iCs/>
          <w:color w:val="auto"/>
        </w:rPr>
        <w:br/>
        <w:t>ее с планами подготовки кадров и инвестиционной политикой региона.</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Ключевые направления и механизмы реализации: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ежегодная актуализация прогноза кадровой потребности в разрезе видов экономической деятельности и профессионально-квалификационных групп;</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 синхронизация контрольных цифр приема по программам профессиональной подготовки (СПО, высшего образования) и переподготовки </w:t>
      </w:r>
      <w:r w:rsidR="00BF1EF3">
        <w:rPr>
          <w:rFonts w:ascii="Times New Roman" w:hAnsi="Times New Roman"/>
          <w:color w:val="auto"/>
          <w:sz w:val="26"/>
          <w:szCs w:val="26"/>
        </w:rPr>
        <w:br/>
      </w:r>
      <w:r w:rsidRPr="00BF1EF3">
        <w:rPr>
          <w:rFonts w:ascii="Times New Roman" w:hAnsi="Times New Roman"/>
          <w:color w:val="auto"/>
          <w:sz w:val="26"/>
          <w:szCs w:val="26"/>
        </w:rPr>
        <w:t xml:space="preserve">с приоритетными отраслями технологического лидерства и инвестиционными проектами. К таким отраслям относятся радиоэлектроника, микроэлектроника </w:t>
      </w:r>
      <w:r w:rsidR="00BF1EF3">
        <w:rPr>
          <w:rFonts w:ascii="Times New Roman" w:hAnsi="Times New Roman"/>
          <w:color w:val="auto"/>
          <w:sz w:val="26"/>
          <w:szCs w:val="26"/>
        </w:rPr>
        <w:br/>
      </w:r>
      <w:r w:rsidRPr="00BF1EF3">
        <w:rPr>
          <w:rFonts w:ascii="Times New Roman" w:hAnsi="Times New Roman"/>
          <w:color w:val="auto"/>
          <w:sz w:val="26"/>
          <w:szCs w:val="26"/>
        </w:rPr>
        <w:t xml:space="preserve">и беспилотные авиационные системы (БАС); химия новых материалов </w:t>
      </w:r>
      <w:r w:rsidR="00BF1EF3">
        <w:rPr>
          <w:rFonts w:ascii="Times New Roman" w:hAnsi="Times New Roman"/>
          <w:color w:val="auto"/>
          <w:sz w:val="26"/>
          <w:szCs w:val="26"/>
        </w:rPr>
        <w:br/>
      </w:r>
      <w:r w:rsidRPr="00BF1EF3">
        <w:rPr>
          <w:rFonts w:ascii="Times New Roman" w:hAnsi="Times New Roman"/>
          <w:color w:val="auto"/>
          <w:sz w:val="26"/>
          <w:szCs w:val="26"/>
        </w:rPr>
        <w:t xml:space="preserve">и малотоннажная химия; биотехнологии и биоэкономика; энергетика и атомные технологии (в кооперации с проектом «Прорыв»); искусственный интеллект </w:t>
      </w:r>
      <w:r w:rsidR="00BF1EF3">
        <w:rPr>
          <w:rFonts w:ascii="Times New Roman" w:hAnsi="Times New Roman"/>
          <w:color w:val="auto"/>
          <w:sz w:val="26"/>
          <w:szCs w:val="26"/>
        </w:rPr>
        <w:br/>
      </w:r>
      <w:r w:rsidRPr="00BF1EF3">
        <w:rPr>
          <w:rFonts w:ascii="Times New Roman" w:hAnsi="Times New Roman"/>
          <w:color w:val="auto"/>
          <w:sz w:val="26"/>
          <w:szCs w:val="26"/>
        </w:rPr>
        <w:t>и обработка больших данных;</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 внедрение проактивной модели информирования граждан </w:t>
      </w:r>
      <w:r w:rsidR="00BF1EF3">
        <w:rPr>
          <w:rFonts w:ascii="Times New Roman" w:hAnsi="Times New Roman"/>
          <w:color w:val="auto"/>
          <w:sz w:val="26"/>
          <w:szCs w:val="26"/>
        </w:rPr>
        <w:br/>
      </w:r>
      <w:r w:rsidRPr="00BF1EF3">
        <w:rPr>
          <w:rFonts w:ascii="Times New Roman" w:hAnsi="Times New Roman"/>
          <w:color w:val="auto"/>
          <w:sz w:val="26"/>
          <w:szCs w:val="26"/>
        </w:rPr>
        <w:t xml:space="preserve">о востребованных профессиях, перспективных компетенциях и доступных мерах поддержки занятости через Единую цифровую платформу «Работа России»; </w:t>
      </w:r>
    </w:p>
    <w:p w:rsidR="00E618FE" w:rsidRPr="00BF1EF3" w:rsidRDefault="00800098">
      <w:pPr>
        <w:pStyle w:val="a4"/>
        <w:ind w:firstLine="708"/>
        <w:rPr>
          <w:rFonts w:ascii="Times New Roman" w:eastAsia="Calibri" w:hAnsi="Times New Roman"/>
          <w:bCs/>
          <w:iCs/>
          <w:color w:val="auto"/>
          <w:sz w:val="26"/>
          <w:szCs w:val="26"/>
        </w:rPr>
      </w:pPr>
      <w:r w:rsidRPr="00BF1EF3">
        <w:rPr>
          <w:rFonts w:ascii="Times New Roman" w:hAnsi="Times New Roman"/>
          <w:color w:val="auto"/>
          <w:sz w:val="26"/>
          <w:szCs w:val="26"/>
        </w:rPr>
        <w:t>— повышение качества и доступности услуг службы занятости</w:t>
      </w:r>
      <w:r w:rsidR="00BF1EF3">
        <w:rPr>
          <w:rFonts w:ascii="Times New Roman" w:hAnsi="Times New Roman"/>
          <w:color w:val="auto"/>
          <w:sz w:val="26"/>
          <w:szCs w:val="26"/>
        </w:rPr>
        <w:t>; оказание полного цикла услуг –</w:t>
      </w:r>
      <w:r w:rsidRPr="00BF1EF3">
        <w:rPr>
          <w:rFonts w:ascii="Times New Roman" w:hAnsi="Times New Roman"/>
          <w:color w:val="auto"/>
          <w:sz w:val="26"/>
          <w:szCs w:val="26"/>
        </w:rPr>
        <w:t xml:space="preserve"> от профориентации до поддержки при трудоустройстве </w:t>
      </w:r>
      <w:r w:rsidR="00BF1EF3">
        <w:rPr>
          <w:rFonts w:ascii="Times New Roman" w:hAnsi="Times New Roman"/>
          <w:color w:val="auto"/>
          <w:sz w:val="26"/>
          <w:szCs w:val="26"/>
        </w:rPr>
        <w:br/>
      </w:r>
      <w:r w:rsidRPr="00BF1EF3">
        <w:rPr>
          <w:rFonts w:ascii="Times New Roman" w:hAnsi="Times New Roman"/>
          <w:color w:val="auto"/>
          <w:sz w:val="26"/>
          <w:szCs w:val="26"/>
        </w:rPr>
        <w:t>и</w:t>
      </w:r>
      <w:r w:rsidRPr="00BF1EF3">
        <w:rPr>
          <w:rFonts w:ascii="Times New Roman" w:eastAsia="Calibri" w:hAnsi="Times New Roman"/>
          <w:bCs/>
          <w:iCs/>
          <w:color w:val="auto"/>
          <w:sz w:val="26"/>
          <w:szCs w:val="26"/>
        </w:rPr>
        <w:t xml:space="preserve"> переобучении и повторного (многократного) входа на рынок труда. </w:t>
      </w:r>
    </w:p>
    <w:p w:rsidR="00BF1EF3" w:rsidRDefault="00BF1EF3">
      <w:pPr>
        <w:ind w:firstLine="708"/>
        <w:jc w:val="both"/>
        <w:rPr>
          <w:rFonts w:eastAsia="Calibri"/>
          <w:b/>
          <w:iCs/>
          <w:sz w:val="28"/>
          <w:szCs w:val="28"/>
        </w:rPr>
      </w:pPr>
    </w:p>
    <w:p w:rsidR="00F90C4C" w:rsidRDefault="00F90C4C">
      <w:pPr>
        <w:spacing w:after="160" w:line="259" w:lineRule="auto"/>
        <w:rPr>
          <w:rFonts w:eastAsia="Calibri"/>
          <w:b/>
          <w:iCs/>
          <w:sz w:val="28"/>
          <w:szCs w:val="28"/>
        </w:rPr>
      </w:pPr>
      <w:r>
        <w:rPr>
          <w:rFonts w:eastAsia="Calibri"/>
          <w:b/>
          <w:iCs/>
          <w:sz w:val="28"/>
          <w:szCs w:val="28"/>
        </w:rPr>
        <w:br w:type="page"/>
      </w:r>
    </w:p>
    <w:p w:rsidR="00E618FE" w:rsidRPr="00535A4B" w:rsidRDefault="00800098">
      <w:pPr>
        <w:ind w:firstLine="708"/>
        <w:jc w:val="both"/>
        <w:rPr>
          <w:rFonts w:eastAsia="Calibri"/>
          <w:b/>
          <w:iCs/>
          <w:sz w:val="28"/>
          <w:szCs w:val="28"/>
        </w:rPr>
      </w:pPr>
      <w:r w:rsidRPr="00535A4B">
        <w:rPr>
          <w:rFonts w:eastAsia="Calibri"/>
          <w:b/>
          <w:iCs/>
          <w:sz w:val="28"/>
          <w:szCs w:val="28"/>
        </w:rPr>
        <w:lastRenderedPageBreak/>
        <w:t xml:space="preserve">Задача 1.5.2. Обеспечить опережающую подготовку, переподготовку и повышение квалификации кадров в соответствии </w:t>
      </w:r>
      <w:r w:rsidRPr="00535A4B">
        <w:rPr>
          <w:rFonts w:eastAsia="Calibri"/>
          <w:b/>
          <w:iCs/>
          <w:sz w:val="28"/>
          <w:szCs w:val="28"/>
        </w:rPr>
        <w:br/>
        <w:t>с требованиями новой экономики и технологического суверенитета.</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Ключевые направления и механизмы реализации: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 масштабирование образовательных программ среднего профессионального образования в целях реализации федерального проекта «Профессионалитет» в соответствии с подпунктом а пункта 2 части 3 статьи 12 Закона об образовании и структурой паспорта национального проекта «Молодежь и дети» и целевого обучения по приоритетным направлениям (инженерно-технические рабочие профессии, медицинские специальности, ИТ-компетенции) </w:t>
      </w:r>
      <w:r w:rsidR="00BF1EF3">
        <w:rPr>
          <w:rFonts w:ascii="Times New Roman" w:hAnsi="Times New Roman"/>
          <w:color w:val="auto"/>
          <w:sz w:val="26"/>
          <w:szCs w:val="26"/>
        </w:rPr>
        <w:br/>
      </w:r>
      <w:r w:rsidRPr="00BF1EF3">
        <w:rPr>
          <w:rFonts w:ascii="Times New Roman" w:hAnsi="Times New Roman"/>
          <w:color w:val="auto"/>
          <w:sz w:val="26"/>
          <w:szCs w:val="26"/>
        </w:rPr>
        <w:t xml:space="preserve">с увеличением ежегодного целевого набора до не менее 1000 человек к 2030 году </w:t>
      </w:r>
      <w:r w:rsidR="00BF1EF3">
        <w:rPr>
          <w:rFonts w:ascii="Times New Roman" w:hAnsi="Times New Roman"/>
          <w:color w:val="auto"/>
          <w:sz w:val="26"/>
          <w:szCs w:val="26"/>
        </w:rPr>
        <w:br/>
      </w:r>
      <w:r w:rsidRPr="00BF1EF3">
        <w:rPr>
          <w:rFonts w:ascii="Times New Roman" w:hAnsi="Times New Roman"/>
          <w:color w:val="auto"/>
          <w:sz w:val="26"/>
          <w:szCs w:val="26"/>
        </w:rPr>
        <w:t>и 1500 человек к 2036 году;</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создание сети отраслевых «учебных фабрик» и полигонов на базе предприятий-лидеров (</w:t>
      </w:r>
      <w:bookmarkStart w:id="111" w:name="_Hlk231432482"/>
      <w:r w:rsidRPr="00BF1EF3">
        <w:rPr>
          <w:rFonts w:ascii="Times New Roman" w:hAnsi="Times New Roman"/>
          <w:color w:val="auto"/>
          <w:sz w:val="26"/>
          <w:szCs w:val="26"/>
        </w:rPr>
        <w:t xml:space="preserve">АО «СХК», АО «НПФ «Микран», АО «НИИПП», ООО «ИХТЦ», ГК «Томская домостроительная компания») </w:t>
      </w:r>
      <w:bookmarkEnd w:id="111"/>
      <w:r w:rsidRPr="00BF1EF3">
        <w:rPr>
          <w:rFonts w:ascii="Times New Roman" w:hAnsi="Times New Roman"/>
          <w:color w:val="auto"/>
          <w:sz w:val="26"/>
          <w:szCs w:val="26"/>
        </w:rPr>
        <w:t>для практико-ориентированного обучения и стажировок;</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 реализация программ профессионального обучения и дополнительных профессиональных программ для граждан старшего возраста, ветеранов СВО, лиц </w:t>
      </w:r>
      <w:r w:rsidR="00BF1EF3">
        <w:rPr>
          <w:rFonts w:ascii="Times New Roman" w:hAnsi="Times New Roman"/>
          <w:color w:val="auto"/>
          <w:sz w:val="26"/>
          <w:szCs w:val="26"/>
        </w:rPr>
        <w:br/>
        <w:t>с</w:t>
      </w:r>
      <w:r w:rsidRPr="00BF1EF3">
        <w:rPr>
          <w:rFonts w:ascii="Times New Roman" w:hAnsi="Times New Roman"/>
          <w:color w:val="auto"/>
          <w:sz w:val="26"/>
          <w:szCs w:val="26"/>
        </w:rPr>
        <w:t xml:space="preserve"> ограниченными возможностями здоровья и иных социально уязвимых групп </w:t>
      </w:r>
      <w:r w:rsidR="00BF1EF3">
        <w:rPr>
          <w:rFonts w:ascii="Times New Roman" w:hAnsi="Times New Roman"/>
          <w:color w:val="auto"/>
          <w:sz w:val="26"/>
          <w:szCs w:val="26"/>
        </w:rPr>
        <w:br/>
      </w:r>
      <w:r w:rsidRPr="00BF1EF3">
        <w:rPr>
          <w:rFonts w:ascii="Times New Roman" w:hAnsi="Times New Roman"/>
          <w:color w:val="auto"/>
          <w:sz w:val="26"/>
          <w:szCs w:val="26"/>
        </w:rPr>
        <w:t>с гарантией последующего трудоустройства;</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развитие системы непрерывного образования: обеспечение возможностей для занятых повышать свою квалификацию в течение трудовой жизни, осваивать новые компетенции в соответствии с запросами рынка труда;</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целевая подготовка для базовых отраслей: обеспечение устойчивого роста и развития традиционных секторов (нефтехимия, лесопромышленный комплекс, машиностроение, АПК)</w:t>
      </w:r>
      <w:r w:rsidRPr="00BF1EF3">
        <w:rPr>
          <w:rFonts w:ascii="Times New Roman" w:eastAsia="Calibri" w:hAnsi="Times New Roman"/>
          <w:bCs/>
          <w:iCs/>
          <w:color w:val="auto"/>
          <w:sz w:val="26"/>
          <w:szCs w:val="26"/>
        </w:rPr>
        <w:t>.</w:t>
      </w:r>
    </w:p>
    <w:p w:rsidR="00BF1EF3" w:rsidRDefault="00BF1EF3">
      <w:pPr>
        <w:ind w:firstLine="708"/>
        <w:jc w:val="both"/>
        <w:rPr>
          <w:rFonts w:eastAsia="Calibri"/>
          <w:b/>
          <w:iCs/>
          <w:sz w:val="28"/>
          <w:szCs w:val="28"/>
        </w:rPr>
      </w:pPr>
    </w:p>
    <w:p w:rsidR="00E618FE" w:rsidRPr="00535A4B" w:rsidRDefault="00800098">
      <w:pPr>
        <w:ind w:firstLine="708"/>
        <w:jc w:val="both"/>
        <w:rPr>
          <w:rFonts w:eastAsia="Calibri"/>
          <w:b/>
          <w:iCs/>
          <w:sz w:val="28"/>
          <w:szCs w:val="28"/>
        </w:rPr>
      </w:pPr>
      <w:r w:rsidRPr="00535A4B">
        <w:rPr>
          <w:rFonts w:eastAsia="Calibri"/>
          <w:b/>
          <w:iCs/>
          <w:sz w:val="28"/>
          <w:szCs w:val="28"/>
        </w:rPr>
        <w:t>Задача 1.5.3. Создать условия для удержания и привлечения молодежи, высококвалифицированных специалистов и их закрепления на территории Томской области.</w:t>
      </w:r>
    </w:p>
    <w:p w:rsidR="00E618FE" w:rsidRPr="00BF1EF3" w:rsidRDefault="00800098">
      <w:pPr>
        <w:pStyle w:val="a4"/>
        <w:ind w:firstLine="708"/>
        <w:rPr>
          <w:rFonts w:ascii="Times New Roman" w:hAnsi="Times New Roman"/>
          <w:color w:val="auto"/>
          <w:sz w:val="26"/>
          <w:szCs w:val="26"/>
        </w:rPr>
      </w:pPr>
      <w:r w:rsidRPr="00BF1EF3">
        <w:rPr>
          <w:rFonts w:ascii="Times New Roman" w:eastAsia="Calibri" w:hAnsi="Times New Roman"/>
          <w:bCs/>
          <w:iCs/>
          <w:color w:val="auto"/>
          <w:sz w:val="26"/>
          <w:szCs w:val="26"/>
        </w:rPr>
        <w:t xml:space="preserve">Ключевые направления и </w:t>
      </w:r>
      <w:r w:rsidRPr="00BF1EF3">
        <w:rPr>
          <w:rFonts w:ascii="Times New Roman" w:hAnsi="Times New Roman"/>
          <w:color w:val="auto"/>
          <w:sz w:val="26"/>
          <w:szCs w:val="26"/>
        </w:rPr>
        <w:t>механизмы реализации: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разработка и реализация региональ</w:t>
      </w:r>
      <w:r w:rsidR="00BF1EF3">
        <w:rPr>
          <w:rFonts w:ascii="Times New Roman" w:hAnsi="Times New Roman"/>
          <w:color w:val="auto"/>
          <w:sz w:val="26"/>
          <w:szCs w:val="26"/>
        </w:rPr>
        <w:t>ной программы «Томская область –</w:t>
      </w:r>
      <w:r w:rsidRPr="00BF1EF3">
        <w:rPr>
          <w:rFonts w:ascii="Times New Roman" w:hAnsi="Times New Roman"/>
          <w:color w:val="auto"/>
          <w:sz w:val="26"/>
          <w:szCs w:val="26"/>
        </w:rPr>
        <w:t xml:space="preserve"> территория карьеры», включающей жилищную поддержку (льготная аренда, субсидирование ипотечного взноса, развитие субсидируемых жилищных программ для молодых исследователей и других талантов), социальную инфраструктуру </w:t>
      </w:r>
      <w:r w:rsidR="00BF1EF3">
        <w:rPr>
          <w:rFonts w:ascii="Times New Roman" w:hAnsi="Times New Roman"/>
          <w:color w:val="auto"/>
          <w:sz w:val="26"/>
          <w:szCs w:val="26"/>
        </w:rPr>
        <w:br/>
      </w:r>
      <w:r w:rsidRPr="00BF1EF3">
        <w:rPr>
          <w:rFonts w:ascii="Times New Roman" w:hAnsi="Times New Roman"/>
          <w:color w:val="auto"/>
          <w:sz w:val="26"/>
          <w:szCs w:val="26"/>
        </w:rPr>
        <w:t>и карьерное сопровождение выпускников вузов и СПО;</w:t>
      </w:r>
    </w:p>
    <w:p w:rsidR="00E618FE" w:rsidRPr="00BF1EF3" w:rsidRDefault="00800098">
      <w:pPr>
        <w:ind w:firstLine="709"/>
        <w:jc w:val="both"/>
        <w:rPr>
          <w:sz w:val="26"/>
          <w:szCs w:val="26"/>
          <w:lang w:eastAsia="ar-SA"/>
        </w:rPr>
      </w:pPr>
      <w:r w:rsidRPr="00BF1EF3">
        <w:rPr>
          <w:rStyle w:val="afb"/>
          <w:rFonts w:ascii="Times New Roman" w:hAnsi="Times New Roman"/>
          <w:sz w:val="26"/>
          <w:szCs w:val="26"/>
        </w:rPr>
        <w:t>— </w:t>
      </w:r>
      <w:r w:rsidRPr="00BF1EF3">
        <w:rPr>
          <w:sz w:val="26"/>
          <w:szCs w:val="26"/>
          <w:lang w:eastAsia="ar-SA"/>
        </w:rPr>
        <w:t xml:space="preserve">соинвестирование из средств федерального и регионального бюджетов </w:t>
      </w:r>
      <w:r w:rsidR="00BF1EF3">
        <w:rPr>
          <w:sz w:val="26"/>
          <w:szCs w:val="26"/>
          <w:lang w:eastAsia="ar-SA"/>
        </w:rPr>
        <w:br/>
      </w:r>
      <w:r w:rsidRPr="00BF1EF3">
        <w:rPr>
          <w:sz w:val="26"/>
          <w:szCs w:val="26"/>
          <w:lang w:eastAsia="ar-SA"/>
        </w:rPr>
        <w:t>в программы развития коммунальной, инженерной, транспортной инфраструктуры приоритетных жилищных проектов;</w:t>
      </w:r>
    </w:p>
    <w:p w:rsidR="00E618FE" w:rsidRPr="00BF1EF3" w:rsidRDefault="00800098">
      <w:pPr>
        <w:ind w:firstLine="709"/>
        <w:jc w:val="both"/>
        <w:rPr>
          <w:sz w:val="26"/>
          <w:szCs w:val="26"/>
          <w:lang w:eastAsia="ar-SA"/>
        </w:rPr>
      </w:pPr>
      <w:r w:rsidRPr="00BF1EF3">
        <w:rPr>
          <w:rStyle w:val="afb"/>
          <w:rFonts w:ascii="Times New Roman" w:hAnsi="Times New Roman"/>
          <w:sz w:val="26"/>
          <w:szCs w:val="26"/>
        </w:rPr>
        <w:t>—</w:t>
      </w:r>
      <w:r w:rsidR="00BF1EF3">
        <w:rPr>
          <w:rStyle w:val="afb"/>
          <w:rFonts w:ascii="Times New Roman" w:hAnsi="Times New Roman"/>
          <w:sz w:val="26"/>
          <w:szCs w:val="26"/>
        </w:rPr>
        <w:t xml:space="preserve"> </w:t>
      </w:r>
      <w:r w:rsidRPr="00BF1EF3">
        <w:rPr>
          <w:sz w:val="26"/>
          <w:szCs w:val="26"/>
          <w:lang w:eastAsia="ar-SA"/>
        </w:rPr>
        <w:t>развитие социальной и транспортной инфраструктуры для жилищных проектов, реализуемых вблизи от основных высокотехнологических и научно-образовательных кластеров;</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формирование реестра ответственных работодателей региона, гарантирующих достойный уровень оплаты труда, социальный пакет и возможности карьерного роста, с одновременным проведением ярмарок вакансий и карьерных дней в университетах Томска;</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lastRenderedPageBreak/>
        <w:t>—</w:t>
      </w:r>
      <w:r w:rsidR="00BF1EF3">
        <w:rPr>
          <w:rFonts w:ascii="Times New Roman" w:hAnsi="Times New Roman"/>
          <w:color w:val="auto"/>
          <w:sz w:val="26"/>
          <w:szCs w:val="26"/>
        </w:rPr>
        <w:t xml:space="preserve"> </w:t>
      </w:r>
      <w:r w:rsidRPr="00BF1EF3">
        <w:rPr>
          <w:rFonts w:ascii="Times New Roman" w:hAnsi="Times New Roman"/>
          <w:color w:val="auto"/>
          <w:sz w:val="26"/>
          <w:szCs w:val="26"/>
        </w:rPr>
        <w:t>повышение престижности рабочих и инженерных профессий: системная профориентационная работа с учащимися и студентами для популяризации востребованных профессий и специальностей;</w:t>
      </w:r>
    </w:p>
    <w:p w:rsidR="00E618FE" w:rsidRPr="00BF1EF3" w:rsidRDefault="00800098">
      <w:pPr>
        <w:pStyle w:val="a4"/>
        <w:ind w:firstLine="708"/>
        <w:rPr>
          <w:rFonts w:ascii="Times New Roman" w:eastAsia="Calibri" w:hAnsi="Times New Roman"/>
          <w:bCs/>
          <w:iCs/>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реализация мер по снижению миграционного оттока молодежи, включая программу «Возвращение на малую родину» с паке</w:t>
      </w:r>
      <w:r w:rsidRPr="00BF1EF3">
        <w:rPr>
          <w:rFonts w:ascii="Times New Roman" w:eastAsia="Calibri" w:hAnsi="Times New Roman"/>
          <w:bCs/>
          <w:iCs/>
          <w:color w:val="auto"/>
          <w:sz w:val="26"/>
          <w:szCs w:val="26"/>
        </w:rPr>
        <w:t>том адресных мер поддержки</w:t>
      </w:r>
      <w:r w:rsidRPr="00BF1EF3">
        <w:rPr>
          <w:rFonts w:ascii="Times New Roman" w:hAnsi="Times New Roman"/>
          <w:color w:val="auto"/>
          <w:sz w:val="26"/>
          <w:szCs w:val="26"/>
        </w:rPr>
        <w:t xml:space="preserve"> </w:t>
      </w:r>
      <w:r w:rsidR="00BF1EF3">
        <w:rPr>
          <w:rFonts w:ascii="Times New Roman" w:hAnsi="Times New Roman"/>
          <w:color w:val="auto"/>
          <w:sz w:val="26"/>
          <w:szCs w:val="26"/>
        </w:rPr>
        <w:br/>
      </w:r>
      <w:r w:rsidRPr="00BF1EF3">
        <w:rPr>
          <w:rFonts w:ascii="Times New Roman" w:hAnsi="Times New Roman"/>
          <w:color w:val="auto"/>
          <w:sz w:val="26"/>
          <w:szCs w:val="26"/>
        </w:rPr>
        <w:t xml:space="preserve">для специалистов, ранее выехавших в другие регионы; </w:t>
      </w:r>
    </w:p>
    <w:p w:rsidR="00E618FE" w:rsidRPr="00BF1EF3" w:rsidRDefault="00800098">
      <w:pPr>
        <w:pStyle w:val="a4"/>
        <w:ind w:firstLine="708"/>
        <w:rPr>
          <w:rFonts w:ascii="Times New Roman" w:eastAsia="Calibri" w:hAnsi="Times New Roman"/>
          <w:bCs/>
          <w:iCs/>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 xml:space="preserve">создание правовых, организационных и социально-экономических, информационных условий, способствующих добровольному переселению соотечественников, проживающих за рубежом, в Томскую область </w:t>
      </w:r>
      <w:r w:rsidRPr="00BF1EF3">
        <w:rPr>
          <w:rFonts w:ascii="Times New Roman" w:hAnsi="Times New Roman"/>
          <w:color w:val="auto"/>
          <w:sz w:val="26"/>
          <w:szCs w:val="26"/>
        </w:rPr>
        <w:br/>
        <w:t xml:space="preserve">для постоянного проживания, быстрому их включению в трудовые </w:t>
      </w:r>
      <w:r w:rsidRPr="00BF1EF3">
        <w:rPr>
          <w:rFonts w:ascii="Times New Roman" w:hAnsi="Times New Roman"/>
          <w:color w:val="auto"/>
          <w:sz w:val="26"/>
          <w:szCs w:val="26"/>
        </w:rPr>
        <w:br/>
        <w:t>и социальные связи региона;</w:t>
      </w:r>
    </w:p>
    <w:p w:rsidR="00E618FE" w:rsidRPr="00BF1EF3" w:rsidRDefault="00800098">
      <w:pPr>
        <w:pStyle w:val="a4"/>
        <w:ind w:firstLine="708"/>
        <w:rPr>
          <w:rFonts w:ascii="Times New Roman" w:eastAsia="Calibri" w:hAnsi="Times New Roman"/>
          <w:bCs/>
          <w:iCs/>
          <w:color w:val="auto"/>
          <w:sz w:val="26"/>
          <w:szCs w:val="26"/>
        </w:rPr>
      </w:pPr>
      <w:r w:rsidRPr="00BF1EF3">
        <w:rPr>
          <w:rFonts w:ascii="Times New Roman" w:hAnsi="Times New Roman"/>
          <w:color w:val="auto"/>
          <w:sz w:val="26"/>
          <w:szCs w:val="26"/>
        </w:rPr>
        <w:t>— оказание особого внимания интеграции в рынок труда социально</w:t>
      </w:r>
      <w:r w:rsidR="00BF1EF3">
        <w:rPr>
          <w:rFonts w:ascii="Times New Roman" w:hAnsi="Times New Roman"/>
          <w:color w:val="auto"/>
          <w:sz w:val="26"/>
          <w:szCs w:val="26"/>
        </w:rPr>
        <w:t xml:space="preserve"> уязвимых групп: для инвалидов –</w:t>
      </w:r>
      <w:r w:rsidRPr="00BF1EF3">
        <w:rPr>
          <w:rFonts w:ascii="Times New Roman" w:hAnsi="Times New Roman"/>
          <w:color w:val="auto"/>
          <w:sz w:val="26"/>
          <w:szCs w:val="26"/>
        </w:rPr>
        <w:t xml:space="preserve"> квотирование рабочих мест, субсидирование создания специальных рабочих мест, сопровождение п</w:t>
      </w:r>
      <w:r w:rsidR="00BF1EF3">
        <w:rPr>
          <w:rFonts w:ascii="Times New Roman" w:hAnsi="Times New Roman"/>
          <w:color w:val="auto"/>
          <w:sz w:val="26"/>
          <w:szCs w:val="26"/>
        </w:rPr>
        <w:t>ри трудоустройстве; для женщин –</w:t>
      </w:r>
      <w:r w:rsidRPr="00BF1EF3">
        <w:rPr>
          <w:rFonts w:ascii="Times New Roman" w:hAnsi="Times New Roman"/>
          <w:color w:val="auto"/>
          <w:sz w:val="26"/>
          <w:szCs w:val="26"/>
        </w:rPr>
        <w:t xml:space="preserve"> программы возврата в профессию после отпуска по уходу за ребенком (декретного отпуска), развитие женского технологического предпринимательства </w:t>
      </w:r>
      <w:r w:rsidR="00BF1EF3">
        <w:rPr>
          <w:rFonts w:ascii="Times New Roman" w:hAnsi="Times New Roman"/>
          <w:color w:val="auto"/>
          <w:sz w:val="26"/>
          <w:szCs w:val="26"/>
        </w:rPr>
        <w:br/>
      </w:r>
      <w:r w:rsidRPr="00BF1EF3">
        <w:rPr>
          <w:rFonts w:ascii="Times New Roman" w:hAnsi="Times New Roman"/>
          <w:color w:val="auto"/>
          <w:sz w:val="26"/>
          <w:szCs w:val="26"/>
        </w:rPr>
        <w:t xml:space="preserve">и продвижение историй успеха мам с детьми, целевые квоты на обучение востребованным специальностям; </w:t>
      </w:r>
      <w:r w:rsidR="00BF1EF3">
        <w:rPr>
          <w:rFonts w:ascii="Times New Roman" w:hAnsi="Times New Roman"/>
          <w:color w:val="auto"/>
          <w:sz w:val="26"/>
          <w:szCs w:val="26"/>
        </w:rPr>
        <w:t>для граждан старше 50 лет –</w:t>
      </w:r>
      <w:r w:rsidRPr="00BF1EF3">
        <w:rPr>
          <w:rFonts w:ascii="Times New Roman" w:hAnsi="Times New Roman"/>
          <w:color w:val="auto"/>
          <w:sz w:val="26"/>
          <w:szCs w:val="26"/>
        </w:rPr>
        <w:t xml:space="preserve"> программы дополнительного профессионального образования под компетенции «серебряной экономики» (уход, сервис, наставничество), стимулирование гибких форм занятости и гибридных графиков работы.</w:t>
      </w:r>
    </w:p>
    <w:p w:rsidR="00BF1EF3" w:rsidRDefault="00BF1EF3">
      <w:pPr>
        <w:ind w:firstLine="708"/>
        <w:jc w:val="both"/>
        <w:rPr>
          <w:rFonts w:eastAsia="Calibri"/>
          <w:b/>
          <w:iCs/>
          <w:sz w:val="28"/>
          <w:szCs w:val="28"/>
        </w:rPr>
      </w:pPr>
    </w:p>
    <w:p w:rsidR="00E618FE" w:rsidRPr="00535A4B" w:rsidRDefault="00800098">
      <w:pPr>
        <w:ind w:firstLine="708"/>
        <w:jc w:val="both"/>
        <w:rPr>
          <w:rFonts w:eastAsia="Calibri"/>
          <w:bCs/>
          <w:iCs/>
          <w:sz w:val="28"/>
          <w:szCs w:val="28"/>
        </w:rPr>
      </w:pPr>
      <w:r w:rsidRPr="00535A4B">
        <w:rPr>
          <w:rFonts w:eastAsia="Calibri"/>
          <w:b/>
          <w:iCs/>
          <w:sz w:val="28"/>
          <w:szCs w:val="28"/>
        </w:rPr>
        <w:t>Задача 1.5.4. Повысить качество рабочих мест и уровень производительности труда</w:t>
      </w:r>
      <w:r w:rsidRPr="00535A4B">
        <w:rPr>
          <w:rFonts w:eastAsia="Calibri"/>
          <w:bCs/>
          <w:iCs/>
          <w:sz w:val="28"/>
          <w:szCs w:val="28"/>
        </w:rPr>
        <w:t>.</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Ключевые направления и механизмы реализации: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внедрение 17 отраслевых программ по повышению производительности труда в реальном секторе экономики и социальной сфере;</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содействие работодателям в проведении специальной оценки условий труда, модернизации рабочих мест и снижении доли занятых во вредных и опасных условиях труда.</w:t>
      </w:r>
    </w:p>
    <w:p w:rsidR="00E618FE" w:rsidRPr="00535A4B" w:rsidRDefault="00E618FE">
      <w:pPr>
        <w:spacing w:after="160" w:line="259" w:lineRule="auto"/>
        <w:rPr>
          <w:rFonts w:eastAsia="Calibri"/>
          <w:b/>
          <w:iCs/>
          <w:sz w:val="28"/>
          <w:szCs w:val="28"/>
        </w:rPr>
      </w:pPr>
    </w:p>
    <w:p w:rsidR="00E618FE" w:rsidRPr="00535A4B" w:rsidRDefault="00800098">
      <w:pPr>
        <w:ind w:firstLine="708"/>
        <w:jc w:val="both"/>
        <w:rPr>
          <w:rFonts w:eastAsia="Calibri"/>
          <w:b/>
          <w:iCs/>
          <w:sz w:val="28"/>
          <w:szCs w:val="28"/>
        </w:rPr>
      </w:pPr>
      <w:r w:rsidRPr="00535A4B">
        <w:rPr>
          <w:rFonts w:eastAsia="Calibri"/>
          <w:b/>
          <w:iCs/>
          <w:sz w:val="28"/>
          <w:szCs w:val="28"/>
        </w:rPr>
        <w:t>Задача 1.5.5. Снизить территориальную и структурную дифференциацию на рынке труда, обеспечить занятость в малых городах и сельских территориях.</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Ключевые направления и механизмы реализации: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 xml:space="preserve">развитие гибких форм занятости, включая дистанционную, вахтовую </w:t>
      </w:r>
      <w:r w:rsidR="00BF1EF3">
        <w:rPr>
          <w:rFonts w:ascii="Times New Roman" w:hAnsi="Times New Roman"/>
          <w:color w:val="auto"/>
          <w:sz w:val="26"/>
          <w:szCs w:val="26"/>
        </w:rPr>
        <w:br/>
      </w:r>
      <w:r w:rsidRPr="00BF1EF3">
        <w:rPr>
          <w:rFonts w:ascii="Times New Roman" w:hAnsi="Times New Roman"/>
          <w:color w:val="auto"/>
          <w:sz w:val="26"/>
          <w:szCs w:val="26"/>
        </w:rPr>
        <w:t>и проектную занятость, для увеличения трудовой мобильности жителей удаленных и северных районов;</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 xml:space="preserve">реализация программ профессиональной переподготовки </w:t>
      </w:r>
      <w:r w:rsidRPr="00BF1EF3">
        <w:rPr>
          <w:rFonts w:ascii="Times New Roman" w:hAnsi="Times New Roman"/>
          <w:color w:val="auto"/>
          <w:sz w:val="26"/>
          <w:szCs w:val="26"/>
        </w:rPr>
        <w:br/>
        <w:t xml:space="preserve">и субсидируемого трудоустройства в новых точках экономического роста </w:t>
      </w:r>
      <w:r w:rsidRPr="00BF1EF3">
        <w:rPr>
          <w:rFonts w:ascii="Times New Roman" w:hAnsi="Times New Roman"/>
          <w:color w:val="auto"/>
          <w:sz w:val="26"/>
          <w:szCs w:val="26"/>
        </w:rPr>
        <w:br/>
        <w:t>в муниципальных образованиях (ООО «Асиновский завод МДФ», лесопереработка в Каргасокском районе, АПК в Кожевниковском районе);</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 xml:space="preserve">поддержка малого и среднего предпринимательства в сегменте услуг, креативных индустрий и туризма как драйверов создания новых рабочих мест </w:t>
      </w:r>
      <w:r w:rsidR="00BF1EF3">
        <w:rPr>
          <w:rFonts w:ascii="Times New Roman" w:hAnsi="Times New Roman"/>
          <w:color w:val="auto"/>
          <w:sz w:val="26"/>
          <w:szCs w:val="26"/>
        </w:rPr>
        <w:br/>
      </w:r>
      <w:r w:rsidRPr="00BF1EF3">
        <w:rPr>
          <w:rFonts w:ascii="Times New Roman" w:hAnsi="Times New Roman"/>
          <w:color w:val="auto"/>
          <w:sz w:val="26"/>
          <w:szCs w:val="26"/>
        </w:rPr>
        <w:t>вне Томской агломерации;</w:t>
      </w:r>
    </w:p>
    <w:p w:rsidR="00E618FE" w:rsidRPr="00BF1EF3" w:rsidRDefault="00800098">
      <w:pPr>
        <w:pStyle w:val="a4"/>
        <w:ind w:firstLine="708"/>
        <w:rPr>
          <w:rFonts w:ascii="Times New Roman" w:eastAsia="Calibri" w:hAnsi="Times New Roman"/>
          <w:bCs/>
          <w:iCs/>
          <w:color w:val="auto"/>
          <w:sz w:val="26"/>
          <w:szCs w:val="26"/>
        </w:rPr>
      </w:pPr>
      <w:r w:rsidRPr="00BF1EF3">
        <w:rPr>
          <w:rFonts w:ascii="Times New Roman" w:hAnsi="Times New Roman"/>
          <w:color w:val="auto"/>
          <w:sz w:val="26"/>
          <w:szCs w:val="26"/>
        </w:rPr>
        <w:t>—</w:t>
      </w:r>
      <w:r w:rsidR="00BF1EF3">
        <w:rPr>
          <w:rFonts w:ascii="Times New Roman" w:hAnsi="Times New Roman"/>
          <w:color w:val="auto"/>
          <w:sz w:val="26"/>
          <w:szCs w:val="26"/>
        </w:rPr>
        <w:t xml:space="preserve"> </w:t>
      </w:r>
      <w:r w:rsidRPr="00BF1EF3">
        <w:rPr>
          <w:rFonts w:ascii="Times New Roman" w:hAnsi="Times New Roman"/>
          <w:color w:val="auto"/>
          <w:sz w:val="26"/>
          <w:szCs w:val="26"/>
        </w:rPr>
        <w:t xml:space="preserve">развитие внутрирегиональной трудовой маятниковой миграции, </w:t>
      </w:r>
      <w:r w:rsidRPr="00BF1EF3">
        <w:rPr>
          <w:rFonts w:ascii="Times New Roman" w:hAnsi="Times New Roman"/>
          <w:color w:val="auto"/>
          <w:sz w:val="26"/>
          <w:szCs w:val="26"/>
        </w:rPr>
        <w:br/>
        <w:t xml:space="preserve">в том числе через совершенствование маршрутной сети общественного транспорта </w:t>
      </w:r>
      <w:r w:rsidRPr="00BF1EF3">
        <w:rPr>
          <w:rFonts w:ascii="Times New Roman" w:hAnsi="Times New Roman"/>
          <w:color w:val="auto"/>
          <w:sz w:val="26"/>
          <w:szCs w:val="26"/>
        </w:rPr>
        <w:lastRenderedPageBreak/>
        <w:t>и предоставление компенсации транспортных расходов для работников социальной сферы в се</w:t>
      </w:r>
      <w:r w:rsidRPr="00BF1EF3">
        <w:rPr>
          <w:rFonts w:ascii="Times New Roman" w:eastAsia="Calibri" w:hAnsi="Times New Roman"/>
          <w:bCs/>
          <w:iCs/>
          <w:color w:val="auto"/>
          <w:sz w:val="26"/>
          <w:szCs w:val="26"/>
        </w:rPr>
        <w:t>льской местности.</w:t>
      </w:r>
      <w:bookmarkEnd w:id="110"/>
    </w:p>
    <w:p w:rsidR="00BF1EF3" w:rsidRDefault="00BF1EF3">
      <w:pPr>
        <w:ind w:firstLine="708"/>
        <w:jc w:val="both"/>
        <w:rPr>
          <w:rFonts w:eastAsia="Calibri"/>
          <w:b/>
          <w:iCs/>
          <w:sz w:val="28"/>
          <w:szCs w:val="28"/>
        </w:rPr>
      </w:pPr>
    </w:p>
    <w:p w:rsidR="00E618FE" w:rsidRPr="00535A4B" w:rsidRDefault="00800098">
      <w:pPr>
        <w:ind w:firstLine="708"/>
        <w:jc w:val="both"/>
        <w:rPr>
          <w:rFonts w:eastAsia="Calibri"/>
          <w:b/>
          <w:iCs/>
          <w:sz w:val="28"/>
          <w:szCs w:val="28"/>
        </w:rPr>
      </w:pPr>
      <w:r w:rsidRPr="00535A4B">
        <w:rPr>
          <w:rFonts w:eastAsia="Calibri"/>
          <w:b/>
          <w:iCs/>
          <w:sz w:val="28"/>
          <w:szCs w:val="28"/>
        </w:rPr>
        <w:t>Задача 1.5.6. Повысить уровень жизни населения.</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Ключевые направления и механизмы реализации: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обеспечение внедрения новых систем оплаты труда работников государственных и муниципальных организаций в целях обеспечения роста доходов работников бюджетного сектора экономики;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стимулирование роста заработной платы во внебюджетном секторе за счет повышения производительности и технологической модернизации;</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повышение оплаты труда работников за счет снижения количества низкоквалифицированных и низкооплачиваемых рабочих мест;</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xml:space="preserve">— повышение гибкости трудовых отношений в экономике, в частности расширение возможности сверхурочной работы и рабочих мест для молодежи, снятие излишних ограничений на работу женщин по отдельным профессиям </w:t>
      </w:r>
      <w:r w:rsidR="00BF1EF3">
        <w:rPr>
          <w:rFonts w:ascii="Times New Roman" w:hAnsi="Times New Roman"/>
          <w:color w:val="auto"/>
          <w:sz w:val="26"/>
          <w:szCs w:val="26"/>
        </w:rPr>
        <w:br/>
      </w:r>
      <w:r w:rsidRPr="00BF1EF3">
        <w:rPr>
          <w:rFonts w:ascii="Times New Roman" w:hAnsi="Times New Roman"/>
          <w:color w:val="auto"/>
          <w:sz w:val="26"/>
          <w:szCs w:val="26"/>
        </w:rPr>
        <w:t>и другое;</w:t>
      </w:r>
    </w:p>
    <w:p w:rsidR="00E618FE" w:rsidRPr="00BF1EF3" w:rsidRDefault="00800098">
      <w:pPr>
        <w:pStyle w:val="a4"/>
        <w:ind w:firstLine="708"/>
        <w:rPr>
          <w:rFonts w:ascii="Times New Roman" w:hAnsi="Times New Roman"/>
          <w:color w:val="auto"/>
          <w:sz w:val="26"/>
          <w:szCs w:val="26"/>
        </w:rPr>
      </w:pPr>
      <w:r w:rsidRPr="00BF1EF3">
        <w:rPr>
          <w:rFonts w:ascii="Times New Roman" w:hAnsi="Times New Roman"/>
          <w:color w:val="auto"/>
          <w:sz w:val="26"/>
          <w:szCs w:val="26"/>
        </w:rPr>
        <w:t>— рост предпринимательских доходов, в том числе благодаря развитию альтернативных форм занятости населения.</w:t>
      </w:r>
    </w:p>
    <w:p w:rsidR="00E618FE" w:rsidRPr="00535A4B" w:rsidRDefault="00E618FE">
      <w:pPr>
        <w:spacing w:after="160" w:line="259" w:lineRule="auto"/>
        <w:rPr>
          <w:rFonts w:eastAsia="Calibri"/>
          <w:b/>
          <w:spacing w:val="24"/>
          <w:sz w:val="28"/>
          <w:szCs w:val="28"/>
        </w:rPr>
      </w:pPr>
    </w:p>
    <w:p w:rsidR="00E618FE" w:rsidRPr="00535A4B" w:rsidRDefault="00800098">
      <w:pPr>
        <w:pStyle w:val="41"/>
        <w:rPr>
          <w:rFonts w:ascii="Times New Roman" w:eastAsia="Calibri" w:hAnsi="Times New Roman"/>
          <w:b w:val="0"/>
          <w:i/>
          <w:lang w:val="ru-RU" w:eastAsia="ru-RU"/>
        </w:rPr>
      </w:pPr>
      <w:r w:rsidRPr="00535A4B">
        <w:rPr>
          <w:rFonts w:ascii="Times New Roman" w:eastAsia="Calibri" w:hAnsi="Times New Roman"/>
          <w:lang w:val="ru-RU" w:eastAsia="ru-RU"/>
        </w:rPr>
        <w:t>Целевые показатели:</w:t>
      </w:r>
    </w:p>
    <w:p w:rsidR="00E618FE" w:rsidRPr="00BF1EF3" w:rsidRDefault="00800098">
      <w:pPr>
        <w:pStyle w:val="aff"/>
        <w:rPr>
          <w:rFonts w:ascii="Times New Roman" w:eastAsia="Calibri" w:hAnsi="Times New Roman"/>
          <w:sz w:val="26"/>
          <w:szCs w:val="26"/>
          <w:lang w:val="ru-RU"/>
        </w:rPr>
      </w:pPr>
      <w:r w:rsidRPr="00BF1EF3">
        <w:rPr>
          <w:rFonts w:ascii="Times New Roman" w:eastAsia="Calibri" w:hAnsi="Times New Roman"/>
          <w:sz w:val="26"/>
          <w:szCs w:val="26"/>
          <w:lang w:val="ru-RU"/>
        </w:rPr>
        <w:t xml:space="preserve">Таблица 9.5.Целевые показатели Стратегического приоритета 1.5. «Занятость </w:t>
      </w:r>
      <w:r w:rsidR="00BF1EF3">
        <w:rPr>
          <w:rFonts w:ascii="Times New Roman" w:eastAsia="Calibri" w:hAnsi="Times New Roman"/>
          <w:sz w:val="26"/>
          <w:szCs w:val="26"/>
          <w:lang w:val="ru-RU"/>
        </w:rPr>
        <w:br/>
      </w:r>
      <w:r w:rsidRPr="00BF1EF3">
        <w:rPr>
          <w:rFonts w:ascii="Times New Roman" w:eastAsia="Calibri" w:hAnsi="Times New Roman"/>
          <w:sz w:val="26"/>
          <w:szCs w:val="26"/>
          <w:lang w:val="ru-RU"/>
        </w:rPr>
        <w:t>и повышение уровня жизни населения»</w:t>
      </w:r>
    </w:p>
    <w:tbl>
      <w:tblPr>
        <w:tblStyle w:val="-18"/>
        <w:tblW w:w="0" w:type="auto"/>
        <w:tblLook w:val="04A0" w:firstRow="1" w:lastRow="0" w:firstColumn="1" w:lastColumn="0" w:noHBand="0" w:noVBand="1"/>
      </w:tblPr>
      <w:tblGrid>
        <w:gridCol w:w="5747"/>
        <w:gridCol w:w="1143"/>
        <w:gridCol w:w="1114"/>
        <w:gridCol w:w="1341"/>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18FE" w:rsidRPr="00535A4B" w:rsidRDefault="00800098">
            <w:pPr>
              <w:jc w:val="center"/>
              <w:rPr>
                <w:rFonts w:eastAsia="Calibri"/>
                <w:iCs/>
              </w:rPr>
            </w:pPr>
            <w:r w:rsidRPr="00535A4B">
              <w:rPr>
                <w:rFonts w:eastAsia="Calibri"/>
                <w:b w:val="0"/>
                <w:bCs w:val="0"/>
                <w:iCs/>
              </w:rPr>
              <w:t>Показатели</w:t>
            </w:r>
          </w:p>
        </w:tc>
        <w:tc>
          <w:tcPr>
            <w:tcW w:w="11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rFonts w:eastAsia="Calibri"/>
                <w:iCs/>
              </w:rPr>
            </w:pPr>
            <w:r w:rsidRPr="00535A4B">
              <w:rPr>
                <w:rFonts w:eastAsia="Calibri"/>
                <w:b w:val="0"/>
                <w:bCs w:val="0"/>
                <w:iCs/>
              </w:rPr>
              <w:t>2025 г.</w:t>
            </w:r>
          </w:p>
        </w:tc>
        <w:tc>
          <w:tcPr>
            <w:tcW w:w="11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rFonts w:eastAsia="Calibri"/>
                <w:iCs/>
              </w:rPr>
            </w:pPr>
            <w:r w:rsidRPr="00535A4B">
              <w:rPr>
                <w:rFonts w:eastAsia="Calibri"/>
                <w:b w:val="0"/>
                <w:bCs w:val="0"/>
                <w:iCs/>
              </w:rPr>
              <w:t>2030 г.</w:t>
            </w:r>
          </w:p>
        </w:tc>
        <w:tc>
          <w:tcPr>
            <w:tcW w:w="13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rFonts w:eastAsia="Calibri"/>
                <w:iCs/>
              </w:rPr>
            </w:pPr>
            <w:r w:rsidRPr="00535A4B">
              <w:rPr>
                <w:rFonts w:eastAsia="Calibri"/>
                <w:b w:val="0"/>
                <w:bCs w:val="0"/>
                <w:iCs/>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Calibri"/>
                <w:b w:val="0"/>
                <w:bCs w:val="0"/>
                <w:iCs/>
              </w:rPr>
              <w:t>Уровень безработицы (по методологии МОТ), %</w:t>
            </w:r>
          </w:p>
        </w:tc>
        <w:tc>
          <w:tcPr>
            <w:tcW w:w="1122"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3,30</w:t>
            </w:r>
          </w:p>
        </w:tc>
        <w:tc>
          <w:tcPr>
            <w:tcW w:w="11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3,1</w:t>
            </w:r>
          </w:p>
        </w:tc>
        <w:tc>
          <w:tcPr>
            <w:tcW w:w="1343"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2,9</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Calibri"/>
                <w:b w:val="0"/>
                <w:bCs w:val="0"/>
                <w:iCs/>
              </w:rPr>
              <w:t>Численность занятых в экономике (в среднем за год), тыс. чел.</w:t>
            </w:r>
          </w:p>
        </w:tc>
        <w:tc>
          <w:tcPr>
            <w:tcW w:w="1122"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t>508,1 (оценка)</w:t>
            </w:r>
          </w:p>
        </w:tc>
        <w:tc>
          <w:tcPr>
            <w:tcW w:w="11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504,6</w:t>
            </w:r>
          </w:p>
        </w:tc>
        <w:tc>
          <w:tcPr>
            <w:tcW w:w="1343"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505,0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Calibri"/>
                <w:b w:val="0"/>
                <w:bCs w:val="0"/>
                <w:iCs/>
              </w:rPr>
              <w:t>Количество созданных рабочих мест (накопленным итогом с 2025 г.), тыс. ед.</w:t>
            </w:r>
          </w:p>
        </w:tc>
        <w:tc>
          <w:tcPr>
            <w:tcW w:w="1122"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w:t>
            </w:r>
          </w:p>
        </w:tc>
        <w:tc>
          <w:tcPr>
            <w:tcW w:w="11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16,00</w:t>
            </w:r>
          </w:p>
        </w:tc>
        <w:tc>
          <w:tcPr>
            <w:tcW w:w="1343"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45,00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Calibri"/>
                <w:b w:val="0"/>
                <w:bCs w:val="0"/>
                <w:iCs/>
              </w:rPr>
              <w:t>Доля выпускников инженерно-технических и IT-специальностей (из числа иногородних), трудоустроенных в Томской области через 3 года после выпуска, %</w:t>
            </w:r>
          </w:p>
        </w:tc>
        <w:tc>
          <w:tcPr>
            <w:tcW w:w="1122"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30,00</w:t>
            </w:r>
          </w:p>
        </w:tc>
        <w:tc>
          <w:tcPr>
            <w:tcW w:w="11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45,00</w:t>
            </w:r>
          </w:p>
        </w:tc>
        <w:tc>
          <w:tcPr>
            <w:tcW w:w="1343"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55,00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Theme="minorHAnsi"/>
                <w:b w:val="0"/>
              </w:rPr>
              <w:t>Темп роста (индекс роста) реального среднедушевого денежного дохода населения (к базовому году), %</w:t>
            </w:r>
          </w:p>
        </w:tc>
        <w:tc>
          <w:tcPr>
            <w:tcW w:w="112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127,1</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t>(базовый год 2020)</w:t>
            </w:r>
          </w:p>
        </w:tc>
        <w:tc>
          <w:tcPr>
            <w:tcW w:w="11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t>156,2</w:t>
            </w:r>
          </w:p>
        </w:tc>
        <w:tc>
          <w:tcPr>
            <w:tcW w:w="13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t>165,80</w:t>
            </w:r>
            <w:bookmarkEnd w:id="81"/>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Calibri"/>
                <w:b w:val="0"/>
                <w:bCs w:val="0"/>
                <w:iCs/>
              </w:rPr>
              <w:t>Среднемесячная номинальная начисленная заработная плата, тыс. руб.</w:t>
            </w:r>
          </w:p>
        </w:tc>
        <w:tc>
          <w:tcPr>
            <w:tcW w:w="1122"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89,50</w:t>
            </w:r>
          </w:p>
        </w:tc>
        <w:tc>
          <w:tcPr>
            <w:tcW w:w="11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118,00</w:t>
            </w:r>
          </w:p>
        </w:tc>
        <w:tc>
          <w:tcPr>
            <w:tcW w:w="1343"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165,00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Calibri"/>
                <w:b w:val="0"/>
                <w:bCs w:val="0"/>
                <w:iCs/>
              </w:rPr>
              <w:t xml:space="preserve">Реальная среднемесячная начисленная заработная плата работников </w:t>
            </w:r>
            <w:r w:rsidRPr="00535A4B">
              <w:rPr>
                <w:rFonts w:eastAsiaTheme="minorHAnsi"/>
                <w:b w:val="0"/>
                <w:bCs w:val="0"/>
              </w:rPr>
              <w:t>(в качестве базового принимается значение показателя за 2020 г.), %</w:t>
            </w:r>
          </w:p>
        </w:tc>
        <w:tc>
          <w:tcPr>
            <w:tcW w:w="1122"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121,80</w:t>
            </w:r>
          </w:p>
        </w:tc>
        <w:tc>
          <w:tcPr>
            <w:tcW w:w="11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144,30</w:t>
            </w:r>
          </w:p>
        </w:tc>
        <w:tc>
          <w:tcPr>
            <w:tcW w:w="1343"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171,30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Calibri"/>
                <w:b w:val="0"/>
                <w:bCs w:val="0"/>
                <w:iCs/>
              </w:rPr>
              <w:t>Численность участников программы переселения соотечественников и членов их семей, прибывших в Томскую область и поставленных на учет в УМВД России по Томской области, чел. (нарастающим итогом с 2016 г.)</w:t>
            </w:r>
            <w:r w:rsidRPr="00535A4B">
              <w:rPr>
                <w:b w:val="0"/>
                <w:bCs w:val="0"/>
              </w:rPr>
              <w:t xml:space="preserve"> </w:t>
            </w:r>
          </w:p>
        </w:tc>
        <w:tc>
          <w:tcPr>
            <w:tcW w:w="1122"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3411</w:t>
            </w:r>
          </w:p>
        </w:tc>
        <w:tc>
          <w:tcPr>
            <w:tcW w:w="11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3700</w:t>
            </w:r>
          </w:p>
        </w:tc>
        <w:tc>
          <w:tcPr>
            <w:tcW w:w="1343"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4000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6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Calibri"/>
                <w:iCs/>
              </w:rPr>
            </w:pPr>
            <w:r w:rsidRPr="00535A4B">
              <w:rPr>
                <w:rFonts w:eastAsiaTheme="minorHAnsi"/>
                <w:b w:val="0"/>
                <w:bCs w:val="0"/>
              </w:rPr>
              <w:t>Уровень бедности, %</w:t>
            </w:r>
          </w:p>
        </w:tc>
        <w:tc>
          <w:tcPr>
            <w:tcW w:w="112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t>8,7</w:t>
            </w:r>
          </w:p>
        </w:tc>
        <w:tc>
          <w:tcPr>
            <w:tcW w:w="11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t>7,4</w:t>
            </w:r>
          </w:p>
        </w:tc>
        <w:tc>
          <w:tcPr>
            <w:tcW w:w="134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t>6,1</w:t>
            </w:r>
          </w:p>
        </w:tc>
      </w:tr>
    </w:tbl>
    <w:p w:rsidR="00E618FE" w:rsidRPr="00535A4B" w:rsidRDefault="00E618FE"/>
    <w:p w:rsidR="00E618FE" w:rsidRPr="00535A4B" w:rsidRDefault="00800098">
      <w:pPr>
        <w:pStyle w:val="41"/>
        <w:rPr>
          <w:rFonts w:ascii="Times New Roman" w:eastAsia="Calibri" w:hAnsi="Times New Roman"/>
          <w:b w:val="0"/>
          <w:i/>
          <w:lang w:eastAsia="ru-RU"/>
        </w:rPr>
      </w:pPr>
      <w:r w:rsidRPr="00535A4B">
        <w:rPr>
          <w:rFonts w:ascii="Times New Roman" w:eastAsia="Calibri" w:hAnsi="Times New Roman"/>
          <w:lang w:eastAsia="ru-RU"/>
        </w:rPr>
        <w:lastRenderedPageBreak/>
        <w:t>Флагманск</w:t>
      </w:r>
      <w:r w:rsidRPr="00535A4B">
        <w:rPr>
          <w:rFonts w:ascii="Times New Roman" w:eastAsia="Calibri" w:hAnsi="Times New Roman"/>
          <w:lang w:val="ru-RU" w:eastAsia="ru-RU"/>
        </w:rPr>
        <w:t>ая</w:t>
      </w:r>
      <w:r w:rsidRPr="00535A4B">
        <w:rPr>
          <w:rFonts w:ascii="Times New Roman" w:eastAsia="Calibri" w:hAnsi="Times New Roman"/>
          <w:lang w:eastAsia="ru-RU"/>
        </w:rPr>
        <w:t xml:space="preserve"> инициатив</w:t>
      </w:r>
      <w:r w:rsidRPr="00535A4B">
        <w:rPr>
          <w:rFonts w:ascii="Times New Roman" w:eastAsia="Calibri" w:hAnsi="Times New Roman"/>
          <w:lang w:val="ru-RU" w:eastAsia="ru-RU"/>
        </w:rPr>
        <w:t>а</w:t>
      </w:r>
      <w:r w:rsidRPr="00535A4B">
        <w:rPr>
          <w:rFonts w:ascii="Times New Roman" w:eastAsia="Calibri" w:hAnsi="Times New Roman"/>
          <w:lang w:eastAsia="ru-RU"/>
        </w:rPr>
        <w:t>:</w:t>
      </w:r>
    </w:p>
    <w:p w:rsidR="00E618FE" w:rsidRPr="00BF1EF3" w:rsidRDefault="00800098">
      <w:pPr>
        <w:pStyle w:val="a4"/>
        <w:rPr>
          <w:rFonts w:ascii="Times New Roman" w:eastAsia="PT Astra Serif" w:hAnsi="Times New Roman"/>
          <w:caps/>
          <w:color w:val="auto"/>
          <w:sz w:val="26"/>
          <w:szCs w:val="26"/>
          <w:lang w:eastAsia="en-US" w:bidi="en-US"/>
        </w:rPr>
      </w:pPr>
      <w:r w:rsidRPr="00BF1EF3">
        <w:rPr>
          <w:rFonts w:ascii="Times New Roman" w:hAnsi="Times New Roman"/>
          <w:color w:val="auto"/>
          <w:sz w:val="26"/>
          <w:szCs w:val="26"/>
        </w:rPr>
        <w:t xml:space="preserve">Достижению данной цели содействует Комплексная флагманская инициатива </w:t>
      </w:r>
      <w:r w:rsidRPr="00BF1EF3">
        <w:rPr>
          <w:rFonts w:ascii="Times New Roman" w:hAnsi="Times New Roman"/>
          <w:bCs/>
          <w:color w:val="auto"/>
          <w:sz w:val="26"/>
          <w:szCs w:val="26"/>
        </w:rPr>
        <w:t>«Линия жизни: регион возможностей, благополучия и заботы»</w:t>
      </w:r>
      <w:r w:rsidRPr="00BF1EF3">
        <w:rPr>
          <w:rFonts w:ascii="Times New Roman" w:hAnsi="Times New Roman"/>
          <w:color w:val="auto"/>
          <w:sz w:val="26"/>
          <w:szCs w:val="26"/>
        </w:rPr>
        <w:t>.</w:t>
      </w:r>
    </w:p>
    <w:p w:rsidR="00E618FE" w:rsidRPr="00BF1EF3" w:rsidRDefault="00800098">
      <w:pPr>
        <w:pStyle w:val="a4"/>
        <w:rPr>
          <w:rFonts w:ascii="Times New Roman" w:eastAsia="Calibri" w:hAnsi="Times New Roman"/>
          <w:color w:val="auto"/>
          <w:sz w:val="26"/>
          <w:szCs w:val="26"/>
        </w:rPr>
      </w:pPr>
      <w:r w:rsidRPr="00BF1EF3">
        <w:rPr>
          <w:rFonts w:ascii="Times New Roman" w:eastAsia="Calibri" w:hAnsi="Times New Roman"/>
          <w:color w:val="auto"/>
          <w:sz w:val="26"/>
          <w:szCs w:val="26"/>
        </w:rPr>
        <w:t xml:space="preserve">Информация по всем флагманским инициативам и проектам представлена </w:t>
      </w:r>
      <w:r w:rsidR="00BF1EF3">
        <w:rPr>
          <w:rFonts w:ascii="Times New Roman" w:eastAsia="Calibri" w:hAnsi="Times New Roman"/>
          <w:color w:val="auto"/>
          <w:sz w:val="26"/>
          <w:szCs w:val="26"/>
        </w:rPr>
        <w:br/>
      </w:r>
      <w:r w:rsidRPr="00BF1EF3">
        <w:rPr>
          <w:rFonts w:ascii="Times New Roman" w:eastAsia="Calibri" w:hAnsi="Times New Roman"/>
          <w:color w:val="auto"/>
          <w:sz w:val="26"/>
          <w:szCs w:val="26"/>
        </w:rPr>
        <w:t>в Приложении Д.</w:t>
      </w:r>
      <w:bookmarkEnd w:id="82"/>
    </w:p>
    <w:p w:rsidR="00E618FE" w:rsidRPr="00535A4B" w:rsidRDefault="00800098">
      <w:pPr>
        <w:spacing w:after="160" w:line="259" w:lineRule="auto"/>
        <w:rPr>
          <w:rFonts w:eastAsia="PT Astra Serif"/>
          <w:b/>
          <w:caps/>
          <w:sz w:val="28"/>
          <w:szCs w:val="32"/>
          <w:lang w:eastAsia="en-US" w:bidi="en-US"/>
        </w:rPr>
      </w:pPr>
      <w:r w:rsidRPr="00535A4B">
        <w:rPr>
          <w:rFonts w:eastAsia="PT Astra Serif"/>
        </w:rPr>
        <w:br w:type="page" w:clear="all"/>
      </w:r>
    </w:p>
    <w:p w:rsidR="00E618FE" w:rsidRPr="00535A4B" w:rsidRDefault="00800098">
      <w:pPr>
        <w:pStyle w:val="10"/>
        <w:rPr>
          <w:rFonts w:ascii="Times New Roman" w:eastAsia="PT Astra Serif" w:hAnsi="Times New Roman" w:cs="Times New Roman"/>
          <w:lang w:val="ru-RU"/>
        </w:rPr>
      </w:pPr>
      <w:bookmarkStart w:id="112" w:name="_Toc235810147"/>
      <w:bookmarkStart w:id="113" w:name="_Toc238554535"/>
      <w:bookmarkStart w:id="114" w:name="_Hlk230973545"/>
      <w:r w:rsidRPr="00535A4B">
        <w:rPr>
          <w:rFonts w:ascii="Times New Roman" w:eastAsia="PT Astra Serif" w:hAnsi="Times New Roman" w:cs="Times New Roman"/>
          <w:lang w:val="ru-RU"/>
        </w:rPr>
        <w:lastRenderedPageBreak/>
        <w:t>10. Региональная цель 2 «Человеческий капитал и развитие талантов»</w:t>
      </w:r>
      <w:bookmarkEnd w:id="112"/>
      <w:bookmarkEnd w:id="113"/>
    </w:p>
    <w:p w:rsidR="00E618FE" w:rsidRPr="00535A4B" w:rsidRDefault="00E618FE">
      <w:pPr>
        <w:pStyle w:val="a4"/>
        <w:rPr>
          <w:rFonts w:ascii="Times New Roman" w:eastAsia="PT Astra Serif" w:hAnsi="Times New Roman"/>
          <w:color w:val="auto"/>
          <w:lang w:eastAsia="en-US" w:bidi="en-US"/>
        </w:rPr>
      </w:pP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Региональная цель 2 «Человеческий капитал и развитие талантов» направлена на формирование единого пространства возможностей для образования, самореализации и общественного участия жителей Томской области. </w:t>
      </w:r>
    </w:p>
    <w:p w:rsidR="00E618FE" w:rsidRPr="00C421E3" w:rsidRDefault="00800098">
      <w:pPr>
        <w:pStyle w:val="a4"/>
        <w:rPr>
          <w:rFonts w:ascii="Times New Roman" w:eastAsia="Calibri" w:hAnsi="Times New Roman"/>
          <w:color w:val="auto"/>
          <w:sz w:val="26"/>
          <w:szCs w:val="26"/>
        </w:rPr>
      </w:pPr>
      <w:r w:rsidRPr="00C421E3">
        <w:rPr>
          <w:rFonts w:ascii="Times New Roman" w:eastAsia="Calibri" w:hAnsi="Times New Roman"/>
          <w:color w:val="auto"/>
          <w:sz w:val="26"/>
          <w:szCs w:val="26"/>
        </w:rPr>
        <w:t xml:space="preserve">Достижение региональной цели обеспечивается реализацией </w:t>
      </w:r>
      <w:r w:rsidRPr="00C421E3">
        <w:rPr>
          <w:rFonts w:ascii="Times New Roman" w:eastAsia="Calibri" w:hAnsi="Times New Roman"/>
          <w:b/>
          <w:bCs/>
          <w:color w:val="auto"/>
          <w:sz w:val="26"/>
          <w:szCs w:val="26"/>
        </w:rPr>
        <w:t>пяти стратегических приоритетов</w:t>
      </w:r>
      <w:r w:rsidRPr="00C421E3">
        <w:rPr>
          <w:rFonts w:ascii="Times New Roman" w:eastAsia="Calibri" w:hAnsi="Times New Roman"/>
          <w:color w:val="auto"/>
          <w:sz w:val="26"/>
          <w:szCs w:val="26"/>
        </w:rPr>
        <w:t>:</w:t>
      </w:r>
    </w:p>
    <w:p w:rsidR="00E618FE" w:rsidRPr="00C421E3" w:rsidRDefault="00800098">
      <w:pPr>
        <w:pStyle w:val="a4"/>
        <w:rPr>
          <w:rFonts w:ascii="Times New Roman" w:eastAsia="Calibri" w:hAnsi="Times New Roman"/>
          <w:color w:val="auto"/>
          <w:sz w:val="26"/>
          <w:szCs w:val="26"/>
        </w:rPr>
      </w:pPr>
      <w:r w:rsidRPr="00C421E3">
        <w:rPr>
          <w:rFonts w:ascii="Times New Roman" w:eastAsia="Calibri" w:hAnsi="Times New Roman"/>
          <w:color w:val="auto"/>
          <w:sz w:val="26"/>
          <w:szCs w:val="26"/>
        </w:rPr>
        <w:t xml:space="preserve">— стратегический приоритет 2.1. </w:t>
      </w:r>
      <w:r w:rsidRPr="00C421E3">
        <w:rPr>
          <w:rFonts w:ascii="Times New Roman" w:hAnsi="Times New Roman"/>
          <w:color w:val="auto"/>
          <w:sz w:val="26"/>
          <w:szCs w:val="26"/>
        </w:rPr>
        <w:t>«Томская область — территория качественного образования и естественного интеллекта»;</w:t>
      </w:r>
    </w:p>
    <w:p w:rsidR="00E618FE" w:rsidRPr="00C421E3" w:rsidRDefault="00800098">
      <w:pPr>
        <w:pStyle w:val="a4"/>
        <w:rPr>
          <w:rFonts w:ascii="Times New Roman" w:eastAsia="Calibri" w:hAnsi="Times New Roman"/>
          <w:color w:val="auto"/>
          <w:sz w:val="26"/>
          <w:szCs w:val="26"/>
        </w:rPr>
      </w:pPr>
      <w:r w:rsidRPr="00C421E3">
        <w:rPr>
          <w:rFonts w:ascii="Times New Roman" w:eastAsia="Calibri" w:hAnsi="Times New Roman"/>
          <w:color w:val="auto"/>
          <w:sz w:val="26"/>
          <w:szCs w:val="26"/>
        </w:rPr>
        <w:t xml:space="preserve">— стратегический приоритет 2.2. </w:t>
      </w:r>
      <w:r w:rsidRPr="00C421E3">
        <w:rPr>
          <w:rFonts w:ascii="Times New Roman" w:hAnsi="Times New Roman"/>
          <w:color w:val="auto"/>
          <w:sz w:val="26"/>
          <w:szCs w:val="26"/>
        </w:rPr>
        <w:t>«Активная молодежь»;</w:t>
      </w:r>
      <w:r w:rsidRPr="00C421E3">
        <w:rPr>
          <w:rFonts w:ascii="Times New Roman" w:eastAsia="Calibri" w:hAnsi="Times New Roman"/>
          <w:color w:val="auto"/>
          <w:sz w:val="26"/>
          <w:szCs w:val="26"/>
        </w:rPr>
        <w:t xml:space="preserve"> </w:t>
      </w:r>
    </w:p>
    <w:p w:rsidR="00E618FE" w:rsidRPr="00C421E3" w:rsidRDefault="00800098">
      <w:pPr>
        <w:pStyle w:val="a4"/>
        <w:rPr>
          <w:rFonts w:ascii="Times New Roman" w:hAnsi="Times New Roman"/>
          <w:color w:val="auto"/>
          <w:sz w:val="26"/>
          <w:szCs w:val="26"/>
        </w:rPr>
      </w:pPr>
      <w:r w:rsidRPr="00C421E3">
        <w:rPr>
          <w:rFonts w:ascii="Times New Roman" w:eastAsia="Calibri" w:hAnsi="Times New Roman"/>
          <w:color w:val="auto"/>
          <w:sz w:val="26"/>
          <w:szCs w:val="26"/>
        </w:rPr>
        <w:t xml:space="preserve">— стратегический приоритет 2.3. </w:t>
      </w:r>
      <w:r w:rsidRPr="00C421E3">
        <w:rPr>
          <w:rFonts w:ascii="Times New Roman" w:hAnsi="Times New Roman"/>
          <w:color w:val="auto"/>
          <w:sz w:val="26"/>
          <w:szCs w:val="26"/>
        </w:rPr>
        <w:t>«Добровольчество»;</w:t>
      </w:r>
    </w:p>
    <w:p w:rsidR="00E618FE" w:rsidRPr="00C421E3" w:rsidRDefault="00800098">
      <w:pPr>
        <w:pStyle w:val="a4"/>
        <w:rPr>
          <w:rFonts w:ascii="Times New Roman" w:hAnsi="Times New Roman"/>
          <w:color w:val="auto"/>
          <w:sz w:val="26"/>
          <w:szCs w:val="26"/>
        </w:rPr>
      </w:pPr>
      <w:r w:rsidRPr="00C421E3">
        <w:rPr>
          <w:rFonts w:ascii="Times New Roman" w:eastAsia="Calibri" w:hAnsi="Times New Roman"/>
          <w:color w:val="auto"/>
          <w:sz w:val="26"/>
          <w:szCs w:val="26"/>
        </w:rPr>
        <w:t>— стратегический приоритет 2.4.</w:t>
      </w:r>
      <w:r w:rsidRPr="00C421E3">
        <w:rPr>
          <w:rFonts w:ascii="Times New Roman" w:hAnsi="Times New Roman"/>
          <w:color w:val="auto"/>
          <w:sz w:val="26"/>
          <w:szCs w:val="26"/>
        </w:rPr>
        <w:t xml:space="preserve"> «Культура объединяет поколения»;</w:t>
      </w:r>
    </w:p>
    <w:p w:rsidR="00E618FE" w:rsidRPr="00C421E3" w:rsidRDefault="00800098">
      <w:pPr>
        <w:pStyle w:val="a4"/>
        <w:rPr>
          <w:rFonts w:ascii="Times New Roman" w:hAnsi="Times New Roman"/>
          <w:color w:val="auto"/>
          <w:sz w:val="26"/>
          <w:szCs w:val="26"/>
        </w:rPr>
      </w:pPr>
      <w:r w:rsidRPr="00C421E3">
        <w:rPr>
          <w:rFonts w:ascii="Times New Roman" w:eastAsia="Calibri" w:hAnsi="Times New Roman"/>
          <w:color w:val="auto"/>
          <w:sz w:val="26"/>
          <w:szCs w:val="26"/>
        </w:rPr>
        <w:t xml:space="preserve">— стратегический приоритет 2.5. </w:t>
      </w:r>
      <w:r w:rsidRPr="00C421E3">
        <w:rPr>
          <w:rFonts w:ascii="Times New Roman" w:hAnsi="Times New Roman"/>
          <w:color w:val="auto"/>
          <w:sz w:val="26"/>
          <w:szCs w:val="26"/>
        </w:rPr>
        <w:t>«Укрепление единства российской нации, сохранение и развитие этнокультурного и языкового наследия на территории Томской области».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Реализация </w:t>
      </w:r>
      <w:r w:rsidRPr="00C421E3">
        <w:rPr>
          <w:rFonts w:ascii="Times New Roman" w:hAnsi="Times New Roman"/>
          <w:bCs/>
          <w:color w:val="auto"/>
          <w:sz w:val="26"/>
          <w:szCs w:val="26"/>
        </w:rPr>
        <w:t>пяти взаимосвязанных стратегических приоритетов</w:t>
      </w:r>
      <w:r w:rsidRPr="00C421E3">
        <w:rPr>
          <w:rFonts w:ascii="Times New Roman" w:hAnsi="Times New Roman"/>
          <w:color w:val="auto"/>
          <w:sz w:val="26"/>
          <w:szCs w:val="26"/>
        </w:rPr>
        <w:t xml:space="preserve"> позволяет одновременно повышать качество образования, расширять возможности самореализации молодежи, развивать культуру взаимопомощи, гражданского участия, укреплять культурно</w:t>
      </w:r>
      <w:r w:rsidRPr="00C421E3">
        <w:rPr>
          <w:rFonts w:ascii="Times New Roman" w:hAnsi="Times New Roman"/>
          <w:color w:val="auto"/>
          <w:sz w:val="26"/>
          <w:szCs w:val="26"/>
        </w:rPr>
        <w:noBreakHyphen/>
        <w:t>ценностные основы жизни, единство российской нации, сохранять и развивать этнокультурное</w:t>
      </w:r>
      <w:r w:rsidR="00C421E3">
        <w:rPr>
          <w:rFonts w:ascii="Times New Roman" w:hAnsi="Times New Roman"/>
          <w:color w:val="auto"/>
          <w:sz w:val="26"/>
          <w:szCs w:val="26"/>
        </w:rPr>
        <w:t xml:space="preserve"> </w:t>
      </w:r>
      <w:r w:rsidRPr="00C421E3">
        <w:rPr>
          <w:rFonts w:ascii="Times New Roman" w:hAnsi="Times New Roman"/>
          <w:color w:val="auto"/>
          <w:sz w:val="26"/>
          <w:szCs w:val="26"/>
        </w:rPr>
        <w:t>и языковое наследие на всей территории области. Согласованная реализация приоритетов обеспечивает воспроизводство и закрепление талантов, рост социальной активности и укрепление ценностного фундамента общества, превращая человеческий капитал в главный долгосрочный ресурс развития Томской области.</w:t>
      </w:r>
    </w:p>
    <w:p w:rsidR="00E618FE" w:rsidRPr="00C421E3" w:rsidRDefault="00800098">
      <w:pPr>
        <w:pStyle w:val="a4"/>
        <w:rPr>
          <w:rFonts w:ascii="Times New Roman" w:hAnsi="Times New Roman"/>
          <w:color w:val="auto"/>
          <w:sz w:val="26"/>
          <w:szCs w:val="26"/>
        </w:rPr>
      </w:pPr>
      <w:r w:rsidRPr="00C421E3">
        <w:rPr>
          <w:rFonts w:ascii="Times New Roman" w:hAnsi="Times New Roman"/>
          <w:b/>
          <w:bCs/>
          <w:color w:val="auto"/>
          <w:sz w:val="26"/>
          <w:szCs w:val="26"/>
        </w:rPr>
        <w:t>Стратегический приоритет 2.1. </w:t>
      </w:r>
      <w:r w:rsidRPr="00C421E3">
        <w:rPr>
          <w:rFonts w:ascii="Times New Roman" w:hAnsi="Times New Roman"/>
          <w:color w:val="auto"/>
          <w:sz w:val="26"/>
          <w:szCs w:val="26"/>
        </w:rPr>
        <w:t>«</w:t>
      </w:r>
      <w:r w:rsidR="00C421E3">
        <w:rPr>
          <w:rFonts w:ascii="Times New Roman" w:hAnsi="Times New Roman"/>
          <w:b/>
          <w:bCs/>
          <w:color w:val="auto"/>
          <w:sz w:val="26"/>
          <w:szCs w:val="26"/>
        </w:rPr>
        <w:t>Томская область –</w:t>
      </w:r>
      <w:r w:rsidRPr="00C421E3">
        <w:rPr>
          <w:rFonts w:ascii="Times New Roman" w:hAnsi="Times New Roman"/>
          <w:b/>
          <w:bCs/>
          <w:color w:val="auto"/>
          <w:sz w:val="26"/>
          <w:szCs w:val="26"/>
        </w:rPr>
        <w:t xml:space="preserve"> территория качественного образования и естественного интеллекта» </w:t>
      </w:r>
      <w:r w:rsidRPr="00C421E3">
        <w:rPr>
          <w:rFonts w:ascii="Times New Roman" w:hAnsi="Times New Roman"/>
          <w:color w:val="auto"/>
          <w:sz w:val="26"/>
          <w:szCs w:val="26"/>
        </w:rPr>
        <w:t>направлен</w:t>
      </w:r>
      <w:r w:rsidRPr="00C421E3">
        <w:rPr>
          <w:rFonts w:ascii="Times New Roman" w:hAnsi="Times New Roman"/>
          <w:b/>
          <w:bCs/>
          <w:color w:val="auto"/>
          <w:sz w:val="26"/>
          <w:szCs w:val="26"/>
        </w:rPr>
        <w:t xml:space="preserve"> </w:t>
      </w:r>
      <w:r w:rsidR="00C421E3">
        <w:rPr>
          <w:rFonts w:ascii="Times New Roman" w:hAnsi="Times New Roman"/>
          <w:b/>
          <w:bCs/>
          <w:color w:val="auto"/>
          <w:sz w:val="26"/>
          <w:szCs w:val="26"/>
        </w:rPr>
        <w:br/>
      </w:r>
      <w:r w:rsidRPr="00C421E3">
        <w:rPr>
          <w:rFonts w:ascii="Times New Roman" w:hAnsi="Times New Roman"/>
          <w:color w:val="auto"/>
          <w:sz w:val="26"/>
          <w:szCs w:val="26"/>
        </w:rPr>
        <w:t xml:space="preserve">на формирование в Томской области единого образовательного пространства, охватывающего дошкольное, начальное общее, основное общее, среднее общее, профессиональное, высшее и дополнительное образование, внедрение инновационных образовательных технологий и развитие системы выявления </w:t>
      </w:r>
      <w:r w:rsidR="00C421E3">
        <w:rPr>
          <w:rFonts w:ascii="Times New Roman" w:hAnsi="Times New Roman"/>
          <w:color w:val="auto"/>
          <w:sz w:val="26"/>
          <w:szCs w:val="26"/>
        </w:rPr>
        <w:br/>
      </w:r>
      <w:r w:rsidRPr="00C421E3">
        <w:rPr>
          <w:rFonts w:ascii="Times New Roman" w:hAnsi="Times New Roman"/>
          <w:color w:val="auto"/>
          <w:sz w:val="26"/>
          <w:szCs w:val="26"/>
        </w:rPr>
        <w:t xml:space="preserve">и поддержки талантов. Развитие экосистемы подготовки кадров технологического лидерства региона, тесно связанной с рынком труда, включая </w:t>
      </w:r>
      <w:bookmarkStart w:id="115" w:name="_Hlk228727916"/>
      <w:r w:rsidRPr="00C421E3">
        <w:rPr>
          <w:rFonts w:ascii="Times New Roman" w:hAnsi="Times New Roman"/>
          <w:color w:val="auto"/>
          <w:sz w:val="26"/>
          <w:szCs w:val="26"/>
        </w:rPr>
        <w:t>углубленное взаимодействие профессиональных образовательных организаций</w:t>
      </w:r>
      <w:bookmarkEnd w:id="115"/>
      <w:r w:rsidRPr="00C421E3">
        <w:rPr>
          <w:rFonts w:ascii="Times New Roman" w:hAnsi="Times New Roman"/>
          <w:color w:val="auto"/>
          <w:sz w:val="26"/>
          <w:szCs w:val="26"/>
        </w:rPr>
        <w:t xml:space="preserve"> </w:t>
      </w:r>
      <w:r w:rsidR="00C421E3">
        <w:rPr>
          <w:rFonts w:ascii="Times New Roman" w:hAnsi="Times New Roman"/>
          <w:color w:val="auto"/>
          <w:sz w:val="26"/>
          <w:szCs w:val="26"/>
        </w:rPr>
        <w:br/>
      </w:r>
      <w:r w:rsidRPr="00C421E3">
        <w:rPr>
          <w:rFonts w:ascii="Times New Roman" w:hAnsi="Times New Roman"/>
          <w:color w:val="auto"/>
          <w:sz w:val="26"/>
          <w:szCs w:val="26"/>
        </w:rPr>
        <w:t>и образовательных организаций высшего образования, практико</w:t>
      </w:r>
      <w:r w:rsidRPr="00C421E3">
        <w:rPr>
          <w:rFonts w:ascii="Times New Roman" w:hAnsi="Times New Roman"/>
          <w:color w:val="auto"/>
          <w:sz w:val="26"/>
          <w:szCs w:val="26"/>
        </w:rPr>
        <w:noBreakHyphen/>
        <w:t xml:space="preserve">ориентированное обучение и развитие компетенций в сфере современных технологий ориентированы на следующие результаты: к 2036 году планируется обеспечить рост уровня образования населения до 86,3% и охватить до 90% обучающихся мерами </w:t>
      </w:r>
      <w:r w:rsidR="00C421E3">
        <w:rPr>
          <w:rFonts w:ascii="Times New Roman" w:hAnsi="Times New Roman"/>
          <w:color w:val="auto"/>
          <w:sz w:val="26"/>
          <w:szCs w:val="26"/>
        </w:rPr>
        <w:br/>
      </w:r>
      <w:r w:rsidRPr="00C421E3">
        <w:rPr>
          <w:rFonts w:ascii="Times New Roman" w:hAnsi="Times New Roman"/>
          <w:color w:val="auto"/>
          <w:sz w:val="26"/>
          <w:szCs w:val="26"/>
        </w:rPr>
        <w:t>по выявлению, поддержке и развитию способностей и талантов. </w:t>
      </w:r>
    </w:p>
    <w:p w:rsidR="00E618FE" w:rsidRPr="00C421E3" w:rsidRDefault="00800098">
      <w:pPr>
        <w:pStyle w:val="a4"/>
        <w:rPr>
          <w:rFonts w:ascii="Times New Roman" w:hAnsi="Times New Roman"/>
          <w:color w:val="auto"/>
          <w:sz w:val="26"/>
          <w:szCs w:val="26"/>
        </w:rPr>
      </w:pPr>
      <w:r w:rsidRPr="00C421E3">
        <w:rPr>
          <w:rFonts w:ascii="Times New Roman" w:hAnsi="Times New Roman"/>
          <w:b/>
          <w:bCs/>
          <w:color w:val="auto"/>
          <w:sz w:val="26"/>
          <w:szCs w:val="26"/>
        </w:rPr>
        <w:t xml:space="preserve">Стратегический приоритет 2.2. «Активная молодежь» </w:t>
      </w:r>
      <w:r w:rsidRPr="00C421E3">
        <w:rPr>
          <w:rFonts w:ascii="Times New Roman" w:hAnsi="Times New Roman"/>
          <w:color w:val="auto"/>
          <w:sz w:val="26"/>
          <w:szCs w:val="26"/>
        </w:rPr>
        <w:t xml:space="preserve">направлен </w:t>
      </w:r>
      <w:r w:rsidRPr="00C421E3">
        <w:rPr>
          <w:rFonts w:ascii="Times New Roman" w:hAnsi="Times New Roman"/>
          <w:color w:val="auto"/>
          <w:sz w:val="26"/>
          <w:szCs w:val="26"/>
        </w:rPr>
        <w:br/>
        <w:t xml:space="preserve">на создание условий и формирование в Томской области благоприятной среды, в которой молодежь получает реальные возможности для успешной социализации, профессионального становления и участия в экономике и общественной жизни, включая молодежное предпринимательство и креативные индустрии. К 2036 году планируется увеличить долю молодых людей, участвующих в проектах развития </w:t>
      </w:r>
      <w:r w:rsidR="00C421E3">
        <w:rPr>
          <w:rFonts w:ascii="Times New Roman" w:hAnsi="Times New Roman"/>
          <w:color w:val="auto"/>
          <w:sz w:val="26"/>
          <w:szCs w:val="26"/>
        </w:rPr>
        <w:br/>
      </w:r>
      <w:r w:rsidRPr="00C421E3">
        <w:rPr>
          <w:rFonts w:ascii="Times New Roman" w:hAnsi="Times New Roman"/>
          <w:color w:val="auto"/>
          <w:sz w:val="26"/>
          <w:szCs w:val="26"/>
        </w:rPr>
        <w:t>и патриотического воспитания, до 80%, а также увеличить до 52% охват молодежи мероприятиями, проводимыми на базе инфраструктуры молодежной политики.</w:t>
      </w:r>
    </w:p>
    <w:p w:rsidR="00E618FE" w:rsidRPr="00C421E3" w:rsidRDefault="00800098">
      <w:pPr>
        <w:pStyle w:val="a4"/>
        <w:rPr>
          <w:rFonts w:ascii="Times New Roman" w:hAnsi="Times New Roman"/>
          <w:color w:val="auto"/>
          <w:sz w:val="26"/>
          <w:szCs w:val="26"/>
        </w:rPr>
      </w:pPr>
      <w:r w:rsidRPr="00C421E3">
        <w:rPr>
          <w:rFonts w:ascii="Times New Roman" w:hAnsi="Times New Roman"/>
          <w:b/>
          <w:bCs/>
          <w:color w:val="auto"/>
          <w:sz w:val="26"/>
          <w:szCs w:val="26"/>
        </w:rPr>
        <w:lastRenderedPageBreak/>
        <w:t>Стратегический приоритет 2.3. «Добровольчество».</w:t>
      </w:r>
      <w:r w:rsidRPr="00C421E3">
        <w:rPr>
          <w:rFonts w:ascii="Times New Roman" w:hAnsi="Times New Roman"/>
          <w:color w:val="auto"/>
          <w:sz w:val="26"/>
          <w:szCs w:val="26"/>
        </w:rPr>
        <w:t xml:space="preserve"> В Томской области уже сформирована разветвленная инфраструктура добровольчества, охватывающая все муниципальные образования, поэтому стоит задача дальнейшего расширения направлений и масштабов добровольческой деятельности, развитие форм волонтерской активности, включая поддержку социальной адаптации ветеранов СВО. К 2036 году планируется обеспечить рост доли населения, вовлеченного </w:t>
      </w:r>
      <w:r w:rsidR="00C421E3">
        <w:rPr>
          <w:rFonts w:ascii="Times New Roman" w:hAnsi="Times New Roman"/>
          <w:color w:val="auto"/>
          <w:sz w:val="26"/>
          <w:szCs w:val="26"/>
        </w:rPr>
        <w:br/>
      </w:r>
      <w:r w:rsidRPr="00C421E3">
        <w:rPr>
          <w:rFonts w:ascii="Times New Roman" w:hAnsi="Times New Roman"/>
          <w:color w:val="auto"/>
          <w:sz w:val="26"/>
          <w:szCs w:val="26"/>
        </w:rPr>
        <w:t>в добровольческую деятельность, до 48% и достижение не менее 45% вовлеченности молодежи к 2030 году с дальнейшим увеличением к 2036 году.</w:t>
      </w:r>
    </w:p>
    <w:p w:rsidR="00E618FE" w:rsidRPr="00C421E3" w:rsidRDefault="00800098">
      <w:pPr>
        <w:pStyle w:val="a4"/>
        <w:rPr>
          <w:rFonts w:ascii="Times New Roman" w:hAnsi="Times New Roman"/>
          <w:color w:val="auto"/>
          <w:sz w:val="26"/>
          <w:szCs w:val="26"/>
        </w:rPr>
      </w:pPr>
      <w:r w:rsidRPr="00C421E3">
        <w:rPr>
          <w:rFonts w:ascii="Times New Roman" w:hAnsi="Times New Roman"/>
          <w:b/>
          <w:bCs/>
          <w:color w:val="auto"/>
          <w:sz w:val="26"/>
          <w:szCs w:val="26"/>
        </w:rPr>
        <w:t xml:space="preserve">Стратегический приоритет 2.4. «Культура объединяет поколения» </w:t>
      </w:r>
      <w:r w:rsidRPr="00C421E3">
        <w:rPr>
          <w:rFonts w:ascii="Times New Roman" w:hAnsi="Times New Roman"/>
          <w:color w:val="auto"/>
          <w:sz w:val="26"/>
          <w:szCs w:val="26"/>
        </w:rPr>
        <w:t>направлен на</w:t>
      </w:r>
      <w:r w:rsidRPr="00C421E3">
        <w:rPr>
          <w:rFonts w:ascii="Times New Roman" w:hAnsi="Times New Roman"/>
          <w:b/>
          <w:bCs/>
          <w:color w:val="auto"/>
          <w:sz w:val="26"/>
          <w:szCs w:val="26"/>
        </w:rPr>
        <w:t xml:space="preserve"> </w:t>
      </w:r>
      <w:r w:rsidRPr="00C421E3">
        <w:rPr>
          <w:rFonts w:ascii="Times New Roman" w:hAnsi="Times New Roman"/>
          <w:color w:val="auto"/>
          <w:sz w:val="26"/>
          <w:szCs w:val="26"/>
        </w:rPr>
        <w:t xml:space="preserve">развитие культуры как фундамента ценностей и сплочения, увеличение к 2036 году посещаемости культурных мероприятий до 21,6 млн чел. </w:t>
      </w:r>
      <w:r w:rsidR="00C421E3">
        <w:rPr>
          <w:rFonts w:ascii="Times New Roman" w:hAnsi="Times New Roman"/>
          <w:color w:val="auto"/>
          <w:sz w:val="26"/>
          <w:szCs w:val="26"/>
        </w:rPr>
        <w:br/>
      </w:r>
      <w:r w:rsidRPr="00C421E3">
        <w:rPr>
          <w:rFonts w:ascii="Times New Roman" w:hAnsi="Times New Roman"/>
          <w:color w:val="auto"/>
          <w:sz w:val="26"/>
          <w:szCs w:val="26"/>
        </w:rPr>
        <w:t xml:space="preserve">и укрепление образа Томской области как территории с сильной идентичностью </w:t>
      </w:r>
      <w:r w:rsidR="00C421E3">
        <w:rPr>
          <w:rFonts w:ascii="Times New Roman" w:hAnsi="Times New Roman"/>
          <w:color w:val="auto"/>
          <w:sz w:val="26"/>
          <w:szCs w:val="26"/>
        </w:rPr>
        <w:br/>
      </w:r>
      <w:r w:rsidRPr="00C421E3">
        <w:rPr>
          <w:rFonts w:ascii="Times New Roman" w:hAnsi="Times New Roman"/>
          <w:color w:val="auto"/>
          <w:sz w:val="26"/>
          <w:szCs w:val="26"/>
        </w:rPr>
        <w:t xml:space="preserve">и живой культурной средой, современными новыми форматами культурной жизни, в которой культура становится не только сферой досуга, но и механизмом общественного сплочения, укрепления региональной идентичности </w:t>
      </w:r>
      <w:r w:rsidR="00C421E3">
        <w:rPr>
          <w:rFonts w:ascii="Times New Roman" w:hAnsi="Times New Roman"/>
          <w:color w:val="auto"/>
          <w:sz w:val="26"/>
          <w:szCs w:val="26"/>
        </w:rPr>
        <w:br/>
      </w:r>
      <w:r w:rsidRPr="00C421E3">
        <w:rPr>
          <w:rFonts w:ascii="Times New Roman" w:hAnsi="Times New Roman"/>
          <w:color w:val="auto"/>
          <w:sz w:val="26"/>
          <w:szCs w:val="26"/>
        </w:rPr>
        <w:t>и межпоколенческого диалога.</w:t>
      </w:r>
    </w:p>
    <w:p w:rsidR="00E618FE" w:rsidRPr="00C421E3" w:rsidRDefault="00800098">
      <w:pPr>
        <w:pStyle w:val="a4"/>
        <w:rPr>
          <w:rFonts w:ascii="Times New Roman" w:hAnsi="Times New Roman"/>
          <w:color w:val="auto"/>
          <w:sz w:val="26"/>
          <w:szCs w:val="26"/>
        </w:rPr>
      </w:pPr>
      <w:r w:rsidRPr="00C421E3">
        <w:rPr>
          <w:rFonts w:ascii="Times New Roman" w:hAnsi="Times New Roman"/>
          <w:b/>
          <w:bCs/>
          <w:color w:val="auto"/>
          <w:sz w:val="26"/>
          <w:szCs w:val="26"/>
        </w:rPr>
        <w:t xml:space="preserve">Стратегический приоритет 2.5. «Укрепление единства российской нации, сохранение и развитие этнокультурного и языкового наследия </w:t>
      </w:r>
      <w:r w:rsidRPr="00C421E3">
        <w:rPr>
          <w:rFonts w:ascii="Times New Roman" w:hAnsi="Times New Roman"/>
          <w:b/>
          <w:bCs/>
          <w:color w:val="auto"/>
          <w:sz w:val="26"/>
          <w:szCs w:val="26"/>
        </w:rPr>
        <w:br/>
        <w:t xml:space="preserve">на территории Томской области» </w:t>
      </w:r>
      <w:r w:rsidRPr="00C421E3">
        <w:rPr>
          <w:rFonts w:ascii="Times New Roman" w:hAnsi="Times New Roman"/>
          <w:color w:val="auto"/>
          <w:sz w:val="26"/>
          <w:szCs w:val="26"/>
        </w:rPr>
        <w:t xml:space="preserve">направлен на </w:t>
      </w:r>
      <w:r w:rsidRPr="00C421E3">
        <w:rPr>
          <w:rFonts w:ascii="Times New Roman" w:hAnsi="Times New Roman"/>
          <w:color w:val="auto"/>
          <w:sz w:val="26"/>
          <w:szCs w:val="26"/>
          <w:lang w:eastAsia="en-US" w:bidi="en-US"/>
        </w:rPr>
        <w:t xml:space="preserve">укрепление единства многонационального народа Российской Федерации и общероссийской гражданской идентичности при сохранении этнокультурного и языкового многообразия </w:t>
      </w:r>
      <w:r w:rsidR="00C421E3">
        <w:rPr>
          <w:rFonts w:ascii="Times New Roman" w:hAnsi="Times New Roman"/>
          <w:color w:val="auto"/>
          <w:sz w:val="26"/>
          <w:szCs w:val="26"/>
          <w:lang w:eastAsia="en-US" w:bidi="en-US"/>
        </w:rPr>
        <w:br/>
      </w:r>
      <w:r w:rsidRPr="00C421E3">
        <w:rPr>
          <w:rFonts w:ascii="Times New Roman" w:hAnsi="Times New Roman"/>
          <w:color w:val="auto"/>
          <w:sz w:val="26"/>
          <w:szCs w:val="26"/>
          <w:lang w:eastAsia="en-US" w:bidi="en-US"/>
        </w:rPr>
        <w:t>для обеспечения развития страны, ее государственной и территориальной целостности, внутренней политической и социальной стабильности.</w:t>
      </w:r>
    </w:p>
    <w:p w:rsidR="00E618FE" w:rsidRPr="00C421E3" w:rsidRDefault="00800098" w:rsidP="00C421E3">
      <w:pPr>
        <w:pStyle w:val="a4"/>
        <w:rPr>
          <w:rFonts w:ascii="Times New Roman" w:hAnsi="Times New Roman"/>
          <w:color w:val="auto"/>
          <w:sz w:val="26"/>
          <w:szCs w:val="26"/>
        </w:rPr>
      </w:pPr>
      <w:r w:rsidRPr="00C421E3">
        <w:rPr>
          <w:rFonts w:ascii="Times New Roman" w:hAnsi="Times New Roman"/>
          <w:b/>
          <w:bCs/>
          <w:color w:val="auto"/>
          <w:sz w:val="26"/>
          <w:szCs w:val="26"/>
        </w:rPr>
        <w:t xml:space="preserve">Комплексная флагманская инициатива «Культурный код томича». </w:t>
      </w:r>
      <w:r w:rsidRPr="00C421E3">
        <w:rPr>
          <w:rFonts w:ascii="Times New Roman" w:hAnsi="Times New Roman"/>
          <w:color w:val="auto"/>
          <w:sz w:val="26"/>
          <w:szCs w:val="26"/>
        </w:rPr>
        <w:t>Цель инициативы</w:t>
      </w:r>
      <w:r w:rsidRPr="00C421E3">
        <w:rPr>
          <w:rFonts w:ascii="Times New Roman" w:hAnsi="Times New Roman"/>
          <w:b/>
          <w:bCs/>
          <w:color w:val="auto"/>
          <w:sz w:val="26"/>
          <w:szCs w:val="26"/>
        </w:rPr>
        <w:t xml:space="preserve"> </w:t>
      </w:r>
      <w:r w:rsidR="00C421E3">
        <w:rPr>
          <w:rFonts w:ascii="Times New Roman" w:hAnsi="Times New Roman"/>
          <w:color w:val="auto"/>
          <w:sz w:val="26"/>
          <w:szCs w:val="26"/>
        </w:rPr>
        <w:t>–</w:t>
      </w:r>
      <w:r w:rsidRPr="00C421E3">
        <w:rPr>
          <w:rFonts w:ascii="Times New Roman" w:hAnsi="Times New Roman"/>
          <w:b/>
          <w:bCs/>
          <w:color w:val="auto"/>
          <w:sz w:val="26"/>
          <w:szCs w:val="26"/>
        </w:rPr>
        <w:t xml:space="preserve"> </w:t>
      </w:r>
      <w:r w:rsidRPr="00C421E3">
        <w:rPr>
          <w:rFonts w:ascii="Times New Roman" w:hAnsi="Times New Roman"/>
          <w:color w:val="auto"/>
          <w:sz w:val="26"/>
          <w:szCs w:val="26"/>
        </w:rPr>
        <w:t xml:space="preserve">сформировать и закрепить к 2036 году культурный, гражданский </w:t>
      </w:r>
      <w:r w:rsidR="00C421E3">
        <w:rPr>
          <w:rFonts w:ascii="Times New Roman" w:hAnsi="Times New Roman"/>
          <w:color w:val="auto"/>
          <w:sz w:val="26"/>
          <w:szCs w:val="26"/>
        </w:rPr>
        <w:br/>
      </w:r>
      <w:r w:rsidRPr="00C421E3">
        <w:rPr>
          <w:rFonts w:ascii="Times New Roman" w:hAnsi="Times New Roman"/>
          <w:color w:val="auto"/>
          <w:sz w:val="26"/>
          <w:szCs w:val="26"/>
        </w:rPr>
        <w:t xml:space="preserve">и цифровой код жителя Томской области, в котором «естественный интеллект» </w:t>
      </w:r>
      <w:r w:rsidR="00C421E3">
        <w:rPr>
          <w:rFonts w:ascii="Times New Roman" w:hAnsi="Times New Roman"/>
          <w:color w:val="auto"/>
          <w:sz w:val="26"/>
          <w:szCs w:val="26"/>
        </w:rPr>
        <w:t>–</w:t>
      </w:r>
      <w:r w:rsidRPr="00C421E3">
        <w:rPr>
          <w:rFonts w:ascii="Times New Roman" w:hAnsi="Times New Roman"/>
          <w:color w:val="auto"/>
          <w:sz w:val="26"/>
          <w:szCs w:val="26"/>
        </w:rPr>
        <w:t xml:space="preserve"> идентичность, компетенции, готовнос</w:t>
      </w:r>
      <w:r w:rsidR="00C421E3">
        <w:rPr>
          <w:rFonts w:ascii="Times New Roman" w:hAnsi="Times New Roman"/>
          <w:color w:val="auto"/>
          <w:sz w:val="26"/>
          <w:szCs w:val="26"/>
        </w:rPr>
        <w:t>ть участвовать в жизни региона –</w:t>
      </w:r>
      <w:r w:rsidRPr="00C421E3">
        <w:rPr>
          <w:rFonts w:ascii="Times New Roman" w:hAnsi="Times New Roman"/>
          <w:color w:val="auto"/>
          <w:sz w:val="26"/>
          <w:szCs w:val="26"/>
        </w:rPr>
        <w:t xml:space="preserve"> сочетается </w:t>
      </w:r>
      <w:r w:rsidR="00C421E3">
        <w:rPr>
          <w:rFonts w:ascii="Times New Roman" w:hAnsi="Times New Roman"/>
          <w:color w:val="auto"/>
          <w:sz w:val="26"/>
          <w:szCs w:val="26"/>
        </w:rPr>
        <w:br/>
      </w:r>
      <w:r w:rsidRPr="00C421E3">
        <w:rPr>
          <w:rFonts w:ascii="Times New Roman" w:hAnsi="Times New Roman"/>
          <w:color w:val="auto"/>
          <w:sz w:val="26"/>
          <w:szCs w:val="26"/>
        </w:rPr>
        <w:t xml:space="preserve">с навыками работы с искусственным интеллектом и цифровой гигиеной, превращая молодежную энергию и таланты в главный драйвер развития Томской области </w:t>
      </w:r>
      <w:r w:rsidR="00C421E3">
        <w:rPr>
          <w:rFonts w:ascii="Times New Roman" w:hAnsi="Times New Roman"/>
          <w:color w:val="auto"/>
          <w:sz w:val="26"/>
          <w:szCs w:val="26"/>
        </w:rPr>
        <w:br/>
      </w:r>
      <w:r w:rsidRPr="00C421E3">
        <w:rPr>
          <w:rFonts w:ascii="Times New Roman" w:hAnsi="Times New Roman"/>
          <w:color w:val="auto"/>
          <w:sz w:val="26"/>
          <w:szCs w:val="26"/>
        </w:rPr>
        <w:t xml:space="preserve">и делая регион территорией устойчивых возможностей, а не транзитной точкой </w:t>
      </w:r>
      <w:r w:rsidRPr="00C421E3">
        <w:rPr>
          <w:rFonts w:ascii="Times New Roman" w:hAnsi="Times New Roman"/>
          <w:color w:val="auto"/>
          <w:sz w:val="26"/>
          <w:szCs w:val="26"/>
        </w:rPr>
        <w:br/>
        <w:t>в биографии.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Комплексная флагманская инициатива «Культурный код томича»</w:t>
      </w:r>
      <w:r w:rsidRPr="00C421E3">
        <w:rPr>
          <w:rFonts w:ascii="Times New Roman" w:hAnsi="Times New Roman"/>
          <w:b/>
          <w:bCs/>
          <w:color w:val="auto"/>
          <w:sz w:val="26"/>
          <w:szCs w:val="26"/>
        </w:rPr>
        <w:t xml:space="preserve"> </w:t>
      </w:r>
      <w:r w:rsidRPr="00C421E3">
        <w:rPr>
          <w:rFonts w:ascii="Times New Roman" w:hAnsi="Times New Roman"/>
          <w:color w:val="auto"/>
          <w:sz w:val="26"/>
          <w:szCs w:val="26"/>
        </w:rPr>
        <w:t>служит каркасом для образовательных программ, культуры, молодежной политики, демографии, креативной экономики, цифровой трансформации и информационной политики.</w:t>
      </w:r>
    </w:p>
    <w:p w:rsidR="00E618FE" w:rsidRPr="00C421E3" w:rsidRDefault="00E618FE">
      <w:pPr>
        <w:pStyle w:val="a4"/>
        <w:rPr>
          <w:rFonts w:ascii="Times New Roman" w:hAnsi="Times New Roman"/>
          <w:color w:val="auto"/>
          <w:sz w:val="26"/>
          <w:szCs w:val="26"/>
        </w:rPr>
      </w:pPr>
    </w:p>
    <w:p w:rsidR="00E618FE" w:rsidRPr="00535A4B" w:rsidRDefault="00800098">
      <w:pPr>
        <w:pStyle w:val="21"/>
        <w:rPr>
          <w:rFonts w:ascii="Times New Roman" w:hAnsi="Times New Roman" w:cs="Times New Roman"/>
        </w:rPr>
      </w:pPr>
      <w:bookmarkStart w:id="116" w:name="_Toc235810148"/>
      <w:bookmarkStart w:id="117" w:name="_Toc238554536"/>
      <w:bookmarkStart w:id="118" w:name="_Hlk230710925"/>
      <w:bookmarkStart w:id="119" w:name="_Toc229484475"/>
      <w:r w:rsidRPr="00535A4B">
        <w:rPr>
          <w:rFonts w:ascii="Times New Roman" w:hAnsi="Times New Roman" w:cs="Times New Roman"/>
        </w:rPr>
        <w:t>Стратегический приоритет 2.1. «Томская область — территория качественного образования и естественного интеллекта»</w:t>
      </w:r>
      <w:bookmarkEnd w:id="116"/>
      <w:bookmarkEnd w:id="117"/>
    </w:p>
    <w:p w:rsidR="00E618FE" w:rsidRPr="00535A4B" w:rsidRDefault="00E618FE">
      <w:pPr>
        <w:pStyle w:val="a4"/>
        <w:rPr>
          <w:rFonts w:ascii="Times New Roman" w:hAnsi="Times New Roman"/>
          <w:color w:val="auto"/>
        </w:rPr>
      </w:pP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Образование как основа современного экономического и социального развития является бесспорным приоритетом. Государственная образовательная политика в Томской области определяется принципами формирования единого образовательного пространства с обеспечением доступности, качества </w:t>
      </w:r>
      <w:r w:rsidR="00C421E3">
        <w:rPr>
          <w:rFonts w:ascii="Times New Roman" w:hAnsi="Times New Roman"/>
          <w:color w:val="auto"/>
          <w:sz w:val="26"/>
          <w:szCs w:val="26"/>
        </w:rPr>
        <w:br/>
      </w:r>
      <w:r w:rsidRPr="00C421E3">
        <w:rPr>
          <w:rFonts w:ascii="Times New Roman" w:hAnsi="Times New Roman"/>
          <w:color w:val="auto"/>
          <w:sz w:val="26"/>
          <w:szCs w:val="26"/>
        </w:rPr>
        <w:t xml:space="preserve">и безопасности всех уровней образования. Усилия региона будут направлены </w:t>
      </w:r>
      <w:r w:rsidR="00C421E3">
        <w:rPr>
          <w:rFonts w:ascii="Times New Roman" w:hAnsi="Times New Roman"/>
          <w:color w:val="auto"/>
          <w:sz w:val="26"/>
          <w:szCs w:val="26"/>
        </w:rPr>
        <w:br/>
      </w:r>
      <w:r w:rsidRPr="00C421E3">
        <w:rPr>
          <w:rFonts w:ascii="Times New Roman" w:hAnsi="Times New Roman"/>
          <w:color w:val="auto"/>
          <w:sz w:val="26"/>
          <w:szCs w:val="26"/>
        </w:rPr>
        <w:t xml:space="preserve">на развитие эффективной и качественной образовательной системы, обеспечивающей современные условия обучения, внедрение инновационных образовательных технологий, совершенствование методик преподавания, повышение квалификации педагогов, преподавателей и наставников, реализацию </w:t>
      </w:r>
      <w:r w:rsidRPr="00C421E3">
        <w:rPr>
          <w:rFonts w:ascii="Times New Roman" w:hAnsi="Times New Roman"/>
          <w:color w:val="auto"/>
          <w:sz w:val="26"/>
          <w:szCs w:val="26"/>
        </w:rPr>
        <w:lastRenderedPageBreak/>
        <w:t>потенциала каждого обучающегося. Важнейшей задачей будущего этапа является совершенствование структуры подготовки специалистов в системах профессионального и высшего образования с учетом реальных потребностей экономики Томской области.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Региону необходима модель образования, объединяющая все уровни </w:t>
      </w:r>
      <w:r w:rsidR="00C421E3">
        <w:rPr>
          <w:rFonts w:ascii="Times New Roman" w:hAnsi="Times New Roman"/>
          <w:color w:val="auto"/>
          <w:sz w:val="26"/>
          <w:szCs w:val="26"/>
        </w:rPr>
        <w:br/>
      </w:r>
      <w:r w:rsidRPr="00C421E3">
        <w:rPr>
          <w:rFonts w:ascii="Times New Roman" w:hAnsi="Times New Roman"/>
          <w:color w:val="auto"/>
          <w:sz w:val="26"/>
          <w:szCs w:val="26"/>
        </w:rPr>
        <w:t xml:space="preserve">и направления подготовки, способная быстро адаптироваться, сохранять устойчивость, эффективно использовать новые технологии и реагировать </w:t>
      </w:r>
      <w:r w:rsidR="00C421E3">
        <w:rPr>
          <w:rFonts w:ascii="Times New Roman" w:hAnsi="Times New Roman"/>
          <w:color w:val="auto"/>
          <w:sz w:val="26"/>
          <w:szCs w:val="26"/>
        </w:rPr>
        <w:br/>
      </w:r>
      <w:r w:rsidRPr="00C421E3">
        <w:rPr>
          <w:rFonts w:ascii="Times New Roman" w:hAnsi="Times New Roman"/>
          <w:color w:val="auto"/>
          <w:sz w:val="26"/>
          <w:szCs w:val="26"/>
        </w:rPr>
        <w:t>на реальные запросы экономики. Профессиональная ориентация на ранних этапах обучения, кластерный подход в сфере профессионального образования, практико-ориентированные образовательные программы в профессиональных образовательных организациях и образовательных организациях высшего образования обеспечат устойчивость развития экономики региона и возможности непрерывного образования в течение жизни.</w:t>
      </w:r>
    </w:p>
    <w:p w:rsidR="00C421E3" w:rsidRDefault="00C421E3">
      <w:pPr>
        <w:pStyle w:val="41"/>
        <w:keepNext w:val="0"/>
        <w:keepLines w:val="0"/>
        <w:rPr>
          <w:rFonts w:ascii="Times New Roman" w:hAnsi="Times New Roman"/>
          <w:lang w:val="ru-RU" w:eastAsia="ar-SA"/>
        </w:rPr>
      </w:pPr>
    </w:p>
    <w:p w:rsidR="00E618FE" w:rsidRPr="00535A4B" w:rsidRDefault="00800098">
      <w:pPr>
        <w:pStyle w:val="41"/>
        <w:keepNext w:val="0"/>
        <w:keepLines w:val="0"/>
        <w:rPr>
          <w:rFonts w:ascii="Times New Roman" w:hAnsi="Times New Roman"/>
          <w:b w:val="0"/>
          <w:i/>
          <w:iCs/>
          <w:lang w:val="ru-RU" w:eastAsia="ar-SA"/>
        </w:rPr>
      </w:pPr>
      <w:r w:rsidRPr="00535A4B">
        <w:rPr>
          <w:rFonts w:ascii="Times New Roman" w:hAnsi="Times New Roman"/>
          <w:lang w:val="ru-RU" w:eastAsia="ar-SA"/>
        </w:rPr>
        <w:t>Задачи:</w:t>
      </w:r>
    </w:p>
    <w:p w:rsidR="00E618FE" w:rsidRPr="00535A4B" w:rsidRDefault="00800098">
      <w:pPr>
        <w:pStyle w:val="51"/>
        <w:rPr>
          <w:rFonts w:ascii="Times New Roman" w:hAnsi="Times New Roman"/>
          <w:b/>
          <w:szCs w:val="28"/>
          <w:lang w:val="ru-RU" w:eastAsia="ar-SA"/>
        </w:rPr>
      </w:pPr>
      <w:r w:rsidRPr="00535A4B">
        <w:rPr>
          <w:rFonts w:ascii="Times New Roman" w:hAnsi="Times New Roman"/>
          <w:b/>
          <w:szCs w:val="28"/>
          <w:lang w:val="ru-RU" w:eastAsia="ar-SA"/>
        </w:rPr>
        <w:t>Дошкольное образование:</w:t>
      </w:r>
    </w:p>
    <w:p w:rsidR="00E618FE" w:rsidRPr="00535A4B" w:rsidRDefault="00800098">
      <w:pPr>
        <w:pStyle w:val="a4"/>
        <w:rPr>
          <w:rFonts w:ascii="Times New Roman" w:hAnsi="Times New Roman"/>
          <w:color w:val="auto"/>
        </w:rPr>
      </w:pPr>
      <w:r w:rsidRPr="00535A4B">
        <w:rPr>
          <w:rFonts w:ascii="Times New Roman" w:hAnsi="Times New Roman"/>
          <w:b/>
          <w:color w:val="auto"/>
        </w:rPr>
        <w:t>Задача 2.1.1. Обеспечить поддержание полного удовлетворения потребности детей до 7 лет в образовательных программах дошкольного образования с повышением его качества.</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своевременный ремонт существующих зданий дошкольных образовательных организаций (ДОО);</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строительство новых ДОО в районах активной жилищной застройки городов;</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создание ведомственных ДОО совместно с крупными промышленными предприятиями и тематических (ведомственных) групп в детских садах;</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поддержка дошкольных образовательных организаций в сельской местности;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реализация комплексной программы «Комфортный детский сад»: внедрение стандартов взаимодействия с родителями, системы безопасности, штатного расписания, бережливого производства, визуальных пространственных решений (дизайн, цветовая палитра и т.п.);</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продолжение оснащения дошкольных образовательных организаций современными средствами обучения и воспитания;</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повышение доступности психолого-педагогической помощи воспитанникам и их родителям, в том числе посредством увеличения численности штатных педагогов-психологов в дошкольных образовательных организациях;</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поддержание высокого уровня квалификации педагогических работников дошкольных образовательных организаций; реализация программ профессиональной переподготовки для высвобождающихся педагогических работников;</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разработка и реализация в ДОО образовательных программ, воспитывающих семейные ценности;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продолжение реализации программ родительского просвещения воспитанников ДОО, включая реализацию проекта «Родительский университет»; вовлечение родителей в образовательный процесс;</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lastRenderedPageBreak/>
        <w:t>— разработка и реализация совместно с томскими вузами региональной инициативы «Современный детский сад наукограда», включающей комплекс образовательных программ/образовательных проектов для детей дошкольного возраста в области естественно научного и исторического просвещения.</w:t>
      </w:r>
    </w:p>
    <w:p w:rsidR="00C421E3" w:rsidRDefault="00C421E3">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2.1.2. Повысить эффективность использования помещений муниципальных дошкольных образовательных организаций</w:t>
      </w:r>
      <w:r w:rsidRPr="00535A4B">
        <w:rPr>
          <w:rFonts w:ascii="Times New Roman" w:hAnsi="Times New Roman"/>
          <w:color w:val="auto"/>
        </w:rPr>
        <w:t xml:space="preserve">. </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гибкое перепрофилирование помещений при снижении численности воспитанников для решения актуальных задач сферы образования: переоборудование высвобождающихся площадей для реализации дополнительных образовательных программ для детей, организации отдыха и оздоровления детей </w:t>
      </w:r>
      <w:r w:rsidR="00C421E3">
        <w:rPr>
          <w:rFonts w:ascii="Times New Roman" w:hAnsi="Times New Roman"/>
          <w:color w:val="auto"/>
          <w:sz w:val="26"/>
          <w:szCs w:val="26"/>
        </w:rPr>
        <w:br/>
      </w:r>
      <w:r w:rsidRPr="00C421E3">
        <w:rPr>
          <w:rFonts w:ascii="Times New Roman" w:hAnsi="Times New Roman"/>
          <w:color w:val="auto"/>
          <w:sz w:val="26"/>
          <w:szCs w:val="26"/>
        </w:rPr>
        <w:t xml:space="preserve">в каникулярный период, а также для реализации образовательных программ начального общего образования в целях уменьшения количества обучающихся </w:t>
      </w:r>
      <w:r w:rsidR="00C421E3">
        <w:rPr>
          <w:rFonts w:ascii="Times New Roman" w:hAnsi="Times New Roman"/>
          <w:color w:val="auto"/>
          <w:sz w:val="26"/>
          <w:szCs w:val="26"/>
        </w:rPr>
        <w:br/>
      </w:r>
      <w:r w:rsidRPr="00C421E3">
        <w:rPr>
          <w:rFonts w:ascii="Times New Roman" w:hAnsi="Times New Roman"/>
          <w:color w:val="auto"/>
          <w:sz w:val="26"/>
          <w:szCs w:val="26"/>
        </w:rPr>
        <w:t>во вторую смену.</w:t>
      </w:r>
    </w:p>
    <w:p w:rsidR="00E618FE" w:rsidRPr="00535A4B" w:rsidRDefault="00800098">
      <w:pPr>
        <w:pStyle w:val="51"/>
        <w:rPr>
          <w:rFonts w:ascii="Times New Roman" w:hAnsi="Times New Roman"/>
          <w:b/>
          <w:bCs w:val="0"/>
          <w:szCs w:val="28"/>
          <w:lang w:val="ru-RU" w:eastAsia="ar-SA"/>
        </w:rPr>
      </w:pPr>
      <w:r w:rsidRPr="00535A4B">
        <w:rPr>
          <w:rFonts w:ascii="Times New Roman" w:hAnsi="Times New Roman"/>
          <w:b/>
          <w:szCs w:val="28"/>
          <w:lang w:val="ru-RU" w:eastAsia="ar-SA"/>
        </w:rPr>
        <w:t>Начальное общее, основное общее и среднее общее образование:</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2.1.3. Провести системную трансформацию общего образования.</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цифровая трансформация отрасли и внедрение новых педагогических методик, обеспечивающих индивидуализацию образовательных траекторий;</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формирование у обучающихся навыков критического мышления, креативности, коммуникации и цифровой грамотности;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внедрение стандартов взаимодействия с родителями, системы безопасности общеобразовательных организаций, штатного расписания, бережливого производства, визуальных решений (дизайн, цветовая палитра и т.п.);</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создание образовательных кампусов путем укрупнения образовательных организаций системы общего и профессионального образования;</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повышение доступности психолого-педагогической помощи </w:t>
      </w:r>
      <w:r w:rsidR="00C421E3">
        <w:rPr>
          <w:rFonts w:ascii="Times New Roman" w:hAnsi="Times New Roman"/>
          <w:color w:val="auto"/>
          <w:sz w:val="26"/>
          <w:szCs w:val="26"/>
        </w:rPr>
        <w:br/>
      </w:r>
      <w:r w:rsidRPr="00C421E3">
        <w:rPr>
          <w:rFonts w:ascii="Times New Roman" w:hAnsi="Times New Roman"/>
          <w:color w:val="auto"/>
          <w:sz w:val="26"/>
          <w:szCs w:val="26"/>
        </w:rPr>
        <w:t>для участников образовательных отношений, в том числе посредством увеличения численности штатных педагогов-психологов в общеобразовательных организациях;</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развитие сельских общеобразовательных организаций на основе формирования образовательных кластеров.</w:t>
      </w:r>
    </w:p>
    <w:p w:rsidR="00C421E3" w:rsidRDefault="00C421E3">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2.1.4. Сформировать региональную модель профильного обучения в общеобразовательных организациях с учетом региональной специфики.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создание сети специализированных профильных классов в соответствии </w:t>
      </w:r>
      <w:r w:rsidR="00C421E3">
        <w:rPr>
          <w:rFonts w:ascii="Times New Roman" w:hAnsi="Times New Roman"/>
          <w:color w:val="auto"/>
          <w:sz w:val="26"/>
          <w:szCs w:val="26"/>
        </w:rPr>
        <w:br/>
      </w:r>
      <w:r w:rsidRPr="00C421E3">
        <w:rPr>
          <w:rFonts w:ascii="Times New Roman" w:hAnsi="Times New Roman"/>
          <w:color w:val="auto"/>
          <w:sz w:val="26"/>
          <w:szCs w:val="26"/>
        </w:rPr>
        <w:t>с реальными запросами региональной экономики, в том числе агротехнологических классов с учетом перспектив развития каждого муниципального образования;</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повышение качества преподавания и популяризации среди обучающихся таких предметов, как химия, физика, информатика, биология, профильная математика;</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lastRenderedPageBreak/>
        <w:t xml:space="preserve">— создание в партнерстве с организациями, реализующими образовательные программы высшего образования, системы распределенных профильных классов </w:t>
      </w:r>
      <w:r w:rsidR="00C421E3">
        <w:rPr>
          <w:rFonts w:ascii="Times New Roman" w:hAnsi="Times New Roman"/>
          <w:color w:val="auto"/>
          <w:sz w:val="26"/>
          <w:szCs w:val="26"/>
        </w:rPr>
        <w:br/>
      </w:r>
      <w:r w:rsidRPr="00C421E3">
        <w:rPr>
          <w:rFonts w:ascii="Times New Roman" w:hAnsi="Times New Roman"/>
          <w:color w:val="auto"/>
          <w:sz w:val="26"/>
          <w:szCs w:val="26"/>
        </w:rPr>
        <w:t>с учетом платформенных решений образовательных организаций высшего образования (медицинские классы, классы ФГАОУ ВО «Томский государственный университет систем управления и радиоэлектроники» и др.);</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развитие системы профориентации, включая программы профессиональной подготовки по профессиям рабочих и должностям служащих </w:t>
      </w:r>
      <w:r w:rsidR="00C421E3">
        <w:rPr>
          <w:rFonts w:ascii="Times New Roman" w:hAnsi="Times New Roman"/>
          <w:color w:val="auto"/>
          <w:sz w:val="26"/>
          <w:szCs w:val="26"/>
        </w:rPr>
        <w:br/>
      </w:r>
      <w:r w:rsidRPr="00C421E3">
        <w:rPr>
          <w:rFonts w:ascii="Times New Roman" w:hAnsi="Times New Roman"/>
          <w:color w:val="auto"/>
          <w:sz w:val="26"/>
          <w:szCs w:val="26"/>
        </w:rPr>
        <w:t>для обучающихся 6 – 11 классов в рамках региональной программы «Профессионалитет» и другие региональные инициативы.</w:t>
      </w:r>
    </w:p>
    <w:p w:rsidR="00C421E3" w:rsidRDefault="00C421E3">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2.1.5. Поддержать развитие педагогических коллективов </w:t>
      </w:r>
      <w:r w:rsidRPr="00535A4B">
        <w:rPr>
          <w:rFonts w:ascii="Times New Roman" w:hAnsi="Times New Roman"/>
          <w:b/>
          <w:bCs/>
          <w:color w:val="auto"/>
        </w:rPr>
        <w:br/>
        <w:t>и комплексное повышение квалификации педагогов</w:t>
      </w:r>
      <w:r w:rsidRPr="00535A4B">
        <w:rPr>
          <w:rFonts w:ascii="Times New Roman" w:hAnsi="Times New Roman"/>
          <w:color w:val="auto"/>
        </w:rPr>
        <w:t>.</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внедрение постоянно действующей системы обучения педагогов </w:t>
      </w:r>
      <w:r w:rsidRPr="00C421E3">
        <w:rPr>
          <w:rFonts w:ascii="Times New Roman" w:hAnsi="Times New Roman"/>
          <w:color w:val="auto"/>
          <w:sz w:val="26"/>
          <w:szCs w:val="26"/>
        </w:rPr>
        <w:br/>
        <w:t>по дополнительным профессиональным программам;</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снижение кадрового дефицита через реализацию региональных инициатив;</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привлечение молодых педагогов и обновление кадрового состава школ, </w:t>
      </w:r>
      <w:r w:rsidR="00C421E3">
        <w:rPr>
          <w:rFonts w:ascii="Times New Roman" w:hAnsi="Times New Roman"/>
          <w:color w:val="auto"/>
          <w:sz w:val="26"/>
          <w:szCs w:val="26"/>
        </w:rPr>
        <w:br/>
      </w:r>
      <w:r w:rsidRPr="00C421E3">
        <w:rPr>
          <w:rFonts w:ascii="Times New Roman" w:hAnsi="Times New Roman"/>
          <w:color w:val="auto"/>
          <w:sz w:val="26"/>
          <w:szCs w:val="26"/>
        </w:rPr>
        <w:t>в том числе с использованием программы «Земский учитель»;</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развитие проекта «Два диплома» на базе ОГБПОУ «Томский государственный педагогический колледж».</w:t>
      </w:r>
    </w:p>
    <w:p w:rsidR="00E618FE" w:rsidRPr="00535A4B" w:rsidRDefault="00E618FE">
      <w:pPr>
        <w:spacing w:after="160" w:line="259" w:lineRule="auto"/>
        <w:rPr>
          <w:b/>
          <w:bCs/>
          <w:sz w:val="28"/>
          <w:szCs w:val="28"/>
          <w:lang w:eastAsia="ar-SA"/>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2.1.6 Решить проблемы капитального ремонта школ </w:t>
      </w:r>
      <w:r w:rsidRPr="00535A4B">
        <w:rPr>
          <w:rFonts w:ascii="Times New Roman" w:hAnsi="Times New Roman"/>
          <w:b/>
          <w:bCs/>
          <w:color w:val="auto"/>
        </w:rPr>
        <w:br/>
        <w:t>и высокой доли обучающихся во вторую смену</w:t>
      </w:r>
      <w:r w:rsidRPr="00535A4B">
        <w:rPr>
          <w:rFonts w:ascii="Times New Roman" w:hAnsi="Times New Roman"/>
          <w:color w:val="auto"/>
        </w:rPr>
        <w:t>.</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строительство новых зданий общеобразовательных организаций </w:t>
      </w:r>
      <w:r w:rsidRPr="00C421E3">
        <w:rPr>
          <w:rFonts w:ascii="Times New Roman" w:hAnsi="Times New Roman"/>
          <w:color w:val="auto"/>
          <w:sz w:val="26"/>
          <w:szCs w:val="26"/>
        </w:rPr>
        <w:br/>
        <w:t xml:space="preserve">(в том числе модульных конструкций) в районах активной застройки </w:t>
      </w:r>
      <w:r w:rsidRPr="00C421E3">
        <w:rPr>
          <w:rFonts w:ascii="Times New Roman" w:hAnsi="Times New Roman"/>
          <w:color w:val="auto"/>
          <w:sz w:val="26"/>
          <w:szCs w:val="26"/>
        </w:rPr>
        <w:br/>
        <w:t xml:space="preserve">с высокой плотностью населения с объективно выявленной потребностью </w:t>
      </w:r>
      <w:r w:rsidRPr="00C421E3">
        <w:rPr>
          <w:rFonts w:ascii="Times New Roman" w:hAnsi="Times New Roman"/>
          <w:color w:val="auto"/>
          <w:sz w:val="26"/>
          <w:szCs w:val="26"/>
        </w:rPr>
        <w:br/>
        <w:t>для ликвидации второй смены;</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проведение капитального ремонта и модернизации существующих зданий общеобразовательных организаций.</w:t>
      </w:r>
    </w:p>
    <w:p w:rsidR="00C421E3" w:rsidRDefault="00C421E3">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2.1.7 Модернизировать здания общеобразовательных организаций, обеспечив их современным оборудованием и средствами обучения, воспитания и безопасности</w:t>
      </w:r>
      <w:r w:rsidRPr="00535A4B">
        <w:rPr>
          <w:rFonts w:ascii="Times New Roman" w:hAnsi="Times New Roman"/>
          <w:color w:val="auto"/>
        </w:rPr>
        <w:t>.</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оснащение оборудованием для изучения предметов естественно научного цикла, а также предметов «Изобразительное искусство», «Музыка», «Труд (Технология)» для реализации проектно-исследовательской деятельности обучающихся с использованием современных технологий;</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повышение (укрепление) антитеррористической и противокриминальной защищенности общеобразовательных организаций, осуществляющих образовательную деятельность по программам начального общего, основного общего, среднего общего образования.</w:t>
      </w:r>
    </w:p>
    <w:p w:rsidR="00C421E3" w:rsidRDefault="00C421E3">
      <w:pPr>
        <w:spacing w:after="160" w:line="259" w:lineRule="auto"/>
        <w:rPr>
          <w:b/>
          <w:bCs/>
          <w:sz w:val="28"/>
          <w:szCs w:val="28"/>
          <w:lang w:eastAsia="ar-SA"/>
        </w:rPr>
      </w:pPr>
      <w:r>
        <w:rPr>
          <w:b/>
          <w:bCs/>
        </w:rPr>
        <w:br w:type="page"/>
      </w:r>
    </w:p>
    <w:p w:rsidR="00E618FE" w:rsidRPr="00535A4B" w:rsidRDefault="00800098">
      <w:pPr>
        <w:pStyle w:val="a4"/>
        <w:rPr>
          <w:rFonts w:ascii="Times New Roman" w:hAnsi="Times New Roman"/>
          <w:color w:val="auto"/>
        </w:rPr>
      </w:pPr>
      <w:r w:rsidRPr="00535A4B">
        <w:rPr>
          <w:rFonts w:ascii="Times New Roman" w:hAnsi="Times New Roman"/>
          <w:b/>
          <w:bCs/>
          <w:color w:val="auto"/>
        </w:rPr>
        <w:lastRenderedPageBreak/>
        <w:t>Задача 2.1.8. Повысить качество образования и удовлетворенность жителей всем спектром услуг на базе зданий общеобразовательных организаций в каждом муниципальном образовании</w:t>
      </w:r>
      <w:r w:rsidRPr="00535A4B">
        <w:rPr>
          <w:rFonts w:ascii="Times New Roman" w:hAnsi="Times New Roman"/>
          <w:color w:val="auto"/>
        </w:rPr>
        <w:t>.</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усиление роли общеобразовательной организации как культурного </w:t>
      </w:r>
      <w:r w:rsidRPr="00C421E3">
        <w:rPr>
          <w:rFonts w:ascii="Times New Roman" w:hAnsi="Times New Roman"/>
          <w:color w:val="auto"/>
          <w:sz w:val="26"/>
          <w:szCs w:val="26"/>
        </w:rPr>
        <w:br/>
        <w:t>и общественного центра, определяющего привлекательность жизни в малых городах и населенных пунктах;</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использование общеобразовательной организации как центра воспитания местного сообщества; разработка и наполнение вариативных модулей дополнительных образовательных программ с учетом региональной и местной специфики. </w:t>
      </w:r>
    </w:p>
    <w:p w:rsidR="00C421E3" w:rsidRDefault="00C421E3">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2.1.9. Развивать сеть специализированных коррекционных общеобразовательных организаций для обучающихся инвалидов и лиц </w:t>
      </w:r>
      <w:r w:rsidRPr="00535A4B">
        <w:rPr>
          <w:rFonts w:ascii="Times New Roman" w:hAnsi="Times New Roman"/>
          <w:b/>
          <w:bCs/>
          <w:color w:val="auto"/>
        </w:rPr>
        <w:br/>
        <w:t>с ОВЗ, а также совершенствовать практики инклюзивного образования.</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формирование модели непрерывного образования детей-инвалидов и детей с ОВЗ, включающей разработку и внедрение адаптированных образовательных программ;</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кадровое обеспечение профильными специалистами;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использование специальных приложений и технологий для освоения учебного материала и развития коммуникативных навыков;</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формирование безбарьерной среды: адаптация зданий и помещений, создание специальных зон для занятий, обеспечение доступности.</w:t>
      </w:r>
    </w:p>
    <w:p w:rsidR="00C421E3" w:rsidRDefault="00C421E3">
      <w:pPr>
        <w:pStyle w:val="51"/>
        <w:rPr>
          <w:rFonts w:ascii="Times New Roman" w:hAnsi="Times New Roman"/>
          <w:b/>
          <w:szCs w:val="28"/>
          <w:lang w:val="ru-RU" w:eastAsia="ar-SA"/>
        </w:rPr>
      </w:pPr>
    </w:p>
    <w:p w:rsidR="00E618FE" w:rsidRPr="00535A4B" w:rsidRDefault="00800098">
      <w:pPr>
        <w:pStyle w:val="51"/>
        <w:rPr>
          <w:rFonts w:ascii="Times New Roman" w:hAnsi="Times New Roman"/>
          <w:b/>
          <w:bCs w:val="0"/>
          <w:szCs w:val="28"/>
          <w:lang w:val="ru-RU" w:eastAsia="ar-SA"/>
        </w:rPr>
      </w:pPr>
      <w:r w:rsidRPr="00535A4B">
        <w:rPr>
          <w:rFonts w:ascii="Times New Roman" w:hAnsi="Times New Roman"/>
          <w:b/>
          <w:szCs w:val="28"/>
          <w:lang w:val="ru-RU" w:eastAsia="ar-SA"/>
        </w:rPr>
        <w:t>Дополнительное образование:</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2.1.10. Создать единую региональную систему образовательного, воспитательного и профориентационного сопровождения детей и молодежи.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интеграция начального общего, основного общего, среднего общего, дополнительного, среднего профессионального и высшего образования, а также воспитательной работы на основе единых целей развития личности, базовых национальных ценностей, региональной идентичности и приоритетов социально-экономического развития Томской области;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стандартизация (внедрение единых стандартов) системы безопасности, штатного расписания, бережливого производства, визуальных пространственных решений (дизайн, цветовая палитра и т.п.);</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формирование индивидуальных образовательных и воспитательных маршрутов обучающихся, обеспечивающих развитие способностей, профессиональное самоопределение и включение детей и молодежи </w:t>
      </w:r>
      <w:r w:rsidRPr="00C421E3">
        <w:rPr>
          <w:rFonts w:ascii="Times New Roman" w:hAnsi="Times New Roman"/>
          <w:color w:val="auto"/>
          <w:sz w:val="26"/>
          <w:szCs w:val="26"/>
        </w:rPr>
        <w:br/>
        <w:t>в социально значимую деятельность;</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развитие наставничества и проектной деятельности с участием педагогов, советников директоров по воспитанию, представителей среднего профессионального и высшего образования, предприятий, детских и молодежных общественных объединений;</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lastRenderedPageBreak/>
        <w:t xml:space="preserve">— обеспечение доступности образовательных, воспитательных </w:t>
      </w:r>
      <w:r w:rsidR="00C421E3">
        <w:rPr>
          <w:rFonts w:ascii="Times New Roman" w:hAnsi="Times New Roman"/>
          <w:color w:val="auto"/>
          <w:sz w:val="26"/>
          <w:szCs w:val="26"/>
        </w:rPr>
        <w:br/>
      </w:r>
      <w:r w:rsidRPr="00C421E3">
        <w:rPr>
          <w:rFonts w:ascii="Times New Roman" w:hAnsi="Times New Roman"/>
          <w:color w:val="auto"/>
          <w:sz w:val="26"/>
          <w:szCs w:val="26"/>
        </w:rPr>
        <w:t xml:space="preserve">и профориентационных возможностей для детей и молодежи во всех муниципальных образованиях, включая сельские школы, в том числе </w:t>
      </w:r>
      <w:r w:rsidRPr="00C421E3">
        <w:rPr>
          <w:rFonts w:ascii="Times New Roman" w:hAnsi="Times New Roman"/>
          <w:color w:val="auto"/>
          <w:sz w:val="26"/>
          <w:szCs w:val="26"/>
        </w:rPr>
        <w:br/>
        <w:t>с использованием сетевых, дистанционных и мобильных форматов;</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развитие системы раннего выявления, сопровождения </w:t>
      </w:r>
      <w:r w:rsidRPr="00C421E3">
        <w:rPr>
          <w:rFonts w:ascii="Times New Roman" w:hAnsi="Times New Roman"/>
          <w:color w:val="auto"/>
          <w:sz w:val="26"/>
          <w:szCs w:val="26"/>
        </w:rPr>
        <w:br/>
        <w:t>и продвижения талантливых детей и молодежи, в том числе из муниципальных образований и сельских территорий.</w:t>
      </w:r>
    </w:p>
    <w:p w:rsidR="00C421E3" w:rsidRDefault="00C421E3">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2.1.11. Актуализировать и развивать дополнительные образовательные программы детей в области инженерии, технологий, естественно научных и исследовательских направлений.</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развитие программ технической, естественно научной, инженерной, исследовательской и проектной направленности, соответствующих приоритетам развития Томской области;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ежегодное обновление содержания программ с учетом достижений науки, техники, технологий, экономики, культуры и социальной сферы, </w:t>
      </w:r>
      <w:r w:rsidRPr="00C421E3">
        <w:rPr>
          <w:rFonts w:ascii="Times New Roman" w:hAnsi="Times New Roman"/>
          <w:color w:val="auto"/>
          <w:sz w:val="26"/>
          <w:szCs w:val="26"/>
        </w:rPr>
        <w:br/>
        <w:t xml:space="preserve">а также запросов профессиональных образовательных организаций </w:t>
      </w:r>
      <w:r w:rsidRPr="00C421E3">
        <w:rPr>
          <w:rFonts w:ascii="Times New Roman" w:hAnsi="Times New Roman"/>
          <w:color w:val="auto"/>
          <w:sz w:val="26"/>
          <w:szCs w:val="26"/>
        </w:rPr>
        <w:br/>
        <w:t xml:space="preserve">и образовательных организаций высшего образования, научных организаций </w:t>
      </w:r>
      <w:r w:rsidR="00C421E3">
        <w:rPr>
          <w:rFonts w:ascii="Times New Roman" w:hAnsi="Times New Roman"/>
          <w:color w:val="auto"/>
          <w:sz w:val="26"/>
          <w:szCs w:val="26"/>
        </w:rPr>
        <w:br/>
      </w:r>
      <w:r w:rsidRPr="00C421E3">
        <w:rPr>
          <w:rFonts w:ascii="Times New Roman" w:hAnsi="Times New Roman"/>
          <w:color w:val="auto"/>
          <w:sz w:val="26"/>
          <w:szCs w:val="26"/>
        </w:rPr>
        <w:t>и работодателей региона;</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интеграция начального общего, основного общего, среднего общего, дополнительного, среднего профессионального и высшего образования </w:t>
      </w:r>
      <w:r w:rsidR="00C421E3">
        <w:rPr>
          <w:rFonts w:ascii="Times New Roman" w:hAnsi="Times New Roman"/>
          <w:color w:val="auto"/>
          <w:sz w:val="26"/>
          <w:szCs w:val="26"/>
        </w:rPr>
        <w:br/>
      </w:r>
      <w:r w:rsidRPr="00C421E3">
        <w:rPr>
          <w:rFonts w:ascii="Times New Roman" w:hAnsi="Times New Roman"/>
          <w:color w:val="auto"/>
          <w:sz w:val="26"/>
          <w:szCs w:val="26"/>
        </w:rPr>
        <w:t>через сетевую форму реализации образовательных программ, программы профессиональной подготовки по профессиям рабочих и должностям служащих, стажировки, проектную и исследовательскую деятельность; интеграция сетевой реализации образовательных программ с Единой моделью профориентации «Билет в будущее»;</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внедрение цифровых сервисов, современного образовательного контента </w:t>
      </w:r>
      <w:r w:rsidR="00C421E3">
        <w:rPr>
          <w:rFonts w:ascii="Times New Roman" w:hAnsi="Times New Roman"/>
          <w:color w:val="auto"/>
          <w:sz w:val="26"/>
          <w:szCs w:val="26"/>
        </w:rPr>
        <w:br/>
      </w:r>
      <w:r w:rsidRPr="00C421E3">
        <w:rPr>
          <w:rFonts w:ascii="Times New Roman" w:hAnsi="Times New Roman"/>
          <w:color w:val="auto"/>
          <w:sz w:val="26"/>
          <w:szCs w:val="26"/>
        </w:rPr>
        <w:t>и практико-ориентированных методов обучения;</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формирование функциональной, цифровой, естественно научной </w:t>
      </w:r>
      <w:r w:rsidRPr="00C421E3">
        <w:rPr>
          <w:rFonts w:ascii="Times New Roman" w:hAnsi="Times New Roman"/>
          <w:color w:val="auto"/>
          <w:sz w:val="26"/>
          <w:szCs w:val="26"/>
        </w:rPr>
        <w:br/>
        <w:t xml:space="preserve">и проектной грамотности, а также ключевых компетенций для личностного, профессионального и гражданского развития детей и молодежи. </w:t>
      </w:r>
    </w:p>
    <w:p w:rsidR="00C421E3" w:rsidRDefault="00C421E3">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2.1.12. Развивать современную и доступную инфраструктуру дополнительного образования детей и молодежи.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развитие сети детских технопарков «Кванториум», центров </w:t>
      </w:r>
      <w:r w:rsidRPr="00C421E3">
        <w:rPr>
          <w:rFonts w:ascii="Times New Roman" w:hAnsi="Times New Roman"/>
          <w:color w:val="auto"/>
          <w:sz w:val="26"/>
          <w:szCs w:val="26"/>
        </w:rPr>
        <w:br/>
        <w:t xml:space="preserve">«IT-куб», центров «Точка роста», школьных технопарков, лабораторий, мастерских, а также техническое оснащение специализированных классов (кружков) в школах </w:t>
      </w:r>
      <w:r w:rsidR="00C421E3">
        <w:rPr>
          <w:rFonts w:ascii="Times New Roman" w:hAnsi="Times New Roman"/>
          <w:color w:val="auto"/>
          <w:sz w:val="26"/>
          <w:szCs w:val="26"/>
        </w:rPr>
        <w:br/>
      </w:r>
      <w:r w:rsidRPr="00C421E3">
        <w:rPr>
          <w:rFonts w:ascii="Times New Roman" w:hAnsi="Times New Roman"/>
          <w:color w:val="auto"/>
          <w:sz w:val="26"/>
          <w:szCs w:val="26"/>
        </w:rPr>
        <w:t xml:space="preserve">и центров практической подготовки на базе организаций СПО; </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создание многофункциональных пространств для практик, групповой работы, дискуссий, турниров, наставничества, проектной деятельности </w:t>
      </w:r>
      <w:r w:rsidR="00C421E3">
        <w:rPr>
          <w:rFonts w:ascii="Times New Roman" w:hAnsi="Times New Roman"/>
          <w:color w:val="auto"/>
          <w:sz w:val="26"/>
          <w:szCs w:val="26"/>
        </w:rPr>
        <w:br/>
      </w:r>
      <w:r w:rsidRPr="00C421E3">
        <w:rPr>
          <w:rFonts w:ascii="Times New Roman" w:hAnsi="Times New Roman"/>
          <w:color w:val="auto"/>
          <w:sz w:val="26"/>
          <w:szCs w:val="26"/>
        </w:rPr>
        <w:t>и деятельности детских общественных объединений;</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оснащение специализированных помещений для технического творчества, цифровых технологий, естественно научных исследований, музыки, спорта, художественной и театральной деятельности;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lastRenderedPageBreak/>
        <w:t xml:space="preserve">— обеспечение высокой загрузки созданной инфраструктуры </w:t>
      </w:r>
      <w:r w:rsidRPr="00C421E3">
        <w:rPr>
          <w:rFonts w:ascii="Times New Roman" w:hAnsi="Times New Roman"/>
          <w:color w:val="auto"/>
          <w:sz w:val="26"/>
          <w:szCs w:val="26"/>
        </w:rPr>
        <w:br/>
        <w:t>через реализацию программ, проектных интенсивов, программ профессиональной подготовки по профессиям рабочих и должностям служащих, исследовательской, творческой, спортивной и воспитательной деятельности;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развитие сетевого взаимодействия общеобразовательных организаций, организаций дополнительного образования, профессиональных образовательных организаций и образовательных организаций высшего образования, учреждений культуры, спорта, молодежной политики, научных организаций и работодателей;</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внедрение системы мониторинга охвата, доступности, загрузки </w:t>
      </w:r>
      <w:r w:rsidRPr="00C421E3">
        <w:rPr>
          <w:rFonts w:ascii="Times New Roman" w:hAnsi="Times New Roman"/>
          <w:color w:val="auto"/>
          <w:sz w:val="26"/>
          <w:szCs w:val="26"/>
        </w:rPr>
        <w:br/>
        <w:t>и результативности использования инфраструктуры дополнительного образования.</w:t>
      </w:r>
    </w:p>
    <w:p w:rsidR="00C421E3" w:rsidRDefault="00C421E3">
      <w:pPr>
        <w:pStyle w:val="a4"/>
        <w:rPr>
          <w:rFonts w:ascii="Times New Roman" w:hAnsi="Times New Roman"/>
          <w:b/>
          <w:bCs/>
          <w:color w:val="auto"/>
        </w:rPr>
      </w:pPr>
      <w:bookmarkStart w:id="120" w:name="_Hlk230969941"/>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2.1.13. Развивать региональную систему выявления, сопровождения и продвижения способностей и талантов детей </w:t>
      </w:r>
      <w:r w:rsidRPr="00535A4B">
        <w:rPr>
          <w:rFonts w:ascii="Times New Roman" w:hAnsi="Times New Roman"/>
          <w:b/>
          <w:bCs/>
          <w:color w:val="auto"/>
        </w:rPr>
        <w:br/>
        <w:t>и молодежи.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укрепление роли регионального центра «Пульсар» как ключевого оператора по выявлению, сопровождению и развитию талантливых детей </w:t>
      </w:r>
      <w:r w:rsidRPr="00C421E3">
        <w:rPr>
          <w:rFonts w:ascii="Times New Roman" w:hAnsi="Times New Roman"/>
          <w:color w:val="auto"/>
          <w:sz w:val="26"/>
          <w:szCs w:val="26"/>
        </w:rPr>
        <w:br/>
        <w:t>и молодежи; развитие сети опорных площадок, включая «Кванториум», «IT куб», центры «Точка роста», организации дополнительного образования и пр.;</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реализация интенсивных профильных программ по направлениям «Наука», «Искусство», «Спорт», «Предпринимательство», а также инженерно-техническим, цифровым, естественно научным, исследовательским и социально-гуманитарным направлениям;</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разработка единых стандартов поддержки талантов (тематические смены, паспорт таланта и прочее); внедрение индивидуальных образовательных маршрутов, тьюторского и наставнического сопровождения; применение метода портфолио, цифрового учета достижений и анализа данных для формирования персональных предложений по развитию;</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продвижение талантливых обучающихся через участие </w:t>
      </w:r>
      <w:r w:rsidRPr="00C421E3">
        <w:rPr>
          <w:rFonts w:ascii="Times New Roman" w:hAnsi="Times New Roman"/>
          <w:color w:val="auto"/>
          <w:sz w:val="26"/>
          <w:szCs w:val="26"/>
        </w:rPr>
        <w:br/>
        <w:t>в олимпиадах, конкурсах, соревнованиях, проектных акселераторах, стажировках, грантовых и стипендиальных программах;</w:t>
      </w:r>
    </w:p>
    <w:p w:rsidR="00E618FE" w:rsidRPr="00C421E3" w:rsidRDefault="00800098">
      <w:pPr>
        <w:pStyle w:val="a4"/>
        <w:rPr>
          <w:rFonts w:ascii="Times New Roman" w:hAnsi="Times New Roman"/>
          <w:b/>
          <w:bCs/>
          <w:color w:val="auto"/>
          <w:sz w:val="26"/>
          <w:szCs w:val="26"/>
        </w:rPr>
      </w:pPr>
      <w:r w:rsidRPr="00C421E3">
        <w:rPr>
          <w:rFonts w:ascii="Times New Roman" w:hAnsi="Times New Roman"/>
          <w:color w:val="auto"/>
          <w:sz w:val="26"/>
          <w:szCs w:val="26"/>
        </w:rPr>
        <w:t>— разработка и реализация региональной инициативы «Школа одаренных детей Томской области».</w:t>
      </w:r>
      <w:bookmarkEnd w:id="120"/>
    </w:p>
    <w:p w:rsidR="00C421E3" w:rsidRDefault="00C421E3">
      <w:pPr>
        <w:pStyle w:val="51"/>
        <w:rPr>
          <w:rFonts w:ascii="Times New Roman" w:hAnsi="Times New Roman"/>
          <w:b/>
          <w:szCs w:val="28"/>
          <w:lang w:val="ru-RU" w:eastAsia="ar-SA"/>
        </w:rPr>
      </w:pPr>
    </w:p>
    <w:p w:rsidR="00E618FE" w:rsidRPr="00535A4B" w:rsidRDefault="00800098">
      <w:pPr>
        <w:pStyle w:val="51"/>
        <w:rPr>
          <w:rFonts w:ascii="Times New Roman" w:hAnsi="Times New Roman"/>
          <w:b/>
          <w:bCs w:val="0"/>
          <w:szCs w:val="28"/>
          <w:lang w:val="ru-RU" w:eastAsia="ar-SA"/>
        </w:rPr>
      </w:pPr>
      <w:r w:rsidRPr="00535A4B">
        <w:rPr>
          <w:rFonts w:ascii="Times New Roman" w:hAnsi="Times New Roman"/>
          <w:b/>
          <w:szCs w:val="28"/>
          <w:lang w:val="ru-RU" w:eastAsia="ar-SA"/>
        </w:rPr>
        <w:t>Среднее профессиональное образование:</w:t>
      </w: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2.1.14. Обеспечить дальнейшее развитие среднего профессионального образования на основе кластерной политики</w:t>
      </w:r>
      <w:r w:rsidRPr="00535A4B">
        <w:rPr>
          <w:rFonts w:ascii="Times New Roman" w:hAnsi="Times New Roman"/>
          <w:color w:val="auto"/>
        </w:rPr>
        <w:t>.</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масштабирование кластерного подхода на новые отрасли.</w:t>
      </w:r>
    </w:p>
    <w:p w:rsidR="00C421E3" w:rsidRDefault="00C421E3">
      <w:pPr>
        <w:pStyle w:val="a4"/>
        <w:rPr>
          <w:rFonts w:ascii="Times New Roman" w:hAnsi="Times New Roman"/>
          <w:b/>
          <w:bCs/>
          <w:color w:val="auto"/>
        </w:rPr>
      </w:pPr>
    </w:p>
    <w:p w:rsidR="00F90C4C" w:rsidRDefault="00F90C4C">
      <w:pPr>
        <w:spacing w:after="160" w:line="259" w:lineRule="auto"/>
        <w:rPr>
          <w:b/>
          <w:bCs/>
          <w:sz w:val="28"/>
          <w:szCs w:val="28"/>
          <w:lang w:eastAsia="ar-SA"/>
        </w:rPr>
      </w:pPr>
      <w:r>
        <w:rPr>
          <w:b/>
          <w:bCs/>
        </w:rPr>
        <w:br w:type="page"/>
      </w:r>
    </w:p>
    <w:p w:rsidR="00E618FE" w:rsidRPr="00535A4B" w:rsidRDefault="00800098">
      <w:pPr>
        <w:pStyle w:val="a4"/>
        <w:rPr>
          <w:rFonts w:ascii="Times New Roman" w:hAnsi="Times New Roman"/>
          <w:color w:val="auto"/>
        </w:rPr>
      </w:pPr>
      <w:r w:rsidRPr="00535A4B">
        <w:rPr>
          <w:rFonts w:ascii="Times New Roman" w:hAnsi="Times New Roman"/>
          <w:b/>
          <w:bCs/>
          <w:color w:val="auto"/>
        </w:rPr>
        <w:lastRenderedPageBreak/>
        <w:t>Задача 2.1.15. Сформировать новую образовательную инфраструктуру подготовки рабочих кадров и модернизировать материально-техническую базу существующих профессиональных образовательных организаций</w:t>
      </w:r>
      <w:r w:rsidRPr="00535A4B">
        <w:rPr>
          <w:rFonts w:ascii="Times New Roman" w:hAnsi="Times New Roman"/>
          <w:color w:val="auto"/>
        </w:rPr>
        <w:t>.</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привлечение инвестиций предприятий-работодателей в создание </w:t>
      </w:r>
      <w:r w:rsidRPr="00C421E3">
        <w:rPr>
          <w:rFonts w:ascii="Times New Roman" w:hAnsi="Times New Roman"/>
          <w:color w:val="auto"/>
          <w:sz w:val="26"/>
          <w:szCs w:val="26"/>
        </w:rPr>
        <w:br/>
        <w:t>и оснащение для профессиональных образовательных организаций полных технологических циклов, ориентированных на производственные потребности;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создание центров опережающей профессиональной подготовки, специализированных центров компетенций, многофункциональных центров прикладных квалификаций, центров проведения демонстрационного экзамена;</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расширение сети мастерских и лабораторий, оснащенных современным оборудованием, в том числе авторских мастерских;</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строительство новых профессиональных образовательных организаций </w:t>
      </w:r>
      <w:r w:rsidR="00C421E3">
        <w:rPr>
          <w:rFonts w:ascii="Times New Roman" w:hAnsi="Times New Roman"/>
          <w:color w:val="auto"/>
          <w:sz w:val="26"/>
          <w:szCs w:val="26"/>
        </w:rPr>
        <w:br/>
      </w:r>
      <w:r w:rsidRPr="00C421E3">
        <w:rPr>
          <w:rFonts w:ascii="Times New Roman" w:hAnsi="Times New Roman"/>
          <w:color w:val="auto"/>
          <w:sz w:val="26"/>
          <w:szCs w:val="26"/>
        </w:rPr>
        <w:t xml:space="preserve">в микрорайонах «Южные ворота» и «Северный парк»; </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расширение участия системы профессионального образования Томской области в федеральном проекте «Профессионалитет»;</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xml:space="preserve">— активное участие региона в мероприятиях Всероссийского чемпионатного движения по профессиональному мастерству (чемпионат «Профессионалы», чемпионат высоких технологий, чемпионат «Абилимпикс», чемпионат </w:t>
      </w:r>
      <w:r w:rsidR="00C421E3">
        <w:rPr>
          <w:rFonts w:ascii="Times New Roman" w:hAnsi="Times New Roman"/>
          <w:color w:val="auto"/>
          <w:sz w:val="26"/>
          <w:szCs w:val="26"/>
        </w:rPr>
        <w:br/>
      </w:r>
      <w:r w:rsidRPr="00C421E3">
        <w:rPr>
          <w:rFonts w:ascii="Times New Roman" w:hAnsi="Times New Roman"/>
          <w:color w:val="auto"/>
          <w:sz w:val="26"/>
          <w:szCs w:val="26"/>
        </w:rPr>
        <w:t>по профессиональному мастерству среди участников специальной военной операции, являющихся инвалидами).</w:t>
      </w:r>
    </w:p>
    <w:p w:rsidR="00E618FE" w:rsidRPr="00535A4B" w:rsidRDefault="00E618FE">
      <w:pPr>
        <w:spacing w:after="160" w:line="259" w:lineRule="auto"/>
        <w:rPr>
          <w:b/>
          <w:bCs/>
          <w:sz w:val="28"/>
          <w:szCs w:val="28"/>
          <w:lang w:eastAsia="ar-SA"/>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2.1.16. Распространить практики инклюзивного образования и психолого-педагогической помощи в профессиональных образовательных организациях </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Ключевые направления и механизмы реализации:</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использование адаптированных образовательных программ, учебных планов и методов обучения с применением специальных учебных материалов, технических средств и цифровых технологий;</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обеспечение доступности инфраструктуры и объектов образования;</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повышение инклюзивной компетентности преподавательского состава;</w:t>
      </w:r>
    </w:p>
    <w:p w:rsidR="00E618FE" w:rsidRPr="00C421E3" w:rsidRDefault="00800098">
      <w:pPr>
        <w:pStyle w:val="a4"/>
        <w:rPr>
          <w:rFonts w:ascii="Times New Roman" w:hAnsi="Times New Roman"/>
          <w:color w:val="auto"/>
          <w:sz w:val="26"/>
          <w:szCs w:val="26"/>
        </w:rPr>
      </w:pPr>
      <w:r w:rsidRPr="00C421E3">
        <w:rPr>
          <w:rFonts w:ascii="Times New Roman" w:hAnsi="Times New Roman"/>
          <w:color w:val="auto"/>
          <w:sz w:val="26"/>
          <w:szCs w:val="26"/>
        </w:rPr>
        <w:t>— повышение доступности психолог</w:t>
      </w:r>
      <w:r w:rsidR="00AE2B73">
        <w:rPr>
          <w:rFonts w:ascii="Times New Roman" w:hAnsi="Times New Roman"/>
          <w:color w:val="auto"/>
          <w:sz w:val="26"/>
          <w:szCs w:val="26"/>
        </w:rPr>
        <w:t xml:space="preserve">о-педагогической помощи </w:t>
      </w:r>
      <w:r w:rsidRPr="00C421E3">
        <w:rPr>
          <w:rFonts w:ascii="Times New Roman" w:hAnsi="Times New Roman"/>
          <w:color w:val="auto"/>
          <w:sz w:val="26"/>
          <w:szCs w:val="26"/>
        </w:rPr>
        <w:t>участников образовательных отношений, в том числе на основе увеличения численности штатных педагогов-психологов в профессиональных образовательных организациях.</w:t>
      </w:r>
    </w:p>
    <w:p w:rsidR="00E618FE" w:rsidRPr="00535A4B" w:rsidRDefault="00E618FE">
      <w:pPr>
        <w:spacing w:after="160" w:line="259" w:lineRule="auto"/>
      </w:pPr>
    </w:p>
    <w:p w:rsidR="00E618FE" w:rsidRPr="00535A4B" w:rsidRDefault="00800098">
      <w:pPr>
        <w:pStyle w:val="51"/>
        <w:rPr>
          <w:rFonts w:ascii="Times New Roman" w:hAnsi="Times New Roman"/>
          <w:b/>
          <w:bCs w:val="0"/>
          <w:szCs w:val="28"/>
          <w:lang w:val="ru-RU" w:eastAsia="ar-SA"/>
        </w:rPr>
      </w:pPr>
      <w:r w:rsidRPr="00535A4B">
        <w:rPr>
          <w:rFonts w:ascii="Times New Roman" w:hAnsi="Times New Roman"/>
          <w:b/>
          <w:szCs w:val="28"/>
          <w:lang w:val="ru-RU" w:eastAsia="ar-SA"/>
        </w:rPr>
        <w:t>Высшее образование:</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2.1.17. Стимулировать формирование новых специальностей и направлений подготовки в соответствии с актуальными запросами экономики и технологического развития.</w:t>
      </w:r>
    </w:p>
    <w:p w:rsidR="00E618FE" w:rsidRPr="00206B4D" w:rsidRDefault="00800098">
      <w:pPr>
        <w:pStyle w:val="a4"/>
        <w:rPr>
          <w:rFonts w:ascii="Times New Roman" w:hAnsi="Times New Roman"/>
          <w:color w:val="auto"/>
          <w:sz w:val="26"/>
          <w:szCs w:val="26"/>
        </w:rPr>
      </w:pPr>
      <w:r w:rsidRPr="00206B4D">
        <w:rPr>
          <w:rFonts w:ascii="Times New Roman" w:hAnsi="Times New Roman"/>
          <w:color w:val="auto"/>
          <w:sz w:val="26"/>
          <w:szCs w:val="26"/>
        </w:rPr>
        <w:t>Ключевые направления и механизмы реализации:</w:t>
      </w:r>
    </w:p>
    <w:p w:rsidR="00E618FE" w:rsidRPr="00206B4D" w:rsidRDefault="00800098">
      <w:pPr>
        <w:pStyle w:val="a4"/>
        <w:rPr>
          <w:rFonts w:ascii="Times New Roman" w:hAnsi="Times New Roman"/>
          <w:color w:val="auto"/>
          <w:sz w:val="26"/>
          <w:szCs w:val="26"/>
        </w:rPr>
      </w:pPr>
      <w:r w:rsidRPr="00206B4D">
        <w:rPr>
          <w:rFonts w:ascii="Times New Roman" w:hAnsi="Times New Roman"/>
          <w:color w:val="auto"/>
          <w:sz w:val="26"/>
          <w:szCs w:val="26"/>
        </w:rPr>
        <w:t>—</w:t>
      </w:r>
      <w:r w:rsidR="00274CF8">
        <w:rPr>
          <w:rFonts w:ascii="Times New Roman" w:hAnsi="Times New Roman"/>
          <w:color w:val="auto"/>
          <w:sz w:val="26"/>
          <w:szCs w:val="26"/>
        </w:rPr>
        <w:t xml:space="preserve"> </w:t>
      </w:r>
      <w:r w:rsidRPr="00206B4D">
        <w:rPr>
          <w:rFonts w:ascii="Times New Roman" w:hAnsi="Times New Roman"/>
          <w:color w:val="auto"/>
          <w:sz w:val="26"/>
          <w:szCs w:val="26"/>
        </w:rPr>
        <w:t xml:space="preserve">обеспечение большего соответствия структуры подготовки специалистов приоритетным направлениям развития региона за счет увеличения приема </w:t>
      </w:r>
      <w:r w:rsidR="00274CF8">
        <w:rPr>
          <w:rFonts w:ascii="Times New Roman" w:hAnsi="Times New Roman"/>
          <w:color w:val="auto"/>
          <w:sz w:val="26"/>
          <w:szCs w:val="26"/>
        </w:rPr>
        <w:br/>
      </w:r>
      <w:r w:rsidRPr="00206B4D">
        <w:rPr>
          <w:rFonts w:ascii="Times New Roman" w:hAnsi="Times New Roman"/>
          <w:color w:val="auto"/>
          <w:sz w:val="26"/>
          <w:szCs w:val="26"/>
        </w:rPr>
        <w:t>по инженерным специальностям, специальностям в области цифровизации, экологии и природопользования;</w:t>
      </w:r>
    </w:p>
    <w:p w:rsidR="00E618FE" w:rsidRPr="00206B4D" w:rsidRDefault="00800098">
      <w:pPr>
        <w:pStyle w:val="a4"/>
        <w:rPr>
          <w:rFonts w:ascii="Times New Roman" w:hAnsi="Times New Roman"/>
          <w:color w:val="auto"/>
          <w:sz w:val="26"/>
          <w:szCs w:val="26"/>
        </w:rPr>
      </w:pPr>
      <w:r w:rsidRPr="00206B4D">
        <w:rPr>
          <w:rFonts w:ascii="Times New Roman" w:hAnsi="Times New Roman"/>
          <w:color w:val="auto"/>
          <w:sz w:val="26"/>
          <w:szCs w:val="26"/>
        </w:rPr>
        <w:lastRenderedPageBreak/>
        <w:t xml:space="preserve">— расширение и актуализация программ высшего образования в области STEM (математические и естественные науки, инженерное дело, технологии </w:t>
      </w:r>
      <w:r w:rsidR="00274CF8">
        <w:rPr>
          <w:rFonts w:ascii="Times New Roman" w:hAnsi="Times New Roman"/>
          <w:color w:val="auto"/>
          <w:sz w:val="26"/>
          <w:szCs w:val="26"/>
        </w:rPr>
        <w:br/>
      </w:r>
      <w:r w:rsidRPr="00206B4D">
        <w:rPr>
          <w:rFonts w:ascii="Times New Roman" w:hAnsi="Times New Roman"/>
          <w:color w:val="auto"/>
          <w:sz w:val="26"/>
          <w:szCs w:val="26"/>
        </w:rPr>
        <w:t>и технические науки, медицинская кибернетика, бизнес-информатика, интеллектуальные системы в гуманитарной сфере);</w:t>
      </w:r>
    </w:p>
    <w:p w:rsidR="00E618FE" w:rsidRPr="00206B4D" w:rsidRDefault="00800098">
      <w:pPr>
        <w:pStyle w:val="a4"/>
        <w:rPr>
          <w:rFonts w:ascii="Times New Roman" w:hAnsi="Times New Roman"/>
          <w:color w:val="auto"/>
          <w:sz w:val="26"/>
          <w:szCs w:val="26"/>
        </w:rPr>
      </w:pPr>
      <w:r w:rsidRPr="00206B4D">
        <w:rPr>
          <w:rFonts w:ascii="Times New Roman" w:hAnsi="Times New Roman"/>
          <w:color w:val="auto"/>
          <w:sz w:val="26"/>
          <w:szCs w:val="26"/>
        </w:rPr>
        <w:t>— особое внимание перспективным направлениям инженерного образования, связанного с отраслевой специализаций региона («Химия и новые материалы», «Микроэлектроника», «Новая энергетика», «Большие данные и искусственный интеллект» и прочее).</w:t>
      </w:r>
    </w:p>
    <w:p w:rsidR="00274CF8" w:rsidRDefault="00274CF8">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2.1.18. Содействовать реализации модели территориальной интеграции научно-образовательного комплекса «Большой университет Томска».</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развитие совместных научных исследований в новых междисциплинарных областях и коммерциализация их результатов;</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реализация масштабных инновационных проектов, пилотных инициатив, расширение практик межуниверситетского образования;</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формирование научно-исследовательской, творческой мультикультурной молодежной среды, способствующей закреплению выпускников в регионе;</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создание современного межвузовского кампуса в г. Томске как территориального кластера с коворкингами, полигонами для тестирования технологий, филиалами компаний, общежитиями и жильем для преподавателей.</w:t>
      </w:r>
    </w:p>
    <w:p w:rsidR="00274CF8" w:rsidRDefault="00274CF8">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2.1.19. Содействовать укреплению сетевого взаимодействия вузов с предприятиями для перехода на передовые практико-ориентированные форматы подготовки.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создание базовых кафедр на предприятиях для расширения внедрения </w:t>
      </w:r>
      <w:r w:rsidR="00274CF8">
        <w:rPr>
          <w:rFonts w:ascii="Times New Roman" w:hAnsi="Times New Roman"/>
          <w:color w:val="auto"/>
          <w:sz w:val="26"/>
          <w:szCs w:val="26"/>
        </w:rPr>
        <w:br/>
      </w:r>
      <w:r w:rsidRPr="00274CF8">
        <w:rPr>
          <w:rFonts w:ascii="Times New Roman" w:hAnsi="Times New Roman"/>
          <w:color w:val="auto"/>
          <w:sz w:val="26"/>
          <w:szCs w:val="26"/>
        </w:rPr>
        <w:t>в учебный процесс практико-ориентированных курсов, практик и стажировок;</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дальнейшее развитие на базе вузов передовых инженерных школ </w:t>
      </w:r>
      <w:r w:rsidR="00274CF8">
        <w:rPr>
          <w:rFonts w:ascii="Times New Roman" w:hAnsi="Times New Roman"/>
          <w:color w:val="auto"/>
          <w:sz w:val="26"/>
          <w:szCs w:val="26"/>
        </w:rPr>
        <w:br/>
      </w:r>
      <w:r w:rsidRPr="00274CF8">
        <w:rPr>
          <w:rFonts w:ascii="Times New Roman" w:hAnsi="Times New Roman"/>
          <w:color w:val="auto"/>
          <w:sz w:val="26"/>
          <w:szCs w:val="26"/>
        </w:rPr>
        <w:t xml:space="preserve">для подготовки высококвалифицированных инженерных кадров совместно </w:t>
      </w:r>
      <w:r w:rsidR="00274CF8">
        <w:rPr>
          <w:rFonts w:ascii="Times New Roman" w:hAnsi="Times New Roman"/>
          <w:color w:val="auto"/>
          <w:sz w:val="26"/>
          <w:szCs w:val="26"/>
        </w:rPr>
        <w:br/>
      </w:r>
      <w:r w:rsidRPr="00274CF8">
        <w:rPr>
          <w:rFonts w:ascii="Times New Roman" w:hAnsi="Times New Roman"/>
          <w:color w:val="auto"/>
          <w:sz w:val="26"/>
          <w:szCs w:val="26"/>
        </w:rPr>
        <w:t>с предприятиями;</w:t>
      </w:r>
    </w:p>
    <w:p w:rsidR="00E618FE" w:rsidRPr="00274CF8" w:rsidRDefault="00800098">
      <w:pPr>
        <w:pStyle w:val="a4"/>
        <w:rPr>
          <w:rFonts w:ascii="Times New Roman" w:hAnsi="Times New Roman"/>
          <w:b/>
          <w:bCs/>
          <w:color w:val="auto"/>
          <w:sz w:val="26"/>
          <w:szCs w:val="26"/>
        </w:rPr>
      </w:pPr>
      <w:r w:rsidRPr="00274CF8">
        <w:rPr>
          <w:rFonts w:ascii="Times New Roman" w:hAnsi="Times New Roman"/>
          <w:color w:val="auto"/>
          <w:sz w:val="26"/>
          <w:szCs w:val="26"/>
        </w:rPr>
        <w:t>— всестороннее использование возможностей Центра опережающей подготовки и переподготовки квалифицированных кадров по направлению новых материалов и химии (</w:t>
      </w:r>
      <w:bookmarkStart w:id="121" w:name="_Hlk231432542"/>
      <w:bookmarkStart w:id="122" w:name="_Hlk231433280"/>
      <w:r w:rsidRPr="00274CF8">
        <w:rPr>
          <w:rFonts w:ascii="Times New Roman" w:hAnsi="Times New Roman"/>
          <w:color w:val="auto"/>
          <w:sz w:val="26"/>
          <w:szCs w:val="26"/>
        </w:rPr>
        <w:t>ФГАОУ ВО «Национальный исследовательский Томский государственный университет»</w:t>
      </w:r>
      <w:bookmarkEnd w:id="121"/>
      <w:r w:rsidRPr="00274CF8">
        <w:rPr>
          <w:rFonts w:ascii="Times New Roman" w:hAnsi="Times New Roman"/>
          <w:color w:val="auto"/>
          <w:sz w:val="26"/>
          <w:szCs w:val="26"/>
        </w:rPr>
        <w:t xml:space="preserve"> </w:t>
      </w:r>
      <w:bookmarkEnd w:id="122"/>
      <w:r w:rsidR="00274CF8">
        <w:rPr>
          <w:rFonts w:ascii="Times New Roman" w:hAnsi="Times New Roman"/>
          <w:color w:val="auto"/>
          <w:sz w:val="26"/>
          <w:szCs w:val="26"/>
        </w:rPr>
        <w:t>–</w:t>
      </w:r>
      <w:r w:rsidRPr="00274CF8">
        <w:rPr>
          <w:rFonts w:ascii="Times New Roman" w:hAnsi="Times New Roman"/>
          <w:color w:val="auto"/>
          <w:sz w:val="26"/>
          <w:szCs w:val="26"/>
        </w:rPr>
        <w:t xml:space="preserve"> федеральный оператор Центра) для стажировок </w:t>
      </w:r>
      <w:r w:rsidR="00274CF8">
        <w:rPr>
          <w:rFonts w:ascii="Times New Roman" w:hAnsi="Times New Roman"/>
          <w:color w:val="auto"/>
          <w:sz w:val="26"/>
          <w:szCs w:val="26"/>
        </w:rPr>
        <w:br/>
      </w:r>
      <w:r w:rsidRPr="00274CF8">
        <w:rPr>
          <w:rFonts w:ascii="Times New Roman" w:hAnsi="Times New Roman"/>
          <w:color w:val="auto"/>
          <w:sz w:val="26"/>
          <w:szCs w:val="26"/>
        </w:rPr>
        <w:t>и практик преподавателей и студентов.</w:t>
      </w:r>
    </w:p>
    <w:p w:rsidR="00274CF8" w:rsidRDefault="00274CF8">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2.1.20. Содействовать расширению рынков образовательных услуг томских вузов.</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совершенствование модели «бесшовного» образования и ее продвижение на новые направления обучения;</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расширение взаимодействия вузов с муниципалитетами региона </w:t>
      </w:r>
      <w:r w:rsidR="00274CF8">
        <w:rPr>
          <w:rFonts w:ascii="Times New Roman" w:hAnsi="Times New Roman"/>
          <w:color w:val="auto"/>
          <w:sz w:val="26"/>
          <w:szCs w:val="26"/>
        </w:rPr>
        <w:br/>
      </w:r>
      <w:r w:rsidRPr="00274CF8">
        <w:rPr>
          <w:rFonts w:ascii="Times New Roman" w:hAnsi="Times New Roman"/>
          <w:color w:val="auto"/>
          <w:sz w:val="26"/>
          <w:szCs w:val="26"/>
        </w:rPr>
        <w:t xml:space="preserve">для привлечения абитуриентов из Томской области (проект «Учись в Томске!»); </w:t>
      </w:r>
    </w:p>
    <w:p w:rsidR="00E618FE" w:rsidRPr="00274CF8" w:rsidRDefault="00800098">
      <w:pPr>
        <w:pStyle w:val="a4"/>
        <w:rPr>
          <w:rFonts w:ascii="Times New Roman" w:hAnsi="Times New Roman"/>
          <w:b/>
          <w:bCs/>
          <w:color w:val="auto"/>
          <w:sz w:val="26"/>
          <w:szCs w:val="26"/>
        </w:rPr>
      </w:pPr>
      <w:r w:rsidRPr="00274CF8">
        <w:rPr>
          <w:rFonts w:ascii="Times New Roman" w:hAnsi="Times New Roman"/>
          <w:color w:val="auto"/>
          <w:sz w:val="26"/>
          <w:szCs w:val="26"/>
        </w:rPr>
        <w:t xml:space="preserve">— активное продвижение возможностей томского высшего образования </w:t>
      </w:r>
      <w:r w:rsidR="00274CF8">
        <w:rPr>
          <w:rFonts w:ascii="Times New Roman" w:hAnsi="Times New Roman"/>
          <w:color w:val="auto"/>
          <w:sz w:val="26"/>
          <w:szCs w:val="26"/>
        </w:rPr>
        <w:br/>
      </w:r>
      <w:r w:rsidRPr="00274CF8">
        <w:rPr>
          <w:rFonts w:ascii="Times New Roman" w:hAnsi="Times New Roman"/>
          <w:color w:val="auto"/>
          <w:sz w:val="26"/>
          <w:szCs w:val="26"/>
        </w:rPr>
        <w:t>в регионах Сибирского федерального округа и других восточных регионах Российской Федерации;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lastRenderedPageBreak/>
        <w:t>— дальнейшее развитие экспорта образовательных услуг в различных формах их предоставления.</w:t>
      </w:r>
    </w:p>
    <w:p w:rsidR="00F90C4C" w:rsidRDefault="00F90C4C">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2.1.21. Развивать практики инклюзивного образования и инклюзивную среду в образовательных организациях высшего образования</w:t>
      </w:r>
      <w:r w:rsidRPr="00535A4B">
        <w:rPr>
          <w:rFonts w:ascii="Times New Roman" w:hAnsi="Times New Roman"/>
          <w:color w:val="auto"/>
        </w:rPr>
        <w:t>.</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внедрение адаптированных образовательных программ, учебных планов и методов обучения с применением специальных учебных материалов, технических средств и цифровых технологий;</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развитие инклюзивной образовательной среды, обеспечение доступности инфраструктуры и объектов образования;</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повышение инклюзивной компетентности преподавательского состава;</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—формирование инклюзивного сообщества, позитивно принимающего разнообразие и способствующего социальному доверию.</w:t>
      </w:r>
    </w:p>
    <w:p w:rsidR="00E618FE" w:rsidRPr="00535A4B" w:rsidRDefault="00E618FE">
      <w:pPr>
        <w:spacing w:after="160" w:line="259" w:lineRule="auto"/>
        <w:rPr>
          <w:b/>
          <w:bCs/>
          <w:sz w:val="28"/>
          <w:szCs w:val="28"/>
          <w:lang w:eastAsia="ar-SA"/>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2.1.22. Стимулировать развитие региональной системы продолженного образования.</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использование механизмов сетевых бизнес-инкубаторов и сетевых образовательных программ в рамках «Большого университета Томска»;</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внедрение национальной модели компетентностей в дополнительные профессиональные программы;</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создание научно-образовательных центров для обеспечения связи обучения с реальным сектором экономики;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расширение возможностей дополнительного образования через курсы, тренинги, конференции, вебинары, семинары, наставничество, стажировки </w:t>
      </w:r>
      <w:r w:rsidR="00274CF8">
        <w:rPr>
          <w:rFonts w:ascii="Times New Roman" w:hAnsi="Times New Roman"/>
          <w:color w:val="auto"/>
          <w:sz w:val="26"/>
          <w:szCs w:val="26"/>
        </w:rPr>
        <w:br/>
      </w:r>
      <w:r w:rsidRPr="00274CF8">
        <w:rPr>
          <w:rFonts w:ascii="Times New Roman" w:hAnsi="Times New Roman"/>
          <w:color w:val="auto"/>
          <w:sz w:val="26"/>
          <w:szCs w:val="26"/>
        </w:rPr>
        <w:t>на рабочем месте и пр.</w:t>
      </w:r>
    </w:p>
    <w:p w:rsidR="00E618FE" w:rsidRPr="00535A4B" w:rsidRDefault="00800098">
      <w:pPr>
        <w:pStyle w:val="41"/>
        <w:rPr>
          <w:rFonts w:ascii="Times New Roman" w:hAnsi="Times New Roman"/>
          <w:lang w:val="ru-RU"/>
        </w:rPr>
      </w:pPr>
      <w:r w:rsidRPr="00535A4B">
        <w:rPr>
          <w:rFonts w:ascii="Times New Roman" w:hAnsi="Times New Roman"/>
          <w:lang w:val="ru-RU"/>
        </w:rPr>
        <w:t>Целевые показатели:</w:t>
      </w:r>
    </w:p>
    <w:p w:rsidR="00E618FE" w:rsidRPr="00274CF8" w:rsidRDefault="00800098">
      <w:pPr>
        <w:pStyle w:val="aff"/>
        <w:rPr>
          <w:rFonts w:ascii="Times New Roman" w:hAnsi="Times New Roman"/>
          <w:sz w:val="26"/>
          <w:szCs w:val="26"/>
          <w:lang w:val="ru-RU"/>
        </w:rPr>
      </w:pPr>
      <w:r w:rsidRPr="00274CF8">
        <w:rPr>
          <w:rFonts w:ascii="Times New Roman" w:hAnsi="Times New Roman"/>
          <w:sz w:val="26"/>
          <w:szCs w:val="26"/>
          <w:lang w:val="ru-RU"/>
        </w:rPr>
        <w:t>Таблица 10.1. Целевые показатели Стратегического пр</w:t>
      </w:r>
      <w:r w:rsidR="00274CF8">
        <w:rPr>
          <w:rFonts w:ascii="Times New Roman" w:hAnsi="Times New Roman"/>
          <w:sz w:val="26"/>
          <w:szCs w:val="26"/>
          <w:lang w:val="ru-RU"/>
        </w:rPr>
        <w:t>иоритета 2.1. «Томская область –</w:t>
      </w:r>
      <w:r w:rsidRPr="00274CF8">
        <w:rPr>
          <w:rFonts w:ascii="Times New Roman" w:hAnsi="Times New Roman"/>
          <w:sz w:val="26"/>
          <w:szCs w:val="26"/>
          <w:lang w:val="ru-RU"/>
        </w:rPr>
        <w:t xml:space="preserve"> территория качественного образования и естественного интеллекта»</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Уровень образования,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70,48</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83,42</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86,30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выпускников, выбравших для прохождения ГИА предмет «Математика профильного уровня»,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58,00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Охват детей и подростков дополнительным образованием,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81,00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85,00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PT Astra Serif"/>
                <w:b w:val="0"/>
                <w:bCs w:val="0"/>
              </w:rPr>
              <w:t>Условия для воспитания гармонично развитой, патриотичной и социально ответственной личности,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90,00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95,00</w:t>
            </w:r>
            <w:bookmarkEnd w:id="118"/>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PT Astra Serif"/>
                <w:b w:val="0"/>
                <w:bCs w:val="0"/>
              </w:rPr>
              <w:t>Доля студентов профессиональных образовательных организаций, вовлеченных в мероприятия Всероссийского чемпионатного движения по профессиональному мастерству «Профессионалы»,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10,25</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35,00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70,00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PT Astra Serif"/>
                <w:b w:val="0"/>
              </w:rPr>
              <w:t>Доля образовательных организаций региона, обеспеченных системами управления и контроля доступа,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100,00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100,00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100,00</w:t>
            </w:r>
          </w:p>
        </w:tc>
      </w:tr>
    </w:tbl>
    <w:p w:rsidR="00E618FE" w:rsidRPr="00535A4B" w:rsidRDefault="00800098">
      <w:pPr>
        <w:pStyle w:val="21"/>
        <w:rPr>
          <w:rFonts w:ascii="Times New Roman" w:hAnsi="Times New Roman" w:cs="Times New Roman"/>
        </w:rPr>
      </w:pPr>
      <w:bookmarkStart w:id="123" w:name="_Toc229484476"/>
      <w:bookmarkStart w:id="124" w:name="_Toc235810149"/>
      <w:bookmarkStart w:id="125" w:name="_Toc238554537"/>
      <w:bookmarkStart w:id="126" w:name="_Hlk236243110"/>
      <w:bookmarkEnd w:id="119"/>
      <w:r w:rsidRPr="00535A4B">
        <w:rPr>
          <w:rFonts w:ascii="Times New Roman" w:hAnsi="Times New Roman" w:cs="Times New Roman"/>
        </w:rPr>
        <w:lastRenderedPageBreak/>
        <w:t>Стратегический приоритет 2.2. «Активная молодежь»</w:t>
      </w:r>
      <w:bookmarkEnd w:id="123"/>
      <w:bookmarkEnd w:id="124"/>
      <w:bookmarkEnd w:id="125"/>
    </w:p>
    <w:p w:rsidR="00E618FE" w:rsidRPr="00535A4B" w:rsidRDefault="00E618FE">
      <w:pPr>
        <w:pStyle w:val="a4"/>
        <w:rPr>
          <w:rFonts w:ascii="Times New Roman" w:hAnsi="Times New Roman"/>
          <w:color w:val="auto"/>
        </w:rPr>
      </w:pP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Молодежная политика в Томской области активно формируется и реализуется по многим направлениям, а региональная инициатива создания координационных штабов по воспитанию признана лучшей российской практикой и рекомендована </w:t>
      </w:r>
      <w:r w:rsidR="00274CF8">
        <w:rPr>
          <w:rFonts w:ascii="Times New Roman" w:hAnsi="Times New Roman"/>
          <w:color w:val="auto"/>
          <w:sz w:val="26"/>
          <w:szCs w:val="26"/>
        </w:rPr>
        <w:br/>
      </w:r>
      <w:r w:rsidRPr="00274CF8">
        <w:rPr>
          <w:rFonts w:ascii="Times New Roman" w:hAnsi="Times New Roman"/>
          <w:color w:val="auto"/>
          <w:sz w:val="26"/>
          <w:szCs w:val="26"/>
        </w:rPr>
        <w:t xml:space="preserve">к внедрению в регионах. Среди достижений последних лет </w:t>
      </w:r>
      <w:r w:rsidR="00274CF8">
        <w:rPr>
          <w:rFonts w:ascii="Times New Roman" w:hAnsi="Times New Roman"/>
          <w:color w:val="auto"/>
          <w:sz w:val="26"/>
          <w:szCs w:val="26"/>
        </w:rPr>
        <w:t>–</w:t>
      </w:r>
      <w:r w:rsidRPr="00274CF8">
        <w:rPr>
          <w:rFonts w:ascii="Times New Roman" w:hAnsi="Times New Roman"/>
          <w:color w:val="auto"/>
          <w:sz w:val="26"/>
          <w:szCs w:val="26"/>
        </w:rPr>
        <w:t xml:space="preserve"> деятельность молодежного объединения сообществ Томской области «МОСТ» (в 2025 году </w:t>
      </w:r>
      <w:r w:rsidR="00274CF8">
        <w:rPr>
          <w:rFonts w:ascii="Times New Roman" w:hAnsi="Times New Roman"/>
          <w:color w:val="auto"/>
          <w:sz w:val="26"/>
          <w:szCs w:val="26"/>
        </w:rPr>
        <w:br/>
      </w:r>
      <w:r w:rsidRPr="00274CF8">
        <w:rPr>
          <w:rFonts w:ascii="Times New Roman" w:hAnsi="Times New Roman"/>
          <w:color w:val="auto"/>
          <w:sz w:val="26"/>
          <w:szCs w:val="26"/>
        </w:rPr>
        <w:t xml:space="preserve">в проектах и мероприятиях приняли участие 140 тыс. молодых людей), свыше </w:t>
      </w:r>
      <w:r w:rsidR="00274CF8">
        <w:rPr>
          <w:rFonts w:ascii="Times New Roman" w:hAnsi="Times New Roman"/>
          <w:color w:val="auto"/>
          <w:sz w:val="26"/>
          <w:szCs w:val="26"/>
        </w:rPr>
        <w:br/>
      </w:r>
      <w:r w:rsidRPr="00274CF8">
        <w:rPr>
          <w:rFonts w:ascii="Times New Roman" w:hAnsi="Times New Roman"/>
          <w:color w:val="auto"/>
          <w:sz w:val="26"/>
          <w:szCs w:val="26"/>
        </w:rPr>
        <w:t xml:space="preserve">110 тыс. человек состоят в региональном отделении «Движения Первых», которое ежегодно входит в число лучших в стране, в учреждениях образования, культуры, спорта, на предприятиях действуют 512 первичных отделений движения. </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Томская область заняла 1-е место в Сибири по объему средств, привлеченных в рамках «Росмолодежь.Гранты», всего проектным офисом было привлечено около 200 млн рублей. В 2025 году более 80 тыс. молодых людей поучаствовали </w:t>
      </w:r>
      <w:r w:rsidR="00274CF8">
        <w:rPr>
          <w:rFonts w:ascii="Times New Roman" w:hAnsi="Times New Roman"/>
          <w:color w:val="auto"/>
          <w:sz w:val="26"/>
          <w:szCs w:val="26"/>
        </w:rPr>
        <w:br/>
      </w:r>
      <w:r w:rsidRPr="00274CF8">
        <w:rPr>
          <w:rFonts w:ascii="Times New Roman" w:hAnsi="Times New Roman"/>
          <w:color w:val="auto"/>
          <w:sz w:val="26"/>
          <w:szCs w:val="26"/>
        </w:rPr>
        <w:t>в мероприятиях, направленных на профессиональное развитие. В целях трансляции историй успеха молодых жителей Томской области в карьере в 2024 году был запущен проект «Остаюсь работать в Томской области», в рамках которого молодые ученые, предприниматели, учителя и директора школ, спортсмены делятся своим карьерным опытом, полученным в регионе.</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В предстоящий период в центре внимания молодежной политики </w:t>
      </w:r>
      <w:r w:rsidRPr="00274CF8">
        <w:rPr>
          <w:rFonts w:ascii="Times New Roman" w:hAnsi="Times New Roman"/>
          <w:color w:val="auto"/>
          <w:sz w:val="26"/>
          <w:szCs w:val="26"/>
        </w:rPr>
        <w:br/>
        <w:t xml:space="preserve">в Томской области </w:t>
      </w:r>
      <w:r w:rsidR="00274CF8">
        <w:rPr>
          <w:rFonts w:ascii="Times New Roman" w:hAnsi="Times New Roman"/>
          <w:color w:val="auto"/>
          <w:sz w:val="26"/>
          <w:szCs w:val="26"/>
        </w:rPr>
        <w:t>–</w:t>
      </w:r>
      <w:r w:rsidRPr="00274CF8">
        <w:rPr>
          <w:rFonts w:ascii="Times New Roman" w:hAnsi="Times New Roman"/>
          <w:color w:val="auto"/>
          <w:sz w:val="26"/>
          <w:szCs w:val="26"/>
        </w:rPr>
        <w:t xml:space="preserve"> создание условий для успешной самореализации и профессионального роста молодежи, развитие системы поддержки молодежных объединений, инициативных молодежных проектов и волонтерской деятельности, формирование патриотических убеждений и нравственных ориентиров молодежи.</w:t>
      </w:r>
    </w:p>
    <w:p w:rsidR="00E618FE" w:rsidRPr="00535A4B" w:rsidRDefault="00800098">
      <w:pPr>
        <w:pStyle w:val="41"/>
        <w:rPr>
          <w:rFonts w:ascii="Times New Roman" w:hAnsi="Times New Roman"/>
          <w:b w:val="0"/>
          <w:i/>
          <w:iCs/>
          <w:lang w:val="ru-RU" w:eastAsia="ar-SA"/>
        </w:rPr>
      </w:pPr>
      <w:r w:rsidRPr="00535A4B">
        <w:rPr>
          <w:rFonts w:ascii="Times New Roman" w:hAnsi="Times New Roman"/>
          <w:lang w:val="ru-RU" w:eastAsia="ar-SA"/>
        </w:rPr>
        <w:t>Задачи:</w:t>
      </w:r>
    </w:p>
    <w:p w:rsidR="00E618FE" w:rsidRPr="00535A4B" w:rsidRDefault="00800098">
      <w:pPr>
        <w:pStyle w:val="a4"/>
        <w:rPr>
          <w:rFonts w:ascii="Times New Roman" w:hAnsi="Times New Roman"/>
          <w:color w:val="auto"/>
        </w:rPr>
      </w:pPr>
      <w:r w:rsidRPr="00535A4B">
        <w:rPr>
          <w:rFonts w:ascii="Times New Roman" w:hAnsi="Times New Roman"/>
          <w:b/>
          <w:color w:val="auto"/>
        </w:rPr>
        <w:t>Задача 2.2.1.</w:t>
      </w:r>
      <w:r w:rsidRPr="00535A4B">
        <w:rPr>
          <w:rFonts w:ascii="Times New Roman" w:hAnsi="Times New Roman"/>
          <w:color w:val="auto"/>
        </w:rPr>
        <w:t xml:space="preserve"> </w:t>
      </w:r>
      <w:r w:rsidRPr="00535A4B">
        <w:rPr>
          <w:rFonts w:ascii="Times New Roman" w:hAnsi="Times New Roman"/>
          <w:b/>
          <w:bCs/>
          <w:color w:val="auto"/>
        </w:rPr>
        <w:t>Добиться закрепления молодежи в Томской области, включая выпускников образовательных организаций высшего образования и профессиональных образовательных организаций.</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разработка и реализация комплексной региональной программы, охватывающей все факторы сохранения молодежи в регионе;</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поддержка и развитие органов молодежного самоуправления, в том числе советов обучающихся общеобразовательных организаций, профессиональных образовательных организаций, образовательных организаций высшего образования;</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развитие системы поддержки молодежных организаций, проектов </w:t>
      </w:r>
      <w:r w:rsidRPr="00274CF8">
        <w:rPr>
          <w:rFonts w:ascii="Times New Roman" w:hAnsi="Times New Roman"/>
          <w:color w:val="auto"/>
          <w:sz w:val="26"/>
          <w:szCs w:val="26"/>
        </w:rPr>
        <w:br/>
        <w:t>и инициатив, направленных на решение социально значимых задач в области образования, духовно-нравственного развития, социального предпринимательства, здравоохранения, культуры, в том числе посредством ресурсной и финансовой поддержки;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расширение инфраструктуры для поддержки добровольческого движения и пространств для развития социальных инноваций на муниципальном уровне, создание условий для образования на территории муниципальных образований Томской области добровольческих центров, в том числе по социальной франшизе «Добро.Центр»;</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создание института поддержки молодых работников, в том числе профессиональных конкурсов, премий, с целью продвижения позитивного образа профессиональной деятельности среди молодежи;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lastRenderedPageBreak/>
        <w:t xml:space="preserve">— развитие системы наставничества в профессиональной сфере </w:t>
      </w:r>
      <w:r w:rsidRPr="00274CF8">
        <w:rPr>
          <w:rFonts w:ascii="Times New Roman" w:hAnsi="Times New Roman"/>
          <w:color w:val="auto"/>
          <w:sz w:val="26"/>
          <w:szCs w:val="26"/>
        </w:rPr>
        <w:br/>
        <w:t>с целью поддержки и адаптации молодежи на первом рабочем месте, создания среды для формирования социальных навыков, повышения профессионального мастерства молодежи и передачи профессионального опыта;</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организация временных рабочих мест для подростков и студентов </w:t>
      </w:r>
      <w:r w:rsidRPr="00274CF8">
        <w:rPr>
          <w:rFonts w:ascii="Times New Roman" w:hAnsi="Times New Roman"/>
          <w:color w:val="auto"/>
          <w:sz w:val="26"/>
          <w:szCs w:val="26"/>
        </w:rPr>
        <w:br/>
        <w:t>в каникулярный период, в том числе в студенческих стройотряда</w:t>
      </w:r>
      <w:r w:rsidR="00274CF8">
        <w:rPr>
          <w:rFonts w:ascii="Times New Roman" w:hAnsi="Times New Roman"/>
          <w:color w:val="auto"/>
          <w:sz w:val="26"/>
          <w:szCs w:val="26"/>
        </w:rPr>
        <w:t xml:space="preserve">х педагогического, сервисного, </w:t>
      </w:r>
      <w:r w:rsidRPr="00274CF8">
        <w:rPr>
          <w:rFonts w:ascii="Times New Roman" w:hAnsi="Times New Roman"/>
          <w:color w:val="auto"/>
          <w:sz w:val="26"/>
          <w:szCs w:val="26"/>
        </w:rPr>
        <w:t>агротехнологического и иных профилей;</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создание условий для развития системы социальных лифтов, поддержки проектов и инициатив, создающих возможности для личной </w:t>
      </w:r>
      <w:r w:rsidRPr="00274CF8">
        <w:rPr>
          <w:rFonts w:ascii="Times New Roman" w:hAnsi="Times New Roman"/>
          <w:color w:val="auto"/>
          <w:sz w:val="26"/>
          <w:szCs w:val="26"/>
        </w:rPr>
        <w:br/>
        <w:t>и профессиональной самореализации молодежи Томской области.</w:t>
      </w:r>
    </w:p>
    <w:p w:rsidR="00274CF8" w:rsidRDefault="00274CF8">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2.2.2. Обеспечить дальнейшее развитие системы управления и инфраструктуры в сфере молодежной политики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создание молодежных центров во всех муниципальных образованиях </w:t>
      </w:r>
      <w:r w:rsidR="00274CF8">
        <w:rPr>
          <w:rFonts w:ascii="Times New Roman" w:hAnsi="Times New Roman"/>
          <w:color w:val="auto"/>
          <w:sz w:val="26"/>
          <w:szCs w:val="26"/>
        </w:rPr>
        <w:br/>
      </w:r>
      <w:r w:rsidRPr="00274CF8">
        <w:rPr>
          <w:rFonts w:ascii="Times New Roman" w:hAnsi="Times New Roman"/>
          <w:color w:val="auto"/>
          <w:sz w:val="26"/>
          <w:szCs w:val="26"/>
        </w:rPr>
        <w:t>(в рамках Президентской программы комплексного развития молодежной политики в Томской области «Регион для молодых» национального проекта «Молодежь и дети») для бесплатных занятий творчеством, спортом, волонтерством и реализации проектов;</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совершенствование деятельности регионального и муниципальных координационных штабов по воспитанию детей и молодежи, созданных </w:t>
      </w:r>
      <w:r w:rsidRPr="00274CF8">
        <w:rPr>
          <w:rFonts w:ascii="Times New Roman" w:hAnsi="Times New Roman"/>
          <w:color w:val="auto"/>
          <w:sz w:val="26"/>
          <w:szCs w:val="26"/>
        </w:rPr>
        <w:br/>
        <w:t>для контроля и мониторинга воспитательной работы;</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поддержка работы Молодежного объединения сообществ Томской области (МОСТ) как диалоговой платформы между молодежью и органами власти </w:t>
      </w:r>
      <w:r w:rsidR="00274CF8">
        <w:rPr>
          <w:rFonts w:ascii="Times New Roman" w:hAnsi="Times New Roman"/>
          <w:color w:val="auto"/>
          <w:sz w:val="26"/>
          <w:szCs w:val="26"/>
        </w:rPr>
        <w:br/>
      </w:r>
      <w:r w:rsidRPr="00274CF8">
        <w:rPr>
          <w:rFonts w:ascii="Times New Roman" w:hAnsi="Times New Roman"/>
          <w:color w:val="auto"/>
          <w:sz w:val="26"/>
          <w:szCs w:val="26"/>
        </w:rPr>
        <w:t>по ключевым направлениям молодежной политики;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расширение участия в Общероссийской организации «Движение Первых», увеличение числа первичных организаций и участников, а также расширение сети центров общественного развития «Добро.Центр»;</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формирование инфраструктуры, нацеленной на решение актуальных запросов молодежи: социализацию, самореализацию, трудоустройство, поддержку молодых семей, обеспечение жильем и организацию активного отдыха.</w:t>
      </w:r>
    </w:p>
    <w:p w:rsidR="00E618FE" w:rsidRPr="00535A4B" w:rsidRDefault="00E618FE">
      <w:pPr>
        <w:spacing w:after="160" w:line="259" w:lineRule="auto"/>
        <w:rPr>
          <w:b/>
          <w:bCs/>
          <w:sz w:val="28"/>
          <w:szCs w:val="28"/>
          <w:lang w:eastAsia="ar-SA"/>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2.2.3. Создать и совершенствовать условия для повышения качества жизни молодежи, ее самореализации и раскрытия потенциала </w:t>
      </w:r>
      <w:r w:rsidRPr="00535A4B">
        <w:rPr>
          <w:rFonts w:ascii="Times New Roman" w:hAnsi="Times New Roman"/>
          <w:b/>
          <w:bCs/>
          <w:color w:val="auto"/>
        </w:rPr>
        <w:br/>
        <w:t xml:space="preserve">в целях развития Томской области как региона генерации знаний </w:t>
      </w:r>
      <w:r w:rsidRPr="00535A4B">
        <w:rPr>
          <w:rFonts w:ascii="Times New Roman" w:hAnsi="Times New Roman"/>
          <w:b/>
          <w:bCs/>
          <w:color w:val="auto"/>
        </w:rPr>
        <w:br/>
        <w:t>и технологий.</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реализация инициатив национального проекта «Молодежь и дети»: развитие института наставничества, содействие трудоустройству и поддержка молодых ученых;</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w:t>
      </w:r>
      <w:r w:rsidR="00274CF8">
        <w:rPr>
          <w:rFonts w:ascii="Times New Roman" w:hAnsi="Times New Roman"/>
          <w:color w:val="auto"/>
          <w:sz w:val="26"/>
          <w:szCs w:val="26"/>
        </w:rPr>
        <w:t xml:space="preserve"> </w:t>
      </w:r>
      <w:r w:rsidRPr="00274CF8">
        <w:rPr>
          <w:rFonts w:ascii="Times New Roman" w:hAnsi="Times New Roman"/>
          <w:color w:val="auto"/>
          <w:sz w:val="26"/>
          <w:szCs w:val="26"/>
        </w:rPr>
        <w:t xml:space="preserve">развитие общегражданской идентичности молодежи на основе патриотизма и исторической памяти; формирование культуры здорового </w:t>
      </w:r>
      <w:r w:rsidRPr="00274CF8">
        <w:rPr>
          <w:rFonts w:ascii="Times New Roman" w:hAnsi="Times New Roman"/>
          <w:color w:val="auto"/>
          <w:sz w:val="26"/>
          <w:szCs w:val="26"/>
        </w:rPr>
        <w:br/>
        <w:t xml:space="preserve">и активного образа жизни в молодежной среде, ответственной позиции </w:t>
      </w:r>
      <w:r w:rsidRPr="00274CF8">
        <w:rPr>
          <w:rFonts w:ascii="Times New Roman" w:hAnsi="Times New Roman"/>
          <w:color w:val="auto"/>
          <w:sz w:val="26"/>
          <w:szCs w:val="26"/>
        </w:rPr>
        <w:br/>
        <w:t>за сохранение и укрепление собственного физического и духовного здоровья;</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w:t>
      </w:r>
      <w:r w:rsidR="00274CF8">
        <w:rPr>
          <w:rFonts w:ascii="Times New Roman" w:hAnsi="Times New Roman"/>
          <w:color w:val="auto"/>
          <w:sz w:val="26"/>
          <w:szCs w:val="26"/>
        </w:rPr>
        <w:t xml:space="preserve"> </w:t>
      </w:r>
      <w:r w:rsidRPr="00274CF8">
        <w:rPr>
          <w:rFonts w:ascii="Times New Roman" w:hAnsi="Times New Roman"/>
          <w:color w:val="auto"/>
          <w:sz w:val="26"/>
          <w:szCs w:val="26"/>
        </w:rPr>
        <w:t xml:space="preserve">создание условий для становления, развития и удержания талантливой молодежи, способной внести вклад в развитие Томской области как региона генерации знаний и технологий; </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lastRenderedPageBreak/>
        <w:t>— обеспечение открытости и равного доступа молодежи, молодых семей, молодежных общественных объединений к соответствующим мерам государственной поддержки;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развитие образовательных, культурных, спортивных и социальных инициатив и проектов, направленных на раскрытие талантов, способностей </w:t>
      </w:r>
      <w:r w:rsidRPr="00274CF8">
        <w:rPr>
          <w:rFonts w:ascii="Times New Roman" w:hAnsi="Times New Roman"/>
          <w:color w:val="auto"/>
          <w:sz w:val="26"/>
          <w:szCs w:val="26"/>
        </w:rPr>
        <w:br/>
        <w:t>и всестороннее развитие личности.</w:t>
      </w:r>
    </w:p>
    <w:p w:rsidR="00274CF8" w:rsidRDefault="00274CF8">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2.2.4. Сформировать комплексную систему мероприятий </w:t>
      </w:r>
      <w:r w:rsidRPr="00535A4B">
        <w:rPr>
          <w:rFonts w:ascii="Times New Roman" w:hAnsi="Times New Roman"/>
          <w:b/>
          <w:bCs/>
          <w:color w:val="auto"/>
        </w:rPr>
        <w:br/>
        <w:t xml:space="preserve">по развитию традиционных российских ценностно-смысловых </w:t>
      </w:r>
      <w:r w:rsidRPr="00535A4B">
        <w:rPr>
          <w:rFonts w:ascii="Times New Roman" w:hAnsi="Times New Roman"/>
          <w:b/>
          <w:bCs/>
          <w:color w:val="auto"/>
        </w:rPr>
        <w:br/>
        <w:t xml:space="preserve">и нравственных ориентиров, гражданственности и патриотизма </w:t>
      </w:r>
      <w:r w:rsidRPr="00535A4B">
        <w:rPr>
          <w:rFonts w:ascii="Times New Roman" w:hAnsi="Times New Roman"/>
          <w:b/>
          <w:bCs/>
          <w:color w:val="auto"/>
        </w:rPr>
        <w:br/>
        <w:t xml:space="preserve">в молодежной среде, созданию благоприятных условий для молодых семей и профилактике негативных проявлений среди молодежи. </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Ключевые направления и механизмы реализации: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обеспечение преемственности и непрерывности программ воспитания, реализуемых для всех возрастов и социально-демографических групп молодежи; </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создание и развитие проектов, направленных на сближение поколений и передачу традиционных российских духовно-нравственных ценностей от старших поколений к младшим, приобщение молодежи к культуре и исторической памяти;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реализация программ развития гражданско-патриотического, общественно полезного, научно-популярного, образовательного, молодежного и детского туризма и отдыха в Томской области с учетом обеспечения их доступности </w:t>
      </w:r>
      <w:r w:rsidR="00274CF8">
        <w:rPr>
          <w:rFonts w:ascii="Times New Roman" w:hAnsi="Times New Roman"/>
          <w:color w:val="auto"/>
          <w:sz w:val="26"/>
          <w:szCs w:val="26"/>
        </w:rPr>
        <w:br/>
      </w:r>
      <w:r w:rsidRPr="00274CF8">
        <w:rPr>
          <w:rFonts w:ascii="Times New Roman" w:hAnsi="Times New Roman"/>
          <w:color w:val="auto"/>
          <w:sz w:val="26"/>
          <w:szCs w:val="26"/>
        </w:rPr>
        <w:t>для молодых граждан;</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популяризация образа защитника Отечества и формирование готовности молодежи к военной службе;</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повышение уровня социально-правовой информированности в вопросах семьи и брака, психологической готовности молодежи к родительству;</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создание условий, пространств и форм досуга для молодых семей на базе инфраструктуры молодежной политики;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поддержка направленных на развитие физической культуры и спорта, туризма, творчества для молодых семей проектов и программ молодежных и детских общественных объединений, некоммерческих организаций, осуществляющих деятельность, направленную на реализацию молодежной политики в Томской области;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xml:space="preserve">— развитие проектов, направленных на формирование системы нравственных и смысловых ориентиров для повышения уровня межнационального (межэтнического) и межконфессионального согласия и взаимодействия </w:t>
      </w:r>
      <w:r w:rsidR="00274CF8">
        <w:rPr>
          <w:rFonts w:ascii="Times New Roman" w:hAnsi="Times New Roman"/>
          <w:color w:val="auto"/>
          <w:sz w:val="26"/>
          <w:szCs w:val="26"/>
        </w:rPr>
        <w:br/>
      </w:r>
      <w:r w:rsidRPr="00274CF8">
        <w:rPr>
          <w:rFonts w:ascii="Times New Roman" w:hAnsi="Times New Roman"/>
          <w:color w:val="auto"/>
          <w:sz w:val="26"/>
          <w:szCs w:val="26"/>
        </w:rPr>
        <w:t>в молодежной среде, позволяющей противостоять идеологии экстремизма, терроризма, проявлениям ксенофобии, коррупции, дискриминации по признакам социальной, религиозной, расовой, национальной принадлежности;</w:t>
      </w:r>
    </w:p>
    <w:p w:rsidR="00E618FE" w:rsidRPr="00274CF8" w:rsidRDefault="00800098">
      <w:pPr>
        <w:pStyle w:val="a4"/>
        <w:rPr>
          <w:rFonts w:ascii="Times New Roman" w:hAnsi="Times New Roman"/>
          <w:color w:val="auto"/>
          <w:sz w:val="26"/>
          <w:szCs w:val="26"/>
        </w:rPr>
      </w:pPr>
      <w:r w:rsidRPr="00274CF8">
        <w:rPr>
          <w:rFonts w:ascii="Times New Roman" w:hAnsi="Times New Roman"/>
          <w:color w:val="auto"/>
          <w:sz w:val="26"/>
          <w:szCs w:val="26"/>
        </w:rPr>
        <w:t>— расширение деятельности Центра информационной безопасности молодежи Томской области и создание единой системы профилактики негативных явлений в молодежной среде.</w:t>
      </w:r>
    </w:p>
    <w:p w:rsidR="001814FE" w:rsidRDefault="001814FE">
      <w:pPr>
        <w:spacing w:after="160" w:line="259" w:lineRule="auto"/>
        <w:rPr>
          <w:b/>
          <w:bCs/>
          <w:spacing w:val="24"/>
          <w:sz w:val="28"/>
          <w:szCs w:val="28"/>
          <w:lang w:eastAsia="ar-SA"/>
        </w:rPr>
      </w:pPr>
      <w:r>
        <w:rPr>
          <w:bCs/>
          <w:lang w:eastAsia="ar-SA"/>
        </w:rPr>
        <w:br w:type="page"/>
      </w:r>
    </w:p>
    <w:p w:rsidR="00E618FE" w:rsidRPr="00535A4B" w:rsidRDefault="00800098">
      <w:pPr>
        <w:pStyle w:val="41"/>
        <w:rPr>
          <w:rFonts w:ascii="Times New Roman" w:hAnsi="Times New Roman"/>
          <w:b w:val="0"/>
          <w:bCs/>
          <w:i/>
          <w:iCs/>
          <w:lang w:val="ru-RU" w:eastAsia="ar-SA"/>
        </w:rPr>
      </w:pPr>
      <w:r w:rsidRPr="00535A4B">
        <w:rPr>
          <w:rFonts w:ascii="Times New Roman" w:hAnsi="Times New Roman"/>
          <w:bCs/>
          <w:lang w:val="ru-RU" w:eastAsia="ar-SA"/>
        </w:rPr>
        <w:lastRenderedPageBreak/>
        <w:t>Целевые показатели:</w:t>
      </w:r>
    </w:p>
    <w:p w:rsidR="00E618FE" w:rsidRPr="00535A4B" w:rsidRDefault="00800098">
      <w:pPr>
        <w:pStyle w:val="aff"/>
        <w:rPr>
          <w:rFonts w:ascii="Times New Roman" w:hAnsi="Times New Roman"/>
          <w:lang w:val="ru-RU"/>
        </w:rPr>
      </w:pPr>
      <w:r w:rsidRPr="00535A4B">
        <w:rPr>
          <w:rFonts w:ascii="Times New Roman" w:hAnsi="Times New Roman"/>
          <w:lang w:val="ru-RU"/>
        </w:rPr>
        <w:t>Таблица 10.2. Целевые показатели Стратегического приоритета 2.2. «Активная молодежь»</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Доля молодых людей, вовлеченных в добровольческую </w:t>
            </w:r>
            <w:r w:rsidRPr="00535A4B">
              <w:rPr>
                <w:b w:val="0"/>
                <w:bCs w:val="0"/>
              </w:rPr>
              <w:br/>
              <w:t>и общественную деятельность,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en-US"/>
              </w:rPr>
              <w:t>27,70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lang w:eastAsia="en-US"/>
              </w:rPr>
              <w:t>Доля молодых людей, вовлеченных в мероприятия, направленные на профессиональное развитие,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en-US"/>
              </w:rPr>
            </w:pPr>
            <w:r w:rsidRPr="00535A4B">
              <w:rPr>
                <w:lang w:eastAsia="en-US"/>
              </w:rPr>
              <w:t>18,10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75,00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78,00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Охват молодежи мероприятиями, проводимыми на базе инфраструктуры молодежной политики,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52,00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Доля молодых людей, участвующих в проектах </w:t>
            </w:r>
            <w:r w:rsidRPr="00535A4B">
              <w:rPr>
                <w:b w:val="0"/>
                <w:bCs w:val="0"/>
              </w:rPr>
              <w:br/>
              <w:t>и программах, направленных на патриотическое воспитание,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41,20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75,00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lang w:eastAsia="en-US"/>
              </w:rPr>
              <w:t xml:space="preserve">Доля молодых семей, в том числе молодых семей, имеющих детей, участвующих в мероприятиях </w:t>
            </w:r>
            <w:r w:rsidRPr="00535A4B">
              <w:rPr>
                <w:b w:val="0"/>
                <w:bCs w:val="0"/>
                <w:lang w:eastAsia="en-US"/>
              </w:rPr>
              <w:br/>
              <w:t xml:space="preserve">по продвижению традиционных духовно-нравственных ценностей, в том числе в проекты и программы, направленные на патриотическое воспитание, </w:t>
            </w:r>
            <w:r w:rsidRPr="00535A4B">
              <w:rPr>
                <w:b w:val="0"/>
                <w:bCs w:val="0"/>
                <w:lang w:eastAsia="en-US"/>
              </w:rPr>
              <w:br/>
              <w:t>в добровольческую и общественную деятельность,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3,30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25,00</w:t>
            </w:r>
          </w:p>
        </w:tc>
      </w:tr>
    </w:tbl>
    <w:p w:rsidR="00E618FE" w:rsidRPr="00535A4B" w:rsidRDefault="00E618FE"/>
    <w:p w:rsidR="00E618FE" w:rsidRPr="00535A4B" w:rsidRDefault="00800098">
      <w:pPr>
        <w:pStyle w:val="21"/>
        <w:rPr>
          <w:rFonts w:ascii="Times New Roman" w:hAnsi="Times New Roman" w:cs="Times New Roman"/>
        </w:rPr>
      </w:pPr>
      <w:bookmarkStart w:id="127" w:name="_Toc229484477"/>
      <w:bookmarkStart w:id="128" w:name="_Toc235810150"/>
      <w:bookmarkStart w:id="129" w:name="_Toc238554538"/>
      <w:bookmarkEnd w:id="126"/>
      <w:r w:rsidRPr="00535A4B">
        <w:rPr>
          <w:rFonts w:ascii="Times New Roman" w:hAnsi="Times New Roman" w:cs="Times New Roman"/>
        </w:rPr>
        <w:t>Стратегический приоритет 2.3. «Добровольчество»</w:t>
      </w:r>
      <w:bookmarkEnd w:id="127"/>
      <w:bookmarkEnd w:id="128"/>
      <w:bookmarkEnd w:id="129"/>
    </w:p>
    <w:p w:rsidR="00E618FE" w:rsidRPr="00535A4B" w:rsidRDefault="00E618FE">
      <w:pPr>
        <w:pStyle w:val="a4"/>
        <w:rPr>
          <w:rFonts w:ascii="Times New Roman" w:hAnsi="Times New Roman"/>
          <w:color w:val="auto"/>
        </w:rPr>
      </w:pP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xml:space="preserve">Развитию добровольчества в Томской области уделяется большое внимание, и в этой сфере достигнуты значимые результаты. Сложилась развитая инфраструктура добровольчества, охватывающая все муниципальные образования, расширяются сферы волонтерской деятельности, растет численность участников этого движения. В 2025 году в мероприятиях добровольческой и общественной деятельности приняли участие свыше 90 тыс. человек, количество зарегистрированных в качестве волонтеров на сайте Добро.рф по сравнению </w:t>
      </w:r>
      <w:r w:rsidR="001814FE">
        <w:rPr>
          <w:rFonts w:ascii="Times New Roman" w:hAnsi="Times New Roman"/>
          <w:color w:val="auto"/>
          <w:sz w:val="26"/>
          <w:szCs w:val="26"/>
        </w:rPr>
        <w:br/>
      </w:r>
      <w:r w:rsidRPr="001814FE">
        <w:rPr>
          <w:rFonts w:ascii="Times New Roman" w:hAnsi="Times New Roman"/>
          <w:color w:val="auto"/>
          <w:sz w:val="26"/>
          <w:szCs w:val="26"/>
        </w:rPr>
        <w:t>с 2023 годом выросло в два раза.</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xml:space="preserve">Добровольная деятельность как форма проявления гражданской активности будет развиваться в русле расширения направлений добровольчества и круга вовлеченных жителей региона всех возрастов, повышения компетенций и навыков участников. Добровольчество станет важной движущей силой решения социальных вопросов и улучшения качества жизни. </w:t>
      </w:r>
    </w:p>
    <w:p w:rsidR="00E618FE" w:rsidRPr="00535A4B" w:rsidRDefault="00800098">
      <w:pPr>
        <w:pStyle w:val="41"/>
        <w:keepNext w:val="0"/>
        <w:keepLines w:val="0"/>
        <w:rPr>
          <w:rFonts w:ascii="Times New Roman" w:hAnsi="Times New Roman"/>
          <w:b w:val="0"/>
          <w:bCs/>
          <w:i/>
          <w:iCs/>
          <w:lang w:val="ru-RU" w:eastAsia="ar-SA"/>
        </w:rPr>
      </w:pPr>
      <w:r w:rsidRPr="00535A4B">
        <w:rPr>
          <w:rFonts w:ascii="Times New Roman" w:hAnsi="Times New Roman"/>
          <w:bCs/>
          <w:lang w:val="ru-RU" w:eastAsia="ar-SA"/>
        </w:rPr>
        <w:t>Задачи:</w:t>
      </w: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2.3.1. Развивать инфраструктуру добровольчества </w:t>
      </w:r>
      <w:r w:rsidRPr="00535A4B">
        <w:rPr>
          <w:rFonts w:ascii="Times New Roman" w:hAnsi="Times New Roman"/>
          <w:b/>
          <w:bCs/>
          <w:color w:val="auto"/>
        </w:rPr>
        <w:br/>
        <w:t>в муниципальных образованиях</w:t>
      </w:r>
      <w:r w:rsidRPr="00535A4B">
        <w:rPr>
          <w:rFonts w:ascii="Times New Roman" w:hAnsi="Times New Roman"/>
          <w:color w:val="auto"/>
        </w:rPr>
        <w:t xml:space="preserve">. </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Ключевые направления и механизмы реализации:</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создание коворкинг-пространств для наращивания компетенций добровольцев по различным направлениям, расширения возможностей участия жителей региона всех возрастных групп, популяризации и продвижения добровольческой деятельности;</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расширение направлений деятельности добровольчества (социальные и экологические проблемы, работа в учреждениях культуры, защита животных, помощь в экстремальных ситуациях, поиск пропавших людей и прочее);</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lastRenderedPageBreak/>
        <w:t xml:space="preserve">— развитие инфраструктуры, информационных систем и сервисов </w:t>
      </w:r>
      <w:r w:rsidRPr="001814FE">
        <w:rPr>
          <w:rFonts w:ascii="Times New Roman" w:hAnsi="Times New Roman"/>
          <w:color w:val="auto"/>
          <w:sz w:val="26"/>
          <w:szCs w:val="26"/>
        </w:rPr>
        <w:br/>
        <w:t>в сфере добровольчества на базе Ресурсного центра «Добро.рф» и локальных ячеек волонтерского движения;</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вовлечение в добровольчество всех слоев населения и реализация подхода «добровольчество через всю жизнь».</w:t>
      </w:r>
    </w:p>
    <w:p w:rsidR="001814FE" w:rsidRDefault="001814FE">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2.3.2. Решать масштабные социальные вопросы на основе централизованной организационной структуры добровольчества</w:t>
      </w:r>
      <w:r w:rsidRPr="00535A4B">
        <w:rPr>
          <w:rFonts w:ascii="Times New Roman" w:hAnsi="Times New Roman"/>
          <w:color w:val="auto"/>
        </w:rPr>
        <w:t>.</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Ключевые направления и механизмы реализации:</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формирование централизованной системы с ресурсным центром как ядром, координирующим действия на местах и обеспечивающим системную поддержку;</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ведение реестров и баз данных добровольцев и добровольческих организаций для эффективной организации масштабной деятельности;</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организация взаимодействия между волонтерами, представителями органов власти, некоммерческих организаций, бизнесом и местными сообществами, включая установление порядка и способов коммуникаций;</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xml:space="preserve">— повышение компетенций всех участников волонтерского движения </w:t>
      </w:r>
      <w:r w:rsidR="00B851BB">
        <w:rPr>
          <w:rFonts w:ascii="Times New Roman" w:hAnsi="Times New Roman"/>
          <w:color w:val="auto"/>
          <w:sz w:val="26"/>
          <w:szCs w:val="26"/>
        </w:rPr>
        <w:br/>
      </w:r>
      <w:r w:rsidRPr="001814FE">
        <w:rPr>
          <w:rFonts w:ascii="Times New Roman" w:hAnsi="Times New Roman"/>
          <w:color w:val="auto"/>
          <w:sz w:val="26"/>
          <w:szCs w:val="26"/>
        </w:rPr>
        <w:t>на основе образовательных программ;</w:t>
      </w:r>
    </w:p>
    <w:p w:rsidR="00E618FE" w:rsidRPr="001814FE" w:rsidRDefault="00800098">
      <w:pPr>
        <w:pStyle w:val="a4"/>
        <w:rPr>
          <w:rFonts w:ascii="Times New Roman" w:hAnsi="Times New Roman"/>
          <w:color w:val="auto"/>
          <w:sz w:val="26"/>
          <w:szCs w:val="26"/>
        </w:rPr>
      </w:pPr>
      <w:r w:rsidRPr="001814FE">
        <w:rPr>
          <w:rFonts w:ascii="Times New Roman" w:hAnsi="Times New Roman"/>
          <w:color w:val="auto"/>
          <w:sz w:val="26"/>
          <w:szCs w:val="26"/>
        </w:rPr>
        <w:t>— формирование региональных добровольческих движений, объединяющих различные организации в сетевые сообщества.</w:t>
      </w:r>
    </w:p>
    <w:p w:rsidR="00B851BB" w:rsidRDefault="00B851BB">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2.3.3. Содействовать консолидации добровольческой деятельности и расширению масштабов межсекторного взаимодействия</w:t>
      </w:r>
      <w:r w:rsidRPr="00535A4B">
        <w:rPr>
          <w:rFonts w:ascii="Times New Roman" w:hAnsi="Times New Roman"/>
          <w:color w:val="auto"/>
        </w:rPr>
        <w:t>.</w:t>
      </w:r>
    </w:p>
    <w:p w:rsidR="00E618FE" w:rsidRPr="00B851BB" w:rsidRDefault="00800098">
      <w:pPr>
        <w:pStyle w:val="a4"/>
        <w:rPr>
          <w:rFonts w:ascii="Times New Roman" w:hAnsi="Times New Roman"/>
          <w:color w:val="auto"/>
          <w:sz w:val="26"/>
          <w:szCs w:val="26"/>
        </w:rPr>
      </w:pPr>
      <w:r w:rsidRPr="00B851BB">
        <w:rPr>
          <w:rFonts w:ascii="Times New Roman" w:hAnsi="Times New Roman"/>
          <w:color w:val="auto"/>
          <w:sz w:val="26"/>
          <w:szCs w:val="26"/>
        </w:rPr>
        <w:t>Ключевые направления и механизмы реализации:</w:t>
      </w:r>
    </w:p>
    <w:p w:rsidR="00E618FE" w:rsidRPr="00B851BB" w:rsidRDefault="00800098">
      <w:pPr>
        <w:pStyle w:val="a4"/>
        <w:rPr>
          <w:rFonts w:ascii="Times New Roman" w:hAnsi="Times New Roman"/>
          <w:color w:val="auto"/>
          <w:sz w:val="26"/>
          <w:szCs w:val="26"/>
        </w:rPr>
      </w:pPr>
      <w:r w:rsidRPr="00B851BB">
        <w:rPr>
          <w:rFonts w:ascii="Times New Roman" w:hAnsi="Times New Roman"/>
          <w:color w:val="auto"/>
          <w:sz w:val="26"/>
          <w:szCs w:val="26"/>
        </w:rPr>
        <w:t>— объединение усилий добровольческих организаций с некоммерческим сектором, бизнесом, органами власти, государственными и муниципальными учреждениями, общественными и религиозными организациями, средствами массовой информации;</w:t>
      </w:r>
    </w:p>
    <w:p w:rsidR="00E618FE" w:rsidRPr="00B851BB" w:rsidRDefault="00800098">
      <w:pPr>
        <w:pStyle w:val="a4"/>
        <w:rPr>
          <w:rFonts w:ascii="Times New Roman" w:hAnsi="Times New Roman"/>
          <w:color w:val="auto"/>
          <w:sz w:val="26"/>
          <w:szCs w:val="26"/>
        </w:rPr>
      </w:pPr>
      <w:r w:rsidRPr="00B851BB">
        <w:rPr>
          <w:rFonts w:ascii="Times New Roman" w:hAnsi="Times New Roman"/>
          <w:color w:val="auto"/>
          <w:sz w:val="26"/>
          <w:szCs w:val="26"/>
        </w:rPr>
        <w:t>— расширение практики привлечения добровольцев к деятельности государственных и муниципальных учреждений с тиражированием лучших практик участия;</w:t>
      </w:r>
    </w:p>
    <w:p w:rsidR="00E618FE" w:rsidRPr="00B851BB" w:rsidRDefault="00800098">
      <w:pPr>
        <w:pStyle w:val="a4"/>
        <w:rPr>
          <w:rFonts w:ascii="Times New Roman" w:hAnsi="Times New Roman"/>
          <w:color w:val="auto"/>
          <w:sz w:val="26"/>
          <w:szCs w:val="26"/>
        </w:rPr>
      </w:pPr>
      <w:r w:rsidRPr="00B851BB">
        <w:rPr>
          <w:rFonts w:ascii="Times New Roman" w:hAnsi="Times New Roman"/>
          <w:color w:val="auto"/>
          <w:sz w:val="26"/>
          <w:szCs w:val="26"/>
        </w:rPr>
        <w:t>— реализация корпоративных добровольческих программ, ориентированных на социально значимые проекты и развитие местных сообществ, с возможностью последующего масштабирования;</w:t>
      </w:r>
    </w:p>
    <w:p w:rsidR="00E618FE" w:rsidRPr="00B851BB" w:rsidRDefault="00800098">
      <w:pPr>
        <w:pStyle w:val="a4"/>
        <w:rPr>
          <w:rFonts w:ascii="Times New Roman" w:hAnsi="Times New Roman"/>
          <w:sz w:val="26"/>
          <w:szCs w:val="26"/>
        </w:rPr>
      </w:pPr>
      <w:r w:rsidRPr="00B851BB">
        <w:rPr>
          <w:rFonts w:ascii="Times New Roman" w:hAnsi="Times New Roman"/>
          <w:color w:val="auto"/>
          <w:sz w:val="26"/>
          <w:szCs w:val="26"/>
        </w:rPr>
        <w:t xml:space="preserve">— развитие добровольческих ассоциаций и сетевых сообществ </w:t>
      </w:r>
      <w:r w:rsidR="00B851BB">
        <w:rPr>
          <w:rFonts w:ascii="Times New Roman" w:hAnsi="Times New Roman"/>
          <w:color w:val="auto"/>
          <w:sz w:val="26"/>
          <w:szCs w:val="26"/>
        </w:rPr>
        <w:br/>
      </w:r>
      <w:r w:rsidRPr="00B851BB">
        <w:rPr>
          <w:rFonts w:ascii="Times New Roman" w:hAnsi="Times New Roman"/>
          <w:color w:val="auto"/>
          <w:sz w:val="26"/>
          <w:szCs w:val="26"/>
        </w:rPr>
        <w:t>с применением цифровых технологий для создания дополнительных каналов привлечения, укрепления связей между участниками и предоставления новых возможностей, в том числе для людей с ограниченными возможностями здоровья.</w:t>
      </w:r>
    </w:p>
    <w:p w:rsidR="00E618FE" w:rsidRPr="00535A4B" w:rsidRDefault="00800098">
      <w:pPr>
        <w:pStyle w:val="41"/>
        <w:rPr>
          <w:rFonts w:ascii="Times New Roman" w:hAnsi="Times New Roman"/>
          <w:lang w:val="ru-RU"/>
        </w:rPr>
      </w:pPr>
      <w:r w:rsidRPr="00535A4B">
        <w:rPr>
          <w:rFonts w:ascii="Times New Roman" w:hAnsi="Times New Roman"/>
          <w:lang w:val="ru-RU"/>
        </w:rPr>
        <w:t>Целевой показатель:</w:t>
      </w:r>
    </w:p>
    <w:p w:rsidR="00E618FE" w:rsidRPr="00B851BB" w:rsidRDefault="00800098">
      <w:pPr>
        <w:pStyle w:val="aff"/>
        <w:rPr>
          <w:rFonts w:ascii="Times New Roman" w:hAnsi="Times New Roman"/>
          <w:sz w:val="26"/>
          <w:szCs w:val="26"/>
          <w:lang w:val="ru-RU"/>
        </w:rPr>
      </w:pPr>
      <w:r w:rsidRPr="00B851BB">
        <w:rPr>
          <w:rFonts w:ascii="Times New Roman" w:hAnsi="Times New Roman"/>
          <w:sz w:val="26"/>
          <w:szCs w:val="26"/>
          <w:lang w:val="ru-RU"/>
        </w:rPr>
        <w:t>Таблица 10.3. Целевой показатель Стратегического приоритета 2.3 «Добровольчество»</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2024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людей, вовлеченных в добровольческую деятельность,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35,20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48,00</w:t>
            </w:r>
          </w:p>
        </w:tc>
      </w:tr>
    </w:tbl>
    <w:p w:rsidR="00E618FE" w:rsidRPr="00535A4B" w:rsidRDefault="00E618FE">
      <w:pPr>
        <w:pStyle w:val="a4"/>
        <w:rPr>
          <w:rFonts w:ascii="Times New Roman" w:hAnsi="Times New Roman"/>
          <w:b/>
          <w:bCs/>
          <w:color w:val="auto"/>
        </w:rPr>
      </w:pPr>
    </w:p>
    <w:p w:rsidR="00E618FE" w:rsidRPr="00535A4B" w:rsidRDefault="00800098">
      <w:pPr>
        <w:pStyle w:val="21"/>
        <w:rPr>
          <w:rFonts w:ascii="Times New Roman" w:hAnsi="Times New Roman" w:cs="Times New Roman"/>
        </w:rPr>
      </w:pPr>
      <w:bookmarkStart w:id="130" w:name="_Toc229484478"/>
      <w:bookmarkStart w:id="131" w:name="_Toc235810151"/>
      <w:bookmarkStart w:id="132" w:name="_Toc238554539"/>
      <w:r w:rsidRPr="00535A4B">
        <w:rPr>
          <w:rFonts w:ascii="Times New Roman" w:hAnsi="Times New Roman" w:cs="Times New Roman"/>
        </w:rPr>
        <w:lastRenderedPageBreak/>
        <w:t>Стратегический приоритет 2.4. «Культура объединяет поколения»</w:t>
      </w:r>
      <w:bookmarkEnd w:id="130"/>
      <w:bookmarkEnd w:id="131"/>
      <w:bookmarkEnd w:id="132"/>
    </w:p>
    <w:p w:rsidR="00E618FE" w:rsidRPr="00535A4B" w:rsidRDefault="00E618FE">
      <w:pPr>
        <w:pStyle w:val="a4"/>
        <w:rPr>
          <w:rFonts w:ascii="Times New Roman" w:hAnsi="Times New Roman"/>
          <w:color w:val="auto"/>
          <w:lang w:eastAsia="en-US" w:bidi="en-US"/>
        </w:rPr>
      </w:pP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lang w:eastAsia="en-US" w:bidi="en-US"/>
        </w:rPr>
        <w:t xml:space="preserve">Томская область достигла высоких результатов в приобщении жителей региона к культуре и их активном участии в культурной жизни: </w:t>
      </w:r>
      <w:r w:rsidRPr="00B851BB">
        <w:rPr>
          <w:rFonts w:ascii="Times New Roman" w:hAnsi="Times New Roman"/>
          <w:color w:val="auto"/>
          <w:sz w:val="26"/>
          <w:szCs w:val="26"/>
        </w:rPr>
        <w:t xml:space="preserve">посещаемость культурных мероприятий имела устойчивую положительную динамику и увеличилась за последние 5 лет на 78%. В регионе проходят знаковые культурные события: праздники, фестивали, конкурсы, гастроли. Томская область входит </w:t>
      </w:r>
      <w:r w:rsidR="00B851BB">
        <w:rPr>
          <w:rFonts w:ascii="Times New Roman" w:hAnsi="Times New Roman"/>
          <w:color w:val="auto"/>
          <w:sz w:val="26"/>
          <w:szCs w:val="26"/>
        </w:rPr>
        <w:br/>
      </w:r>
      <w:r w:rsidRPr="00B851BB">
        <w:rPr>
          <w:rFonts w:ascii="Times New Roman" w:hAnsi="Times New Roman"/>
          <w:color w:val="auto"/>
          <w:sz w:val="26"/>
          <w:szCs w:val="26"/>
        </w:rPr>
        <w:t xml:space="preserve">в тройку регионов-лидеров по уровню достижений организаций культуры в сфере воспитания детей и молодежи. Молодые люди активно приобщаются к культуре </w:t>
      </w:r>
      <w:r w:rsidR="00B851BB">
        <w:rPr>
          <w:rFonts w:ascii="Times New Roman" w:hAnsi="Times New Roman"/>
          <w:color w:val="auto"/>
          <w:sz w:val="26"/>
          <w:szCs w:val="26"/>
        </w:rPr>
        <w:br/>
      </w:r>
      <w:r w:rsidRPr="00B851BB">
        <w:rPr>
          <w:rFonts w:ascii="Times New Roman" w:hAnsi="Times New Roman"/>
          <w:color w:val="auto"/>
          <w:sz w:val="26"/>
          <w:szCs w:val="26"/>
        </w:rPr>
        <w:t>на основе участия в программе «Пушкинская карта» и региональном проекте «Культурный код томича». Высоких достижений достигли</w:t>
      </w:r>
      <w:r w:rsidR="00B851BB">
        <w:rPr>
          <w:rFonts w:ascii="Times New Roman" w:hAnsi="Times New Roman"/>
          <w:color w:val="auto"/>
          <w:sz w:val="26"/>
          <w:szCs w:val="26"/>
        </w:rPr>
        <w:t xml:space="preserve"> отдельные учреждения культуры –</w:t>
      </w:r>
      <w:r w:rsidRPr="00B851BB">
        <w:rPr>
          <w:rFonts w:ascii="Times New Roman" w:hAnsi="Times New Roman"/>
          <w:color w:val="auto"/>
          <w:sz w:val="26"/>
          <w:szCs w:val="26"/>
        </w:rPr>
        <w:t xml:space="preserve"> Каргасокская муниципальная детская школа искусств в 2025 году признана лучшей в России.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Несмотря на активизацию в последние годы процесса приведения объектов культуры в надлежащее состояние и их переоснащение проблема </w:t>
      </w:r>
      <w:r w:rsidR="00B851BB">
        <w:rPr>
          <w:rFonts w:ascii="Times New Roman" w:hAnsi="Times New Roman"/>
          <w:color w:val="auto"/>
          <w:sz w:val="26"/>
          <w:szCs w:val="26"/>
        </w:rPr>
        <w:br/>
      </w:r>
      <w:r w:rsidRPr="00B851BB">
        <w:rPr>
          <w:rFonts w:ascii="Times New Roman" w:hAnsi="Times New Roman"/>
          <w:color w:val="auto"/>
          <w:sz w:val="26"/>
          <w:szCs w:val="26"/>
        </w:rPr>
        <w:t xml:space="preserve">их неудовлетворительного состояния остается достаточно значимой, особенно остро она проявляется в муниципальных районах. Это направление станет одним </w:t>
      </w:r>
      <w:r w:rsidR="00B851BB">
        <w:rPr>
          <w:rFonts w:ascii="Times New Roman" w:hAnsi="Times New Roman"/>
          <w:color w:val="auto"/>
          <w:sz w:val="26"/>
          <w:szCs w:val="26"/>
        </w:rPr>
        <w:br/>
      </w:r>
      <w:r w:rsidRPr="00B851BB">
        <w:rPr>
          <w:rFonts w:ascii="Times New Roman" w:hAnsi="Times New Roman"/>
          <w:color w:val="auto"/>
          <w:sz w:val="26"/>
          <w:szCs w:val="26"/>
        </w:rPr>
        <w:t xml:space="preserve">из ключевых в перспективном развитии отрасли. </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Стратегическая цель региональной культурной пол</w:t>
      </w:r>
      <w:r w:rsidR="00B851BB">
        <w:rPr>
          <w:rFonts w:ascii="Times New Roman" w:hAnsi="Times New Roman"/>
          <w:color w:val="auto"/>
          <w:sz w:val="26"/>
          <w:szCs w:val="26"/>
        </w:rPr>
        <w:t>итики –</w:t>
      </w:r>
      <w:r w:rsidRPr="00B851BB">
        <w:rPr>
          <w:rFonts w:ascii="Times New Roman" w:hAnsi="Times New Roman"/>
          <w:color w:val="auto"/>
          <w:sz w:val="26"/>
          <w:szCs w:val="26"/>
        </w:rPr>
        <w:t xml:space="preserve"> создание условий для активного участия жителей в культурной жизни региона. Используя накопленный потенциал и достижения в развитии культуры, Томская область </w:t>
      </w:r>
      <w:r w:rsidR="00B851BB">
        <w:rPr>
          <w:rFonts w:ascii="Times New Roman" w:hAnsi="Times New Roman"/>
          <w:color w:val="auto"/>
          <w:sz w:val="26"/>
          <w:szCs w:val="26"/>
        </w:rPr>
        <w:br/>
      </w:r>
      <w:r w:rsidRPr="00B851BB">
        <w:rPr>
          <w:rFonts w:ascii="Times New Roman" w:hAnsi="Times New Roman"/>
          <w:color w:val="auto"/>
          <w:sz w:val="26"/>
          <w:szCs w:val="26"/>
        </w:rPr>
        <w:t>в качестве стратегического направления деятельности в этой сфере будет рассматривать формирование интереса к культуре как источнику нравственных основ и обеспечение равных возможностей всем слоям населения в удовлетворении своих культурных запросов, предлагая традиционные и новаторские форматы культурных событий и создавая условия комфортного пребывания в организациях культуры.</w:t>
      </w:r>
    </w:p>
    <w:p w:rsidR="00E618FE" w:rsidRPr="00535A4B" w:rsidRDefault="00800098">
      <w:pPr>
        <w:pStyle w:val="41"/>
        <w:rPr>
          <w:rFonts w:ascii="Times New Roman" w:hAnsi="Times New Roman"/>
          <w:b w:val="0"/>
          <w:bCs/>
          <w:i/>
          <w:iCs/>
          <w:lang w:val="ru-RU" w:eastAsia="ar-SA"/>
        </w:rPr>
      </w:pPr>
      <w:r w:rsidRPr="00535A4B">
        <w:rPr>
          <w:rFonts w:ascii="Times New Roman" w:hAnsi="Times New Roman"/>
          <w:bCs/>
          <w:lang w:val="ru-RU" w:eastAsia="ar-SA"/>
        </w:rPr>
        <w:t>Задачи:</w:t>
      </w:r>
    </w:p>
    <w:p w:rsidR="00E618FE" w:rsidRPr="00535A4B" w:rsidRDefault="00800098">
      <w:pPr>
        <w:pStyle w:val="a4"/>
        <w:ind w:firstLine="708"/>
        <w:rPr>
          <w:rFonts w:ascii="Times New Roman" w:hAnsi="Times New Roman"/>
          <w:color w:val="auto"/>
        </w:rPr>
      </w:pPr>
      <w:r w:rsidRPr="00535A4B">
        <w:rPr>
          <w:rFonts w:ascii="Times New Roman" w:hAnsi="Times New Roman"/>
          <w:b/>
          <w:bCs/>
          <w:color w:val="auto"/>
        </w:rPr>
        <w:t>Задача 2.4.1. Обеспечить активное развитие и расширение тематики массовых культурно-зрелищных мероприятий, привлекающих интерес разных социальных и возрастных групп населения</w:t>
      </w:r>
      <w:r w:rsidRPr="00535A4B">
        <w:rPr>
          <w:rFonts w:ascii="Times New Roman" w:hAnsi="Times New Roman"/>
          <w:color w:val="auto"/>
        </w:rPr>
        <w:t xml:space="preserve">. </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Ключевые направления и механизмы реализации: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сохранение и развитие уникальных событийных традиций региона (фестивали «Праздник топора», «Праздник Нового Солнца», «Братина», «Золотая береста» и другие) и их дополнение новыми тематическими событиями;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реализация проектов «новой культурной географии» (общедоступные концерты, спектакли, уличные представления в городских пространствах) </w:t>
      </w:r>
      <w:r w:rsidR="00B851BB">
        <w:rPr>
          <w:rFonts w:ascii="Times New Roman" w:hAnsi="Times New Roman"/>
          <w:color w:val="auto"/>
          <w:sz w:val="26"/>
          <w:szCs w:val="26"/>
        </w:rPr>
        <w:br/>
      </w:r>
      <w:r w:rsidRPr="00B851BB">
        <w:rPr>
          <w:rFonts w:ascii="Times New Roman" w:hAnsi="Times New Roman"/>
          <w:color w:val="auto"/>
          <w:sz w:val="26"/>
          <w:szCs w:val="26"/>
        </w:rPr>
        <w:t>и внедрение новых форматов (карнавалы, ландшафтные фестивали, арт-резиденции, уличные перформансы);</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проведение мероприятий в нестандартных локациях, расширяющих географию событий и создающих уникальную среду, привлекательную </w:t>
      </w:r>
      <w:r w:rsidRPr="00B851BB">
        <w:rPr>
          <w:rFonts w:ascii="Times New Roman" w:hAnsi="Times New Roman"/>
          <w:color w:val="auto"/>
          <w:sz w:val="26"/>
          <w:szCs w:val="26"/>
        </w:rPr>
        <w:br/>
        <w:t>для молодежной аудитории.</w:t>
      </w:r>
    </w:p>
    <w:p w:rsidR="00B851BB" w:rsidRDefault="00B851BB">
      <w:pPr>
        <w:spacing w:after="160" w:line="259" w:lineRule="auto"/>
        <w:rPr>
          <w:b/>
          <w:bCs/>
          <w:sz w:val="28"/>
          <w:szCs w:val="28"/>
          <w:lang w:eastAsia="ar-SA"/>
        </w:rPr>
      </w:pPr>
      <w:r>
        <w:rPr>
          <w:b/>
          <w:bCs/>
        </w:rPr>
        <w:br w:type="page"/>
      </w:r>
    </w:p>
    <w:p w:rsidR="00E618FE" w:rsidRPr="00535A4B" w:rsidRDefault="00800098">
      <w:pPr>
        <w:pStyle w:val="a4"/>
        <w:ind w:firstLine="708"/>
        <w:rPr>
          <w:rFonts w:ascii="Times New Roman" w:hAnsi="Times New Roman"/>
          <w:color w:val="auto"/>
        </w:rPr>
      </w:pPr>
      <w:r w:rsidRPr="00535A4B">
        <w:rPr>
          <w:rFonts w:ascii="Times New Roman" w:hAnsi="Times New Roman"/>
          <w:b/>
          <w:bCs/>
          <w:color w:val="auto"/>
        </w:rPr>
        <w:lastRenderedPageBreak/>
        <w:t>Задача 2.4.2. Развивать новаторские формы культурной деятельности</w:t>
      </w:r>
      <w:r w:rsidRPr="00535A4B">
        <w:rPr>
          <w:rFonts w:ascii="Times New Roman" w:hAnsi="Times New Roman"/>
          <w:color w:val="auto"/>
        </w:rPr>
        <w:t>.</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Ключевые направления и механизмы реализации: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активное использование не только классических, но и синтетических жанров, форматов мероприятий (концерт-действо, диптих «спектакль и концерт», интерактивный спектакль, спектакль-экскурсия, видеоверсии постановок и прочее);</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интеграция современных технологий (виртуальная и дополненная реальность, искусственный интеллект, средства мультимедиа) в массовые и иные культурные мероприятия для повышения вовлеченности томичей и гостей региона и их запоминаемости;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активное вовлечение молодежи не только в качестве зрителей, </w:t>
      </w:r>
      <w:r w:rsidR="00B851BB">
        <w:rPr>
          <w:rFonts w:ascii="Times New Roman" w:hAnsi="Times New Roman"/>
          <w:color w:val="auto"/>
          <w:sz w:val="26"/>
          <w:szCs w:val="26"/>
        </w:rPr>
        <w:br/>
      </w:r>
      <w:r w:rsidRPr="00B851BB">
        <w:rPr>
          <w:rFonts w:ascii="Times New Roman" w:hAnsi="Times New Roman"/>
          <w:color w:val="auto"/>
          <w:sz w:val="26"/>
          <w:szCs w:val="26"/>
        </w:rPr>
        <w:t>но и участников - молодых исполнителей, артистов, художников в новаторских проектах.</w:t>
      </w:r>
    </w:p>
    <w:p w:rsidR="00B851BB" w:rsidRDefault="00B851BB">
      <w:pPr>
        <w:pStyle w:val="a4"/>
        <w:ind w:firstLine="708"/>
        <w:rPr>
          <w:rFonts w:ascii="Times New Roman" w:hAnsi="Times New Roman"/>
          <w:b/>
          <w:bCs/>
          <w:color w:val="auto"/>
        </w:rPr>
      </w:pPr>
    </w:p>
    <w:p w:rsidR="00E618FE" w:rsidRPr="00535A4B" w:rsidRDefault="00800098">
      <w:pPr>
        <w:pStyle w:val="a4"/>
        <w:ind w:firstLine="708"/>
        <w:rPr>
          <w:rFonts w:ascii="Times New Roman" w:hAnsi="Times New Roman"/>
          <w:color w:val="auto"/>
        </w:rPr>
      </w:pPr>
      <w:r w:rsidRPr="00535A4B">
        <w:rPr>
          <w:rFonts w:ascii="Times New Roman" w:hAnsi="Times New Roman"/>
          <w:b/>
          <w:bCs/>
          <w:color w:val="auto"/>
        </w:rPr>
        <w:t>Задача 2.4.3. Обеспечить реализацию воспитательной функции культуры</w:t>
      </w:r>
      <w:r w:rsidRPr="00535A4B">
        <w:rPr>
          <w:rFonts w:ascii="Times New Roman" w:hAnsi="Times New Roman"/>
          <w:color w:val="auto"/>
        </w:rPr>
        <w:t xml:space="preserve">. </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Ключевые направления и механизмы реализации: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реализация проекта «Культурный код томича» и программы «Пушкинская карта» для активного вовлечения молодежи и семейной аудитории; </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развитие библиотек региона как центров нравственно-эстетического воспитания;</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проведение конкурсов и фестивалей, направленных на семейное и детское творчество (Губернаторский конкурс «Дети играют с оркестром», фестиваль визуальных искусств им. Александра Невского, конкурс «Читаем всей семьей» </w:t>
      </w:r>
      <w:r w:rsidR="00B851BB">
        <w:rPr>
          <w:rFonts w:ascii="Times New Roman" w:hAnsi="Times New Roman"/>
          <w:color w:val="auto"/>
          <w:sz w:val="26"/>
          <w:szCs w:val="26"/>
        </w:rPr>
        <w:br/>
      </w:r>
      <w:r w:rsidRPr="00B851BB">
        <w:rPr>
          <w:rFonts w:ascii="Times New Roman" w:hAnsi="Times New Roman"/>
          <w:color w:val="auto"/>
          <w:sz w:val="26"/>
          <w:szCs w:val="26"/>
        </w:rPr>
        <w:t>и другие);</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реализация мероприятий для детей и молодежи, в том числе совместно </w:t>
      </w:r>
      <w:r w:rsidR="00B851BB">
        <w:rPr>
          <w:rFonts w:ascii="Times New Roman" w:hAnsi="Times New Roman"/>
          <w:color w:val="auto"/>
          <w:sz w:val="26"/>
          <w:szCs w:val="26"/>
        </w:rPr>
        <w:br/>
      </w:r>
      <w:r w:rsidRPr="00B851BB">
        <w:rPr>
          <w:rFonts w:ascii="Times New Roman" w:hAnsi="Times New Roman"/>
          <w:color w:val="auto"/>
          <w:sz w:val="26"/>
          <w:szCs w:val="26"/>
        </w:rPr>
        <w:t xml:space="preserve">с детскими и молодежными общественными организациями, направленных </w:t>
      </w:r>
      <w:r w:rsidR="00B851BB">
        <w:rPr>
          <w:rFonts w:ascii="Times New Roman" w:hAnsi="Times New Roman"/>
          <w:color w:val="auto"/>
          <w:sz w:val="26"/>
          <w:szCs w:val="26"/>
        </w:rPr>
        <w:br/>
      </w:r>
      <w:r w:rsidRPr="00B851BB">
        <w:rPr>
          <w:rFonts w:ascii="Times New Roman" w:hAnsi="Times New Roman"/>
          <w:color w:val="auto"/>
          <w:sz w:val="26"/>
          <w:szCs w:val="26"/>
        </w:rPr>
        <w:t>на формирование патриотизма, гражданской идентичности, развитие нравственной и эстетической культуры.</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развитие нравственной и эстетической культуры.</w:t>
      </w:r>
    </w:p>
    <w:p w:rsidR="00B851BB" w:rsidRDefault="00B851BB">
      <w:pPr>
        <w:pStyle w:val="a4"/>
        <w:ind w:firstLine="708"/>
        <w:rPr>
          <w:rFonts w:ascii="Times New Roman" w:hAnsi="Times New Roman"/>
          <w:b/>
          <w:bCs/>
          <w:color w:val="auto"/>
        </w:rPr>
      </w:pPr>
    </w:p>
    <w:p w:rsidR="00E618FE" w:rsidRPr="00535A4B" w:rsidRDefault="00800098">
      <w:pPr>
        <w:pStyle w:val="a4"/>
        <w:ind w:firstLine="708"/>
        <w:rPr>
          <w:rFonts w:ascii="Times New Roman" w:hAnsi="Times New Roman"/>
          <w:color w:val="auto"/>
        </w:rPr>
      </w:pPr>
      <w:r w:rsidRPr="00535A4B">
        <w:rPr>
          <w:rFonts w:ascii="Times New Roman" w:hAnsi="Times New Roman"/>
          <w:b/>
          <w:bCs/>
          <w:color w:val="auto"/>
        </w:rPr>
        <w:t>Задача 2.4.4. Обеспечить модернизацию организаций культуры, капитальный ремонт и современное оснащение</w:t>
      </w:r>
      <w:r w:rsidRPr="00535A4B">
        <w:rPr>
          <w:rFonts w:ascii="Times New Roman" w:hAnsi="Times New Roman"/>
          <w:color w:val="auto"/>
        </w:rPr>
        <w:t>.</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Ключевые направления и механизмы реализации: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продолжение проведения капитального ремонта учреждений культуры региона (театры, музеи, библиотеки, детские школы искусств, дома культуры </w:t>
      </w:r>
      <w:r w:rsidR="00B851BB">
        <w:rPr>
          <w:rFonts w:ascii="Times New Roman" w:hAnsi="Times New Roman"/>
          <w:color w:val="auto"/>
          <w:sz w:val="26"/>
          <w:szCs w:val="26"/>
        </w:rPr>
        <w:br/>
      </w:r>
      <w:r w:rsidRPr="00B851BB">
        <w:rPr>
          <w:rFonts w:ascii="Times New Roman" w:hAnsi="Times New Roman"/>
          <w:color w:val="auto"/>
          <w:sz w:val="26"/>
          <w:szCs w:val="26"/>
        </w:rPr>
        <w:t>и прочее);</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xml:space="preserve">— переоснащение по модельному стандарту муниципальных библиотек </w:t>
      </w:r>
      <w:r w:rsidR="00B851BB">
        <w:rPr>
          <w:rFonts w:ascii="Times New Roman" w:hAnsi="Times New Roman"/>
          <w:color w:val="auto"/>
          <w:sz w:val="26"/>
          <w:szCs w:val="26"/>
        </w:rPr>
        <w:br/>
      </w:r>
      <w:r w:rsidRPr="00B851BB">
        <w:rPr>
          <w:rFonts w:ascii="Times New Roman" w:hAnsi="Times New Roman"/>
          <w:color w:val="auto"/>
          <w:sz w:val="26"/>
          <w:szCs w:val="26"/>
        </w:rPr>
        <w:t>и техническое оснащение региональных и муниципальных музеев и театров;</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оснащение детских школ искусств музыкальными инструментами, современным оборудованием и учебными материалами.</w:t>
      </w:r>
    </w:p>
    <w:p w:rsidR="00B851BB" w:rsidRDefault="00B851BB">
      <w:pPr>
        <w:spacing w:after="160" w:line="259" w:lineRule="auto"/>
        <w:rPr>
          <w:b/>
          <w:bCs/>
          <w:sz w:val="28"/>
          <w:szCs w:val="28"/>
          <w:lang w:eastAsia="ar-SA"/>
        </w:rPr>
      </w:pPr>
      <w:r>
        <w:rPr>
          <w:b/>
          <w:bCs/>
        </w:rPr>
        <w:br w:type="page"/>
      </w:r>
    </w:p>
    <w:p w:rsidR="00E618FE" w:rsidRPr="00535A4B" w:rsidRDefault="00800098">
      <w:pPr>
        <w:pStyle w:val="a4"/>
        <w:ind w:firstLine="708"/>
        <w:rPr>
          <w:rFonts w:ascii="Times New Roman" w:hAnsi="Times New Roman"/>
          <w:color w:val="auto"/>
        </w:rPr>
      </w:pPr>
      <w:r w:rsidRPr="00535A4B">
        <w:rPr>
          <w:rFonts w:ascii="Times New Roman" w:hAnsi="Times New Roman"/>
          <w:b/>
          <w:bCs/>
          <w:color w:val="auto"/>
        </w:rPr>
        <w:lastRenderedPageBreak/>
        <w:t>Задача 2.4.5. Повысить профессиональный уровень персонала организаций культуры и укрепить кадровый потенциал</w:t>
      </w:r>
      <w:r w:rsidRPr="00535A4B">
        <w:rPr>
          <w:rFonts w:ascii="Times New Roman" w:hAnsi="Times New Roman"/>
          <w:color w:val="auto"/>
        </w:rPr>
        <w:t>.</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Ключевые направления и механизмы реализации:</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усиление материального и нематериального стимулирования работников культуры, особенно на муниципальном уровне;</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развитие системы непрерывного повышения квалификации, обмена опытом и стажировок для сотрудников учреждений культуры;</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 привлечение молодых специалистов в муниципальные организации культуры, в том числе через программу «Земский работник культуры».</w:t>
      </w:r>
    </w:p>
    <w:p w:rsidR="00E618FE" w:rsidRPr="00535A4B" w:rsidRDefault="00800098">
      <w:pPr>
        <w:pStyle w:val="41"/>
        <w:rPr>
          <w:rFonts w:ascii="Times New Roman" w:hAnsi="Times New Roman"/>
          <w:b w:val="0"/>
          <w:bCs/>
          <w:i/>
          <w:iCs/>
          <w:lang w:val="ru-RU" w:eastAsia="ar-SA"/>
        </w:rPr>
      </w:pPr>
      <w:r w:rsidRPr="00535A4B">
        <w:rPr>
          <w:rFonts w:ascii="Times New Roman" w:hAnsi="Times New Roman"/>
          <w:bCs/>
          <w:lang w:val="ru-RU" w:eastAsia="ar-SA"/>
        </w:rPr>
        <w:t>Целевые показатели:</w:t>
      </w:r>
    </w:p>
    <w:p w:rsidR="00E618FE" w:rsidRPr="00B851BB" w:rsidRDefault="00800098">
      <w:pPr>
        <w:pStyle w:val="aff"/>
        <w:rPr>
          <w:rFonts w:ascii="Times New Roman" w:hAnsi="Times New Roman"/>
          <w:sz w:val="26"/>
          <w:szCs w:val="26"/>
          <w:lang w:val="ru-RU"/>
        </w:rPr>
      </w:pPr>
      <w:bookmarkStart w:id="133" w:name="_Hlk228109197"/>
      <w:r w:rsidRPr="00B851BB">
        <w:rPr>
          <w:rFonts w:ascii="Times New Roman" w:hAnsi="Times New Roman"/>
          <w:sz w:val="26"/>
          <w:szCs w:val="26"/>
          <w:lang w:val="ru-RU"/>
        </w:rPr>
        <w:t>Таблица 10.4. Целевые показатели Стратегического приоритета 2.4. «Культура объединяет поколения»</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Число посещений культурных мероприятий, млн единиц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19,20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21,60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21,60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Уровень удовлетворенности граждан работой государственных и муниципальных организаций культуры, искусства и народного творчества,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rPr>
              <w:t>76,80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rPr>
              <w:t>88,60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rPr>
              <w:t>88,60</w:t>
            </w:r>
            <w:bookmarkEnd w:id="114"/>
            <w:bookmarkEnd w:id="133"/>
          </w:p>
        </w:tc>
      </w:tr>
    </w:tbl>
    <w:p w:rsidR="00E618FE" w:rsidRPr="00535A4B" w:rsidRDefault="00E618FE">
      <w:pPr>
        <w:rPr>
          <w:rFonts w:eastAsia="Calibri"/>
        </w:rPr>
      </w:pPr>
    </w:p>
    <w:p w:rsidR="00E618FE" w:rsidRPr="00535A4B" w:rsidRDefault="00800098">
      <w:pPr>
        <w:pStyle w:val="21"/>
        <w:ind w:firstLine="708"/>
        <w:rPr>
          <w:rFonts w:ascii="Times New Roman" w:hAnsi="Times New Roman" w:cs="Times New Roman"/>
          <w:b w:val="0"/>
          <w:bCs w:val="0"/>
          <w:szCs w:val="28"/>
        </w:rPr>
      </w:pPr>
      <w:bookmarkStart w:id="134" w:name="_Toc235810152"/>
      <w:bookmarkStart w:id="135" w:name="_Toc238554540"/>
      <w:r w:rsidRPr="00535A4B">
        <w:rPr>
          <w:rFonts w:ascii="Times New Roman" w:hAnsi="Times New Roman" w:cs="Times New Roman"/>
          <w:szCs w:val="28"/>
        </w:rPr>
        <w:t>Стратегический приоритет 2.5. «Укрепление единства российской нации, сохранение и развитие этнокультурного и языкового наследия на территории Томской области»</w:t>
      </w:r>
      <w:bookmarkEnd w:id="134"/>
      <w:bookmarkEnd w:id="135"/>
    </w:p>
    <w:p w:rsidR="00E618FE" w:rsidRPr="00B851BB" w:rsidRDefault="00800098">
      <w:pPr>
        <w:pStyle w:val="a4"/>
        <w:ind w:firstLine="708"/>
        <w:rPr>
          <w:rFonts w:ascii="Times New Roman" w:hAnsi="Times New Roman"/>
          <w:color w:val="auto"/>
          <w:sz w:val="26"/>
          <w:szCs w:val="26"/>
          <w:lang w:eastAsia="en-US" w:bidi="en-US"/>
        </w:rPr>
      </w:pPr>
      <w:r w:rsidRPr="00B851BB">
        <w:rPr>
          <w:rFonts w:ascii="Times New Roman" w:hAnsi="Times New Roman"/>
          <w:color w:val="auto"/>
          <w:sz w:val="26"/>
          <w:szCs w:val="26"/>
          <w:lang w:eastAsia="en-US" w:bidi="en-US"/>
        </w:rPr>
        <w:t xml:space="preserve">В соответствии со Стратегией государственной национальной политики Российской Федерации на период до 2036 года целью государственной национальной политики является укрепление единства многонационального народа Российской Федерации (российской нации) и общероссийской гражданской идентичности (гражданского самосознания) при сохранении этнокультурного </w:t>
      </w:r>
      <w:r w:rsidR="00B851BB">
        <w:rPr>
          <w:rFonts w:ascii="Times New Roman" w:hAnsi="Times New Roman"/>
          <w:color w:val="auto"/>
          <w:sz w:val="26"/>
          <w:szCs w:val="26"/>
          <w:lang w:eastAsia="en-US" w:bidi="en-US"/>
        </w:rPr>
        <w:br/>
      </w:r>
      <w:r w:rsidRPr="00B851BB">
        <w:rPr>
          <w:rFonts w:ascii="Times New Roman" w:hAnsi="Times New Roman"/>
          <w:color w:val="auto"/>
          <w:sz w:val="26"/>
          <w:szCs w:val="26"/>
          <w:lang w:eastAsia="en-US" w:bidi="en-US"/>
        </w:rPr>
        <w:t xml:space="preserve">и языкового многообразия для обеспечения развития страны, ее государственной </w:t>
      </w:r>
      <w:r w:rsidR="00B851BB">
        <w:rPr>
          <w:rFonts w:ascii="Times New Roman" w:hAnsi="Times New Roman"/>
          <w:color w:val="auto"/>
          <w:sz w:val="26"/>
          <w:szCs w:val="26"/>
          <w:lang w:eastAsia="en-US" w:bidi="en-US"/>
        </w:rPr>
        <w:br/>
      </w:r>
      <w:r w:rsidRPr="00B851BB">
        <w:rPr>
          <w:rFonts w:ascii="Times New Roman" w:hAnsi="Times New Roman"/>
          <w:color w:val="auto"/>
          <w:sz w:val="26"/>
          <w:szCs w:val="26"/>
          <w:lang w:eastAsia="en-US" w:bidi="en-US"/>
        </w:rPr>
        <w:t>и территориальной целостности, внутренней политической и социальной стабильности. Указанные цели общероссийской национальной политики имеют большое значение для Томской области и должны учитываться при формировании и реализации национальной политики на областном уровне. Большинство населения области составляют русские, что обусловливает важность защиты, поддержки и развития русского языка и укрепление объединяющей роли русского народа как государствообразующего. Вместе с тем Томская область является домом для представителей ряда других этносов, в том числе коренных малочисленных народов Российской Федерации (селькупов, хантов, чулымцев и эвенков). На территории Томской области осуществляют деятельность ряд казачьих обществ, включая Томское отдельское казачье общество Сибирского войскового казачьего общества.  Значительный и при этом растущий вклад в этнокультурное, религиозное и языковое многообразие области вносят внутрироссийская и международная миграция. Все это обусловливает высокую актуальность обеспечения на территории Томской области общественного единства, формирования общероссийской гражданской идентичности, поддержания межнационального и межрелигиозного согласия, сохранения и развития традиционного наследия и этнокультурного многообразия.</w:t>
      </w:r>
    </w:p>
    <w:p w:rsidR="00B851BB" w:rsidRDefault="00B851BB">
      <w:pPr>
        <w:spacing w:after="160" w:line="259" w:lineRule="auto"/>
        <w:rPr>
          <w:rFonts w:eastAsia="PT Astra Serif"/>
          <w:b/>
          <w:spacing w:val="24"/>
          <w:sz w:val="28"/>
          <w:szCs w:val="28"/>
        </w:rPr>
      </w:pPr>
      <w:r>
        <w:rPr>
          <w:rFonts w:eastAsia="PT Astra Serif"/>
          <w:b/>
          <w:spacing w:val="24"/>
          <w:sz w:val="28"/>
          <w:szCs w:val="28"/>
        </w:rPr>
        <w:br w:type="page"/>
      </w:r>
    </w:p>
    <w:p w:rsidR="00E618FE" w:rsidRPr="00535A4B" w:rsidRDefault="00800098">
      <w:pPr>
        <w:spacing w:before="120" w:after="120"/>
        <w:ind w:firstLine="709"/>
        <w:jc w:val="both"/>
        <w:outlineLvl w:val="3"/>
        <w:rPr>
          <w:rFonts w:eastAsia="PT Astra Serif"/>
          <w:b/>
          <w:spacing w:val="24"/>
          <w:sz w:val="28"/>
          <w:szCs w:val="28"/>
        </w:rPr>
      </w:pPr>
      <w:r w:rsidRPr="00535A4B">
        <w:rPr>
          <w:rFonts w:eastAsia="PT Astra Serif"/>
          <w:b/>
          <w:spacing w:val="24"/>
          <w:sz w:val="28"/>
          <w:szCs w:val="28"/>
        </w:rPr>
        <w:lastRenderedPageBreak/>
        <w:t>Задачи:</w:t>
      </w:r>
    </w:p>
    <w:p w:rsidR="00E618FE" w:rsidRPr="00535A4B" w:rsidRDefault="00800098">
      <w:pPr>
        <w:pStyle w:val="Default"/>
        <w:ind w:firstLine="708"/>
        <w:jc w:val="both"/>
        <w:rPr>
          <w:rFonts w:ascii="Times New Roman" w:eastAsia="Times New Roman" w:hAnsi="Times New Roman"/>
          <w:b/>
          <w:bCs/>
          <w:color w:val="auto"/>
          <w:sz w:val="28"/>
          <w:szCs w:val="28"/>
          <w:lang w:eastAsia="ar-SA"/>
        </w:rPr>
      </w:pPr>
      <w:r w:rsidRPr="00535A4B">
        <w:rPr>
          <w:rFonts w:ascii="Times New Roman" w:eastAsia="Times New Roman" w:hAnsi="Times New Roman"/>
          <w:b/>
          <w:bCs/>
          <w:color w:val="auto"/>
          <w:sz w:val="28"/>
          <w:szCs w:val="28"/>
          <w:lang w:eastAsia="ar-SA"/>
        </w:rPr>
        <w:t xml:space="preserve">Задача 2.5.1. Укреплять общероссийскую гражданскую идентичность (гражданское самосознание) жителей Томской области </w:t>
      </w:r>
      <w:r w:rsidRPr="00535A4B">
        <w:rPr>
          <w:rFonts w:ascii="Times New Roman" w:eastAsia="Times New Roman" w:hAnsi="Times New Roman"/>
          <w:b/>
          <w:bCs/>
          <w:color w:val="auto"/>
          <w:sz w:val="28"/>
          <w:szCs w:val="28"/>
          <w:lang w:eastAsia="ar-SA"/>
        </w:rPr>
        <w:br/>
        <w:t xml:space="preserve">на основе традиционных российских духовно-нравственных </w:t>
      </w:r>
      <w:r w:rsidRPr="00535A4B">
        <w:rPr>
          <w:rFonts w:ascii="Times New Roman" w:eastAsia="Times New Roman" w:hAnsi="Times New Roman"/>
          <w:b/>
          <w:bCs/>
          <w:color w:val="auto"/>
          <w:sz w:val="28"/>
          <w:szCs w:val="28"/>
          <w:lang w:eastAsia="ar-SA"/>
        </w:rPr>
        <w:br/>
        <w:t xml:space="preserve">и культурно-исторических ценностей. </w:t>
      </w:r>
    </w:p>
    <w:p w:rsidR="00E618FE" w:rsidRPr="00B851BB" w:rsidRDefault="00800098">
      <w:pPr>
        <w:pStyle w:val="a4"/>
        <w:ind w:firstLine="708"/>
        <w:rPr>
          <w:rFonts w:ascii="Times New Roman" w:hAnsi="Times New Roman"/>
          <w:color w:val="auto"/>
          <w:sz w:val="26"/>
          <w:szCs w:val="26"/>
        </w:rPr>
      </w:pPr>
      <w:r w:rsidRPr="00B851BB">
        <w:rPr>
          <w:rFonts w:ascii="Times New Roman" w:hAnsi="Times New Roman"/>
          <w:color w:val="auto"/>
          <w:sz w:val="26"/>
          <w:szCs w:val="26"/>
        </w:rPr>
        <w:t>Ключевые направления и механизмы реализации:</w:t>
      </w:r>
    </w:p>
    <w:p w:rsidR="00E618FE" w:rsidRPr="00B851BB" w:rsidRDefault="00800098">
      <w:pPr>
        <w:pStyle w:val="Default"/>
        <w:ind w:firstLine="708"/>
        <w:jc w:val="both"/>
        <w:rPr>
          <w:rFonts w:ascii="Times New Roman" w:hAnsi="Times New Roman"/>
          <w:color w:val="auto"/>
          <w:sz w:val="26"/>
          <w:szCs w:val="26"/>
        </w:rPr>
      </w:pPr>
      <w:r w:rsidRPr="00B851BB">
        <w:rPr>
          <w:rFonts w:ascii="Times New Roman" w:hAnsi="Times New Roman"/>
          <w:color w:val="auto"/>
          <w:sz w:val="26"/>
          <w:szCs w:val="26"/>
        </w:rPr>
        <w:t>— защита, поддержка и развитие русского языка как государственного языка Российской Федерации, как языка государствообразующего народа и как родного языка, а также продвижение русского языка как языка межнационального общения;</w:t>
      </w:r>
    </w:p>
    <w:p w:rsidR="00E618FE" w:rsidRPr="00B851BB" w:rsidRDefault="00800098">
      <w:pPr>
        <w:pStyle w:val="Default"/>
        <w:ind w:firstLine="708"/>
        <w:jc w:val="both"/>
        <w:rPr>
          <w:rFonts w:ascii="Times New Roman" w:hAnsi="Times New Roman"/>
          <w:color w:val="auto"/>
          <w:sz w:val="26"/>
          <w:szCs w:val="26"/>
        </w:rPr>
      </w:pPr>
      <w:r w:rsidRPr="00B851BB">
        <w:rPr>
          <w:rFonts w:ascii="Times New Roman" w:hAnsi="Times New Roman"/>
          <w:color w:val="auto"/>
          <w:sz w:val="26"/>
          <w:szCs w:val="26"/>
        </w:rPr>
        <w:t xml:space="preserve">— формирование у детей и молодежи на всех этапах образовательного и воспитательного процессов гражданского самосознания представлений </w:t>
      </w:r>
      <w:r w:rsidRPr="00B851BB">
        <w:rPr>
          <w:rFonts w:ascii="Times New Roman" w:hAnsi="Times New Roman"/>
          <w:color w:val="auto"/>
          <w:sz w:val="26"/>
          <w:szCs w:val="26"/>
        </w:rPr>
        <w:br/>
        <w:t>о единстве многонационального народа Российской Федерации (российской нации), воспитание патриотизма;</w:t>
      </w:r>
    </w:p>
    <w:p w:rsidR="00E618FE" w:rsidRPr="00B851BB" w:rsidRDefault="00800098">
      <w:pPr>
        <w:pStyle w:val="Default"/>
        <w:ind w:firstLine="708"/>
        <w:jc w:val="both"/>
        <w:rPr>
          <w:rFonts w:ascii="Times New Roman" w:hAnsi="Times New Roman"/>
          <w:color w:val="auto"/>
          <w:sz w:val="26"/>
          <w:szCs w:val="26"/>
        </w:rPr>
      </w:pPr>
      <w:r w:rsidRPr="00B851BB">
        <w:rPr>
          <w:rFonts w:ascii="Times New Roman" w:hAnsi="Times New Roman"/>
          <w:color w:val="auto"/>
          <w:sz w:val="26"/>
          <w:szCs w:val="26"/>
        </w:rPr>
        <w:t>— сохранение и развитие культуры межнациональных (межэтнических) отношений, защита исторической правды и исторической памяти, традиционных российских духовно-нравственных и культурно-исторических ценностей.</w:t>
      </w:r>
    </w:p>
    <w:p w:rsidR="00B851BB" w:rsidRDefault="00B851BB">
      <w:pPr>
        <w:pStyle w:val="Default"/>
        <w:ind w:firstLine="708"/>
        <w:jc w:val="both"/>
        <w:rPr>
          <w:rFonts w:ascii="Times New Roman" w:eastAsia="Times New Roman" w:hAnsi="Times New Roman"/>
          <w:b/>
          <w:bCs/>
          <w:color w:val="auto"/>
          <w:sz w:val="28"/>
          <w:szCs w:val="28"/>
          <w:lang w:eastAsia="ar-SA"/>
        </w:rPr>
      </w:pPr>
    </w:p>
    <w:p w:rsidR="00E618FE" w:rsidRPr="00535A4B" w:rsidRDefault="00800098">
      <w:pPr>
        <w:pStyle w:val="Default"/>
        <w:ind w:firstLine="708"/>
        <w:jc w:val="both"/>
        <w:rPr>
          <w:rFonts w:ascii="Times New Roman" w:eastAsia="Times New Roman" w:hAnsi="Times New Roman"/>
          <w:b/>
          <w:bCs/>
          <w:color w:val="auto"/>
          <w:sz w:val="28"/>
          <w:szCs w:val="28"/>
          <w:lang w:eastAsia="ar-SA"/>
        </w:rPr>
      </w:pPr>
      <w:r w:rsidRPr="00535A4B">
        <w:rPr>
          <w:rFonts w:ascii="Times New Roman" w:eastAsia="Times New Roman" w:hAnsi="Times New Roman"/>
          <w:b/>
          <w:bCs/>
          <w:color w:val="auto"/>
          <w:sz w:val="28"/>
          <w:szCs w:val="28"/>
          <w:lang w:eastAsia="ar-SA"/>
        </w:rPr>
        <w:t xml:space="preserve">Задача 2.5.2. Сохранять и поддерживать этнокультурное </w:t>
      </w:r>
      <w:r w:rsidRPr="00535A4B">
        <w:rPr>
          <w:rFonts w:ascii="Times New Roman" w:eastAsia="Times New Roman" w:hAnsi="Times New Roman"/>
          <w:b/>
          <w:bCs/>
          <w:color w:val="auto"/>
          <w:sz w:val="28"/>
          <w:szCs w:val="28"/>
          <w:lang w:eastAsia="ar-SA"/>
        </w:rPr>
        <w:br/>
        <w:t xml:space="preserve">и языковое многообразие в Томской области. </w:t>
      </w:r>
    </w:p>
    <w:p w:rsidR="00E618FE" w:rsidRPr="006B12F8" w:rsidRDefault="00800098">
      <w:pPr>
        <w:pStyle w:val="a4"/>
        <w:ind w:firstLine="708"/>
        <w:rPr>
          <w:rFonts w:ascii="Times New Roman" w:hAnsi="Times New Roman"/>
          <w:color w:val="auto"/>
          <w:sz w:val="26"/>
          <w:szCs w:val="26"/>
        </w:rPr>
      </w:pPr>
      <w:r w:rsidRPr="006B12F8">
        <w:rPr>
          <w:rFonts w:ascii="Times New Roman" w:hAnsi="Times New Roman"/>
          <w:color w:val="auto"/>
          <w:sz w:val="26"/>
          <w:szCs w:val="26"/>
        </w:rPr>
        <w:t>Ключевые направления и механизмы реализации:</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w:t>
      </w:r>
      <w:r w:rsidR="006B12F8">
        <w:rPr>
          <w:rFonts w:ascii="Times New Roman" w:hAnsi="Times New Roman"/>
          <w:color w:val="auto"/>
          <w:sz w:val="26"/>
          <w:szCs w:val="26"/>
        </w:rPr>
        <w:t xml:space="preserve"> </w:t>
      </w:r>
      <w:r w:rsidRPr="006B12F8">
        <w:rPr>
          <w:rFonts w:ascii="Times New Roman" w:hAnsi="Times New Roman"/>
          <w:color w:val="auto"/>
          <w:sz w:val="26"/>
          <w:szCs w:val="26"/>
        </w:rPr>
        <w:t xml:space="preserve">укрепление объединяющей роли русского народа </w:t>
      </w:r>
      <w:r w:rsidRPr="006B12F8">
        <w:rPr>
          <w:rFonts w:ascii="Times New Roman" w:hAnsi="Times New Roman"/>
          <w:color w:val="auto"/>
          <w:sz w:val="26"/>
          <w:szCs w:val="26"/>
        </w:rPr>
        <w:br/>
        <w:t xml:space="preserve">как государствообразующего народа; </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 содействие этнокультурному и духовному развитию представителей народов, проживающих на территории Томской области;</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 сохранение самобытной культуры и традиционного образа жизни, поддержка традиционной хозяйственной деятельности коренных малочисленных народов;</w:t>
      </w:r>
    </w:p>
    <w:p w:rsidR="00E618FE" w:rsidRDefault="00800098">
      <w:pPr>
        <w:pStyle w:val="Default"/>
        <w:ind w:firstLine="708"/>
        <w:jc w:val="both"/>
        <w:rPr>
          <w:rFonts w:ascii="Times New Roman" w:hAnsi="Times New Roman"/>
          <w:color w:val="auto"/>
          <w:sz w:val="28"/>
          <w:szCs w:val="28"/>
        </w:rPr>
      </w:pPr>
      <w:r w:rsidRPr="006B12F8">
        <w:rPr>
          <w:rFonts w:ascii="Times New Roman" w:hAnsi="Times New Roman"/>
          <w:color w:val="auto"/>
          <w:sz w:val="26"/>
          <w:szCs w:val="26"/>
        </w:rPr>
        <w:t>— сохранение самобытной культуры и традиционного образа жизни российского казачества</w:t>
      </w:r>
      <w:r w:rsidRPr="00535A4B">
        <w:rPr>
          <w:rFonts w:ascii="Times New Roman" w:hAnsi="Times New Roman"/>
          <w:color w:val="auto"/>
          <w:sz w:val="28"/>
          <w:szCs w:val="28"/>
        </w:rPr>
        <w:t>.</w:t>
      </w:r>
    </w:p>
    <w:p w:rsidR="006B12F8" w:rsidRPr="00535A4B" w:rsidRDefault="006B12F8">
      <w:pPr>
        <w:pStyle w:val="Default"/>
        <w:ind w:firstLine="708"/>
        <w:jc w:val="both"/>
        <w:rPr>
          <w:rFonts w:ascii="Times New Roman" w:hAnsi="Times New Roman"/>
          <w:b/>
          <w:bCs/>
          <w:color w:val="auto"/>
          <w:sz w:val="28"/>
          <w:szCs w:val="28"/>
          <w:lang w:eastAsia="ar-SA"/>
        </w:rPr>
      </w:pPr>
    </w:p>
    <w:p w:rsidR="00E618FE" w:rsidRPr="00535A4B" w:rsidRDefault="00800098">
      <w:pPr>
        <w:pStyle w:val="Default"/>
        <w:ind w:firstLine="708"/>
        <w:jc w:val="both"/>
        <w:rPr>
          <w:rFonts w:ascii="Times New Roman" w:eastAsia="Times New Roman" w:hAnsi="Times New Roman"/>
          <w:b/>
          <w:bCs/>
          <w:color w:val="auto"/>
          <w:sz w:val="28"/>
          <w:szCs w:val="28"/>
          <w:lang w:eastAsia="ar-SA"/>
        </w:rPr>
      </w:pPr>
      <w:r w:rsidRPr="00535A4B">
        <w:rPr>
          <w:rFonts w:ascii="Times New Roman" w:eastAsia="Times New Roman" w:hAnsi="Times New Roman"/>
          <w:b/>
          <w:bCs/>
          <w:color w:val="auto"/>
          <w:sz w:val="28"/>
          <w:szCs w:val="28"/>
          <w:lang w:eastAsia="ar-SA"/>
        </w:rPr>
        <w:t xml:space="preserve">Задача 2.5.3. Обеспечить в Томской области межнациональное (межэтническое) и межрелигиозное согласие, противодействовать экстремизму и возникновению конфликтов на национальной (этнической) и (или) религиозной почве. </w:t>
      </w:r>
    </w:p>
    <w:p w:rsidR="00E618FE" w:rsidRPr="006B12F8" w:rsidRDefault="00800098">
      <w:pPr>
        <w:pStyle w:val="a4"/>
        <w:ind w:firstLine="708"/>
        <w:rPr>
          <w:rFonts w:ascii="Times New Roman" w:hAnsi="Times New Roman"/>
          <w:color w:val="auto"/>
          <w:sz w:val="26"/>
          <w:szCs w:val="26"/>
        </w:rPr>
      </w:pPr>
      <w:r w:rsidRPr="006B12F8">
        <w:rPr>
          <w:rFonts w:ascii="Times New Roman" w:hAnsi="Times New Roman"/>
          <w:color w:val="auto"/>
          <w:sz w:val="26"/>
          <w:szCs w:val="26"/>
        </w:rPr>
        <w:t>Ключевые направления и механизмы реализации:</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w:t>
      </w:r>
      <w:r w:rsidR="006B12F8">
        <w:rPr>
          <w:rFonts w:ascii="Times New Roman" w:hAnsi="Times New Roman"/>
          <w:color w:val="auto"/>
          <w:sz w:val="26"/>
          <w:szCs w:val="26"/>
        </w:rPr>
        <w:t xml:space="preserve"> </w:t>
      </w:r>
      <w:r w:rsidRPr="006B12F8">
        <w:rPr>
          <w:rFonts w:ascii="Times New Roman" w:hAnsi="Times New Roman"/>
          <w:color w:val="auto"/>
          <w:sz w:val="26"/>
          <w:szCs w:val="26"/>
        </w:rPr>
        <w:t xml:space="preserve">профилактика и предупреждение конфликтов на национальной (этнической) и (или) религиозной почве, обеспечение равноправия граждан; </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w:t>
      </w:r>
      <w:r w:rsidR="006B12F8">
        <w:rPr>
          <w:rFonts w:ascii="Times New Roman" w:hAnsi="Times New Roman"/>
          <w:color w:val="auto"/>
          <w:sz w:val="26"/>
          <w:szCs w:val="26"/>
        </w:rPr>
        <w:t xml:space="preserve"> </w:t>
      </w:r>
      <w:r w:rsidRPr="006B12F8">
        <w:rPr>
          <w:rFonts w:ascii="Times New Roman" w:hAnsi="Times New Roman"/>
          <w:color w:val="auto"/>
          <w:sz w:val="26"/>
          <w:szCs w:val="26"/>
        </w:rPr>
        <w:t xml:space="preserve">совершенствование механизмов содействия адаптации иностранных граждан к условиям жизни в российском обществе; </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w:t>
      </w:r>
      <w:r w:rsidR="006B12F8">
        <w:rPr>
          <w:rFonts w:ascii="Times New Roman" w:hAnsi="Times New Roman"/>
          <w:color w:val="auto"/>
          <w:sz w:val="26"/>
          <w:szCs w:val="26"/>
        </w:rPr>
        <w:t xml:space="preserve"> </w:t>
      </w:r>
      <w:r w:rsidRPr="006B12F8">
        <w:rPr>
          <w:rFonts w:ascii="Times New Roman" w:hAnsi="Times New Roman"/>
          <w:color w:val="auto"/>
          <w:sz w:val="26"/>
          <w:szCs w:val="26"/>
        </w:rPr>
        <w:t>обеспечение участия институтов гражданского общества в реализации государственной национальной политики.</w:t>
      </w:r>
    </w:p>
    <w:p w:rsidR="006B12F8" w:rsidRDefault="006B12F8">
      <w:pPr>
        <w:pStyle w:val="Default"/>
        <w:ind w:firstLine="708"/>
        <w:jc w:val="both"/>
        <w:rPr>
          <w:rFonts w:ascii="Times New Roman" w:eastAsia="Times New Roman" w:hAnsi="Times New Roman"/>
          <w:b/>
          <w:bCs/>
          <w:color w:val="auto"/>
          <w:sz w:val="28"/>
          <w:szCs w:val="28"/>
          <w:lang w:eastAsia="ar-SA"/>
        </w:rPr>
      </w:pPr>
    </w:p>
    <w:p w:rsidR="006B12F8" w:rsidRDefault="006B12F8">
      <w:pPr>
        <w:spacing w:after="160" w:line="259" w:lineRule="auto"/>
        <w:rPr>
          <w:b/>
          <w:bCs/>
          <w:sz w:val="28"/>
          <w:szCs w:val="28"/>
          <w:lang w:eastAsia="ar-SA"/>
        </w:rPr>
      </w:pPr>
      <w:r>
        <w:rPr>
          <w:b/>
          <w:bCs/>
          <w:sz w:val="28"/>
          <w:szCs w:val="28"/>
          <w:lang w:eastAsia="ar-SA"/>
        </w:rPr>
        <w:br w:type="page"/>
      </w:r>
    </w:p>
    <w:p w:rsidR="00E618FE" w:rsidRPr="00535A4B" w:rsidRDefault="00800098">
      <w:pPr>
        <w:pStyle w:val="Default"/>
        <w:ind w:firstLine="708"/>
        <w:jc w:val="both"/>
        <w:rPr>
          <w:rFonts w:ascii="Times New Roman" w:eastAsia="Times New Roman" w:hAnsi="Times New Roman"/>
          <w:b/>
          <w:bCs/>
          <w:color w:val="auto"/>
          <w:sz w:val="28"/>
          <w:szCs w:val="28"/>
          <w:lang w:eastAsia="ar-SA"/>
        </w:rPr>
      </w:pPr>
      <w:r w:rsidRPr="00535A4B">
        <w:rPr>
          <w:rFonts w:ascii="Times New Roman" w:eastAsia="Times New Roman" w:hAnsi="Times New Roman"/>
          <w:b/>
          <w:bCs/>
          <w:color w:val="auto"/>
          <w:sz w:val="28"/>
          <w:szCs w:val="28"/>
          <w:lang w:eastAsia="ar-SA"/>
        </w:rPr>
        <w:lastRenderedPageBreak/>
        <w:t xml:space="preserve">Задача 2.5.4 </w:t>
      </w:r>
      <w:r w:rsidRPr="00535A4B">
        <w:rPr>
          <w:rFonts w:ascii="Times New Roman" w:hAnsi="Times New Roman"/>
          <w:b/>
          <w:bCs/>
          <w:color w:val="auto"/>
          <w:sz w:val="28"/>
          <w:szCs w:val="28"/>
        </w:rPr>
        <w:t xml:space="preserve">Совершенствовать государственное управление </w:t>
      </w:r>
      <w:r w:rsidRPr="00535A4B">
        <w:rPr>
          <w:rFonts w:ascii="Times New Roman" w:hAnsi="Times New Roman"/>
          <w:b/>
          <w:bCs/>
          <w:color w:val="auto"/>
          <w:sz w:val="28"/>
          <w:szCs w:val="28"/>
        </w:rPr>
        <w:br/>
        <w:t>и информационное сопровождение государственной национальной политики в Томской области</w:t>
      </w:r>
      <w:r w:rsidRPr="00535A4B">
        <w:rPr>
          <w:rFonts w:ascii="Times New Roman" w:eastAsia="Times New Roman" w:hAnsi="Times New Roman"/>
          <w:b/>
          <w:bCs/>
          <w:color w:val="auto"/>
          <w:sz w:val="28"/>
          <w:szCs w:val="28"/>
          <w:lang w:eastAsia="ar-SA"/>
        </w:rPr>
        <w:t>.</w:t>
      </w:r>
    </w:p>
    <w:p w:rsidR="00E618FE" w:rsidRPr="006B12F8" w:rsidRDefault="00800098">
      <w:pPr>
        <w:pStyle w:val="a4"/>
        <w:ind w:firstLine="708"/>
        <w:rPr>
          <w:rFonts w:ascii="Times New Roman" w:hAnsi="Times New Roman"/>
          <w:color w:val="auto"/>
          <w:sz w:val="26"/>
          <w:szCs w:val="26"/>
        </w:rPr>
      </w:pPr>
      <w:r w:rsidRPr="006B12F8">
        <w:rPr>
          <w:rFonts w:ascii="Times New Roman" w:hAnsi="Times New Roman"/>
          <w:color w:val="auto"/>
          <w:sz w:val="26"/>
          <w:szCs w:val="26"/>
        </w:rPr>
        <w:t>Ключевые направления и механизмы реализации:</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w:t>
      </w:r>
      <w:r w:rsidR="006B12F8">
        <w:rPr>
          <w:rFonts w:ascii="Times New Roman" w:hAnsi="Times New Roman"/>
          <w:color w:val="auto"/>
          <w:sz w:val="26"/>
          <w:szCs w:val="26"/>
        </w:rPr>
        <w:t xml:space="preserve"> </w:t>
      </w:r>
      <w:r w:rsidRPr="006B12F8">
        <w:rPr>
          <w:rFonts w:ascii="Times New Roman" w:hAnsi="Times New Roman"/>
          <w:color w:val="auto"/>
          <w:sz w:val="26"/>
          <w:szCs w:val="26"/>
        </w:rPr>
        <w:t xml:space="preserve">обеспечение социально-экономических условий для реализации государственной национальной политики; </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w:t>
      </w:r>
      <w:r w:rsidR="006B12F8">
        <w:rPr>
          <w:rFonts w:ascii="Times New Roman" w:hAnsi="Times New Roman"/>
          <w:color w:val="auto"/>
          <w:sz w:val="26"/>
          <w:szCs w:val="26"/>
        </w:rPr>
        <w:t xml:space="preserve"> </w:t>
      </w:r>
      <w:r w:rsidRPr="006B12F8">
        <w:rPr>
          <w:rFonts w:ascii="Times New Roman" w:hAnsi="Times New Roman"/>
          <w:color w:val="auto"/>
          <w:sz w:val="26"/>
          <w:szCs w:val="26"/>
        </w:rPr>
        <w:t>развитие информационного обеспечения реализации государственной национальной политики;</w:t>
      </w:r>
    </w:p>
    <w:p w:rsidR="00E618FE" w:rsidRPr="006B12F8" w:rsidRDefault="00800098">
      <w:pPr>
        <w:pStyle w:val="Default"/>
        <w:ind w:firstLine="708"/>
        <w:jc w:val="both"/>
        <w:rPr>
          <w:rFonts w:ascii="Times New Roman" w:hAnsi="Times New Roman"/>
          <w:color w:val="auto"/>
          <w:sz w:val="26"/>
          <w:szCs w:val="26"/>
        </w:rPr>
      </w:pPr>
      <w:r w:rsidRPr="006B12F8">
        <w:rPr>
          <w:rFonts w:ascii="Times New Roman" w:hAnsi="Times New Roman"/>
          <w:color w:val="auto"/>
          <w:sz w:val="26"/>
          <w:szCs w:val="26"/>
        </w:rPr>
        <w:t>—</w:t>
      </w:r>
      <w:r w:rsidR="006B12F8">
        <w:rPr>
          <w:rFonts w:ascii="Times New Roman" w:hAnsi="Times New Roman"/>
          <w:color w:val="auto"/>
          <w:sz w:val="26"/>
          <w:szCs w:val="26"/>
        </w:rPr>
        <w:t xml:space="preserve"> </w:t>
      </w:r>
      <w:r w:rsidRPr="006B12F8">
        <w:rPr>
          <w:rFonts w:ascii="Times New Roman" w:hAnsi="Times New Roman"/>
          <w:color w:val="auto"/>
          <w:sz w:val="26"/>
          <w:szCs w:val="26"/>
        </w:rPr>
        <w:t>развитие международного сотрудничества в целях повышения эффективности государственной национальной политики.</w:t>
      </w:r>
    </w:p>
    <w:p w:rsidR="00E618FE" w:rsidRPr="00535A4B" w:rsidRDefault="00E618FE">
      <w:pPr>
        <w:pStyle w:val="Default"/>
        <w:jc w:val="both"/>
        <w:rPr>
          <w:rFonts w:ascii="Times New Roman" w:hAnsi="Times New Roman"/>
          <w:color w:val="auto"/>
        </w:rPr>
      </w:pPr>
    </w:p>
    <w:p w:rsidR="00E618FE" w:rsidRPr="00535A4B" w:rsidRDefault="00800098">
      <w:pPr>
        <w:pStyle w:val="41"/>
        <w:rPr>
          <w:rFonts w:ascii="Times New Roman" w:hAnsi="Times New Roman"/>
          <w:b w:val="0"/>
          <w:i/>
          <w:iCs/>
          <w:lang w:val="ru-RU" w:eastAsia="ar-SA"/>
        </w:rPr>
      </w:pPr>
      <w:r w:rsidRPr="00535A4B">
        <w:rPr>
          <w:rFonts w:ascii="Times New Roman" w:hAnsi="Times New Roman"/>
          <w:lang w:val="ru-RU" w:eastAsia="ar-SA"/>
        </w:rPr>
        <w:t>Целевые показатели:</w:t>
      </w:r>
    </w:p>
    <w:p w:rsidR="00E618FE" w:rsidRPr="006B12F8" w:rsidRDefault="00800098">
      <w:pPr>
        <w:pStyle w:val="aff"/>
        <w:rPr>
          <w:rFonts w:ascii="Times New Roman" w:hAnsi="Times New Roman"/>
          <w:sz w:val="26"/>
          <w:szCs w:val="26"/>
          <w:lang w:val="ru-RU"/>
        </w:rPr>
      </w:pPr>
      <w:r w:rsidRPr="006B12F8">
        <w:rPr>
          <w:rFonts w:ascii="Times New Roman" w:hAnsi="Times New Roman"/>
          <w:sz w:val="26"/>
          <w:szCs w:val="26"/>
          <w:lang w:val="ru-RU"/>
        </w:rPr>
        <w:t>Таблица 10.5. Целевые показатели Стратегического приоритета 2.5. «Укрепление единства российской нации, сохранение и развитие этнокультурного и языкового наследия на территории Томской области»</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Pr>
          <w:p w:rsidR="00E618FE" w:rsidRPr="00535A4B" w:rsidRDefault="00800098">
            <w:pPr>
              <w:jc w:val="center"/>
            </w:pPr>
            <w:r w:rsidRPr="00535A4B">
              <w:rPr>
                <w:b w:val="0"/>
                <w:bCs w:val="0"/>
              </w:rPr>
              <w:t>Показатели</w:t>
            </w:r>
          </w:p>
        </w:tc>
        <w:tc>
          <w:tcPr>
            <w:tcW w:w="1124"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rPr>
          <w:trHeight w:val="909"/>
        </w:trPr>
        <w:tc>
          <w:tcPr>
            <w:cnfStyle w:val="001000000000" w:firstRow="0" w:lastRow="0" w:firstColumn="1" w:lastColumn="0" w:oddVBand="0" w:evenVBand="0" w:oddHBand="0" w:evenHBand="0" w:firstRowFirstColumn="0" w:firstRowLastColumn="0" w:lastRowFirstColumn="0" w:lastRowLastColumn="0"/>
            <w:tcW w:w="6187" w:type="dxa"/>
          </w:tcPr>
          <w:p w:rsidR="00E618FE" w:rsidRPr="00535A4B" w:rsidRDefault="00800098">
            <w:pPr>
              <w:jc w:val="both"/>
            </w:pPr>
            <w:r w:rsidRPr="00535A4B">
              <w:rPr>
                <w:b w:val="0"/>
                <w:bCs w:val="0"/>
              </w:rPr>
              <w:t>Доля граждан, положительно оценивающих состояние межнациональных отношений в Томской области, %</w:t>
            </w:r>
          </w:p>
        </w:tc>
        <w:tc>
          <w:tcPr>
            <w:tcW w:w="112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93,2</w:t>
            </w:r>
          </w:p>
        </w:tc>
        <w:tc>
          <w:tcPr>
            <w:tcW w:w="1015"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94,0</w:t>
            </w:r>
          </w:p>
        </w:tc>
        <w:tc>
          <w:tcPr>
            <w:tcW w:w="113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95,0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Pr>
          <w:p w:rsidR="00E618FE" w:rsidRPr="00535A4B" w:rsidRDefault="00800098">
            <w:pPr>
              <w:jc w:val="both"/>
            </w:pPr>
            <w:r w:rsidRPr="00535A4B">
              <w:rPr>
                <w:b w:val="0"/>
                <w:bCs w:val="0"/>
              </w:rPr>
              <w:t>Доля граждан из числа коренных малочисленных народов Севера, Сибири и Дальнего Востока Российской Федерации, удовлетворенных качеством реализуемых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на территории Томской области, %</w:t>
            </w:r>
          </w:p>
        </w:tc>
        <w:tc>
          <w:tcPr>
            <w:tcW w:w="112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42,7</w:t>
            </w:r>
          </w:p>
        </w:tc>
        <w:tc>
          <w:tcPr>
            <w:tcW w:w="1015"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w:t>
            </w:r>
          </w:p>
        </w:tc>
        <w:tc>
          <w:tcPr>
            <w:tcW w:w="113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55,0</w:t>
            </w:r>
          </w:p>
        </w:tc>
      </w:tr>
    </w:tbl>
    <w:p w:rsidR="00E618FE" w:rsidRPr="00535A4B" w:rsidRDefault="00800098">
      <w:pPr>
        <w:pStyle w:val="41"/>
        <w:rPr>
          <w:rFonts w:ascii="Times New Roman" w:eastAsia="Calibri" w:hAnsi="Times New Roman"/>
          <w:b w:val="0"/>
          <w:i/>
          <w:lang w:eastAsia="ru-RU"/>
        </w:rPr>
      </w:pPr>
      <w:r w:rsidRPr="00535A4B">
        <w:rPr>
          <w:rFonts w:ascii="Times New Roman" w:eastAsia="Calibri" w:hAnsi="Times New Roman"/>
          <w:lang w:eastAsia="ru-RU"/>
        </w:rPr>
        <w:t>Флагманск</w:t>
      </w:r>
      <w:r w:rsidRPr="00535A4B">
        <w:rPr>
          <w:rFonts w:ascii="Times New Roman" w:eastAsia="Calibri" w:hAnsi="Times New Roman"/>
          <w:lang w:val="ru-RU" w:eastAsia="ru-RU"/>
        </w:rPr>
        <w:t>ая</w:t>
      </w:r>
      <w:r w:rsidRPr="00535A4B">
        <w:rPr>
          <w:rFonts w:ascii="Times New Roman" w:eastAsia="Calibri" w:hAnsi="Times New Roman"/>
          <w:lang w:eastAsia="ru-RU"/>
        </w:rPr>
        <w:t xml:space="preserve"> инициатив</w:t>
      </w:r>
      <w:r w:rsidRPr="00535A4B">
        <w:rPr>
          <w:rFonts w:ascii="Times New Roman" w:eastAsia="Calibri" w:hAnsi="Times New Roman"/>
          <w:lang w:val="ru-RU" w:eastAsia="ru-RU"/>
        </w:rPr>
        <w:t>а</w:t>
      </w:r>
      <w:r w:rsidRPr="00535A4B">
        <w:rPr>
          <w:rFonts w:ascii="Times New Roman" w:eastAsia="Calibri" w:hAnsi="Times New Roman"/>
          <w:lang w:eastAsia="ru-RU"/>
        </w:rPr>
        <w:t>:</w:t>
      </w:r>
    </w:p>
    <w:p w:rsidR="00E618FE" w:rsidRPr="006B12F8" w:rsidRDefault="00800098">
      <w:pPr>
        <w:pStyle w:val="a4"/>
        <w:rPr>
          <w:rFonts w:ascii="Times New Roman" w:hAnsi="Times New Roman"/>
          <w:color w:val="auto"/>
          <w:sz w:val="26"/>
          <w:szCs w:val="26"/>
        </w:rPr>
      </w:pPr>
      <w:r w:rsidRPr="006B12F8">
        <w:rPr>
          <w:rFonts w:ascii="Times New Roman" w:hAnsi="Times New Roman"/>
          <w:color w:val="auto"/>
          <w:sz w:val="26"/>
          <w:szCs w:val="26"/>
        </w:rPr>
        <w:t xml:space="preserve">Достижению данной цели содействует Комплексная флагманская инициатива </w:t>
      </w:r>
      <w:r w:rsidRPr="006B12F8">
        <w:rPr>
          <w:rFonts w:ascii="Times New Roman" w:hAnsi="Times New Roman"/>
          <w:bCs/>
          <w:color w:val="auto"/>
          <w:sz w:val="26"/>
          <w:szCs w:val="26"/>
        </w:rPr>
        <w:t>«Культурный код томича»</w:t>
      </w:r>
      <w:r w:rsidRPr="006B12F8">
        <w:rPr>
          <w:rFonts w:ascii="Times New Roman" w:hAnsi="Times New Roman"/>
          <w:color w:val="auto"/>
          <w:sz w:val="26"/>
          <w:szCs w:val="26"/>
        </w:rPr>
        <w:t>.</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Информация по всем флагманским инициативам представлена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в Приложении Д.</w:t>
      </w:r>
    </w:p>
    <w:p w:rsidR="00E618FE" w:rsidRPr="00535A4B" w:rsidRDefault="00800098">
      <w:pPr>
        <w:pStyle w:val="10"/>
        <w:rPr>
          <w:rFonts w:ascii="Times New Roman" w:eastAsia="PT Astra Serif" w:hAnsi="Times New Roman" w:cs="Times New Roman"/>
          <w:lang w:val="ru-RU"/>
        </w:rPr>
      </w:pPr>
      <w:bookmarkStart w:id="136" w:name="_Hlk230799698"/>
      <w:bookmarkStart w:id="137" w:name="_Hlk228534614"/>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138" w:name="_Toc235810153"/>
      <w:bookmarkStart w:id="139" w:name="_Toc238554541"/>
      <w:r w:rsidRPr="00535A4B">
        <w:rPr>
          <w:rFonts w:ascii="Times New Roman" w:eastAsia="PT Astra Serif" w:hAnsi="Times New Roman" w:cs="Times New Roman"/>
          <w:lang w:val="ru-RU"/>
        </w:rPr>
        <w:lastRenderedPageBreak/>
        <w:t>11 Региональная цель 3 «Устойчивое экономическое и технологическое развитие»</w:t>
      </w:r>
      <w:bookmarkEnd w:id="136"/>
      <w:bookmarkEnd w:id="138"/>
      <w:bookmarkEnd w:id="139"/>
    </w:p>
    <w:p w:rsidR="00E618FE" w:rsidRPr="00535A4B" w:rsidRDefault="00E618FE">
      <w:pPr>
        <w:pStyle w:val="a4"/>
        <w:rPr>
          <w:rFonts w:ascii="Times New Roman" w:eastAsia="Calibri" w:hAnsi="Times New Roman"/>
          <w:color w:val="auto"/>
        </w:rPr>
      </w:pP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К 2036 году Томская область формирует устойчивую, диверсифицированную и высокотехнологичную экономику, обеспечивающую рост производительности труда, доходов населения, инвестиций и добавленной стоимости и закрепляет статус региона как одного из ведущих научно</w:t>
      </w:r>
      <w:r w:rsidRPr="006B12F8">
        <w:rPr>
          <w:rFonts w:ascii="Times New Roman" w:eastAsia="Calibri" w:hAnsi="Times New Roman"/>
          <w:color w:val="auto"/>
          <w:sz w:val="26"/>
          <w:szCs w:val="26"/>
        </w:rPr>
        <w:noBreakHyphen/>
        <w:t>технологических центров России.</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Научно-инновационная сфера является фундаментальным конкурентным преимуществом Томской области и ключевым драйвером перехода к модели интенсивного экономического развития. Регион традиционно входит в число лидеров России по научно-технологическому и инновационному потенциалу,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что подтверждается высокими позициями в ведущих национальных рейтингах.</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В регионе сформирована одна из наиболее развитых и комплексных инновационных экосистем в России, обеспечивающая полный цикл «от идеи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до производства». </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Ключевыми элементами инфраструктуры являются:</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1.</w:t>
      </w:r>
      <w:r w:rsidR="006B12F8">
        <w:rPr>
          <w:rFonts w:ascii="Times New Roman" w:eastAsia="Calibri" w:hAnsi="Times New Roman"/>
          <w:color w:val="auto"/>
          <w:sz w:val="26"/>
          <w:szCs w:val="26"/>
        </w:rPr>
        <w:t xml:space="preserve"> </w:t>
      </w:r>
      <w:r w:rsidRPr="006B12F8">
        <w:rPr>
          <w:rFonts w:ascii="Times New Roman" w:eastAsia="Calibri" w:hAnsi="Times New Roman"/>
          <w:color w:val="auto"/>
          <w:sz w:val="26"/>
          <w:szCs w:val="26"/>
        </w:rPr>
        <w:t xml:space="preserve">Научно-образовательный комплекс мирового уровня. Ядром сферы является «Большой университет Томска» </w:t>
      </w:r>
      <w:r w:rsidR="006B12F8">
        <w:rPr>
          <w:rFonts w:ascii="Times New Roman" w:eastAsia="Calibri" w:hAnsi="Times New Roman"/>
          <w:color w:val="auto"/>
          <w:sz w:val="26"/>
          <w:szCs w:val="26"/>
        </w:rPr>
        <w:t>–</w:t>
      </w:r>
      <w:r w:rsidRPr="006B12F8">
        <w:rPr>
          <w:rFonts w:ascii="Times New Roman" w:eastAsia="Calibri" w:hAnsi="Times New Roman"/>
          <w:color w:val="auto"/>
          <w:sz w:val="26"/>
          <w:szCs w:val="26"/>
        </w:rPr>
        <w:t xml:space="preserve"> объединение 6 ведущих государственных вузов (НИ ТГУ, НИ ТПУ, ТУСУР, СибГМУ, ТГАСУ, ТГПУ)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и 6 организаций Сибирского отделения РАН. Эта коллаборация позволяет консолидировать кадровый, исследовательский и материально-технический потенциал для решения масштабных научно-технологических задач.</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2.</w:t>
      </w:r>
      <w:r w:rsidR="006B12F8">
        <w:rPr>
          <w:rFonts w:ascii="Times New Roman" w:eastAsia="Calibri" w:hAnsi="Times New Roman"/>
          <w:color w:val="auto"/>
          <w:sz w:val="26"/>
          <w:szCs w:val="26"/>
        </w:rPr>
        <w:t xml:space="preserve"> </w:t>
      </w:r>
      <w:r w:rsidRPr="006B12F8">
        <w:rPr>
          <w:rFonts w:ascii="Times New Roman" w:eastAsia="Calibri" w:hAnsi="Times New Roman"/>
          <w:color w:val="auto"/>
          <w:sz w:val="26"/>
          <w:szCs w:val="26"/>
        </w:rPr>
        <w:t>Институты развития и инновационная инфраструктура. В регионе эффективно функционируют:</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Особая экономическая зона технико-внедренческого типа (ОЭЗ ТВТ) «Томск», предоставляющая резидентам налоговые льготы и преференции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для реализации высокотехнологичных проектов.</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Территория опережающего социально-экономического развития (ТОР) «Северск», ориентированная на развитие атомных, фторидных и медицинских технологий.</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Промышленный парк «Томск», обеспечивающий производственную инфраструктуру для промышленных предприятий.</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Территориальный инновационный кластер «Smart Technologies Tomsk», объединяющий более 230 участников для развития сквозных технологий.</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Научно-производственный центр беспилотных авиационных систем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(НПЦ БАС), созданный в 2025 году для разработки, испытаний и серийного производства БАС.</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3.</w:t>
      </w:r>
      <w:r w:rsidR="006B12F8">
        <w:rPr>
          <w:rFonts w:ascii="Times New Roman" w:eastAsia="Calibri" w:hAnsi="Times New Roman"/>
          <w:color w:val="auto"/>
          <w:sz w:val="26"/>
          <w:szCs w:val="26"/>
        </w:rPr>
        <w:t xml:space="preserve"> </w:t>
      </w:r>
      <w:r w:rsidRPr="006B12F8">
        <w:rPr>
          <w:rFonts w:ascii="Times New Roman" w:eastAsia="Calibri" w:hAnsi="Times New Roman"/>
          <w:color w:val="auto"/>
          <w:sz w:val="26"/>
          <w:szCs w:val="26"/>
        </w:rPr>
        <w:t xml:space="preserve">Центры коллективного пользования и уникальные научные установки.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На базе университетов и НИИ действуют десятки лабораторий и центров коллективного пользования, оснащенных высокоточным оборудованием,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что позволяет вести исследования мирового уровня в области химии, физики, биомедицины и новых материалов.</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4.</w:t>
      </w:r>
      <w:r w:rsidR="006B12F8">
        <w:rPr>
          <w:rFonts w:ascii="Times New Roman" w:eastAsia="Calibri" w:hAnsi="Times New Roman"/>
          <w:color w:val="auto"/>
          <w:sz w:val="26"/>
          <w:szCs w:val="26"/>
        </w:rPr>
        <w:t xml:space="preserve"> </w:t>
      </w:r>
      <w:r w:rsidRPr="006B12F8">
        <w:rPr>
          <w:rFonts w:ascii="Times New Roman" w:eastAsia="Calibri" w:hAnsi="Times New Roman"/>
          <w:color w:val="auto"/>
          <w:sz w:val="26"/>
          <w:szCs w:val="26"/>
        </w:rPr>
        <w:t xml:space="preserve">Предприятия реального сектора как квалифицированные заказчики инноваций. Высокотехнологичные компании региона (АО «НПФ «Микран»,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АО «НИИПП», ООО «ИХТЦ», предприятия «Сибирского химического комбината» и др.) формируют спрос на инновационные разработки, выступая в роли квалифицированного заказчика.</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lastRenderedPageBreak/>
        <w:t xml:space="preserve">Томская область обладает уникальным кадровым потенциалом </w:t>
      </w:r>
      <w:r w:rsidRPr="006B12F8">
        <w:rPr>
          <w:rFonts w:ascii="Times New Roman" w:eastAsia="Calibri" w:hAnsi="Times New Roman"/>
          <w:color w:val="auto"/>
          <w:sz w:val="26"/>
          <w:szCs w:val="26"/>
        </w:rPr>
        <w:br/>
        <w:t xml:space="preserve">в научно-инновационной сфере, что подтверждается вторым местом в России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по численности студентов вузов в расчете на 10 тыс. населения (623 человека). Кадровая обеспеченность региона характеризуется высокой концентрацией исследователей, практико-ориентированной подготовкой, притоком талантливой молодежи и системой выявления талантов.</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Научно-инновационная сфера Томской области обладает глубокой экспертизой по ряду приоритетных направлений, которые являются основой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для формирования технологических доменов региона. К ведущим компетенциям относятся энергетика и атомные технологии; микроэлектроника, радиоэлектроника и системы связи; беспилотные авиационные системы; малотоннажная химия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и новые материалы, а также биомедицина и биотехнологии. </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Томская область обладает развитой научно-инновационной инфраструктурой, мощным кадровым потенциалом и уникальными научно-технологическими компетенциями, что создает прочную основу для достижения целей технологического лидерства и устойчивого экономического развития региона.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Для этого используются механизмы национальных проектов, программы стратегического академического лидерства «Приоритет</w:t>
      </w:r>
      <w:r w:rsidRPr="006B12F8">
        <w:rPr>
          <w:rFonts w:ascii="Times New Roman" w:eastAsia="Calibri" w:hAnsi="Times New Roman"/>
          <w:color w:val="auto"/>
          <w:sz w:val="26"/>
          <w:szCs w:val="26"/>
        </w:rPr>
        <w:noBreakHyphen/>
        <w:t>2030» и передовых инженерных школ, ресурсы научно</w:t>
      </w:r>
      <w:r w:rsidRPr="006B12F8">
        <w:rPr>
          <w:rFonts w:ascii="Times New Roman" w:eastAsia="Calibri" w:hAnsi="Times New Roman"/>
          <w:color w:val="auto"/>
          <w:sz w:val="26"/>
          <w:szCs w:val="26"/>
        </w:rPr>
        <w:noBreakHyphen/>
        <w:t>образовательного комплекса, промышленных предприятий и высокотехнологичного бизнеса.</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В условиях структурных изменений в российской и мировой экономике регион сосредотачивает усилия на:</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технологическом лидерстве и подготовке кадров будущего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с концентрацией ресурсов на развитие технологического ядра новой промышленной революции; </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глубокой модернизации промышленности и развитии промышленных кластеров; </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развитии экосистемы предпринимательства для старта, ведения </w:t>
      </w:r>
      <w:r w:rsidRPr="006B12F8">
        <w:rPr>
          <w:rFonts w:ascii="Times New Roman" w:eastAsia="Calibri" w:hAnsi="Times New Roman"/>
          <w:color w:val="auto"/>
          <w:sz w:val="26"/>
          <w:szCs w:val="26"/>
        </w:rPr>
        <w:br/>
        <w:t>и масштабирования малого и среднего предпринимательства;</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развитии креативных (творческих) индустрий в экономике гостеприимства;</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—улучшении инвестиционного климата и расширении международных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и межрегиональных связей. </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При этом технологическое лидерство рассматривается не как отдельный «технический» проект, а как целостная производственно-технологическая экосистема, которая сшивает науку, бизнес и власть в единый контур принятия решений по развитию суверенных критических технологий и созданию на их основе новых высокотехнологичных продуктов и стандартов для новых индустрий.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Такая фокусировка обеспечит не только инновационно ориентированный экономический рост региона, но и мультипликативно будет влиять на ускоренное развитие и модернизацию традиционных отраслей промышленности, предпринимательства, обеспечивая технологическую независимость, экономическую безопасность и устойчивую конкурентоспособность Томской области.</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Задача Стратегии состоит в преобразовании существующего научно</w:t>
      </w:r>
      <w:r w:rsidRPr="006B12F8">
        <w:rPr>
          <w:rFonts w:ascii="Times New Roman" w:eastAsia="Calibri" w:hAnsi="Times New Roman"/>
          <w:color w:val="auto"/>
          <w:sz w:val="26"/>
          <w:szCs w:val="26"/>
        </w:rPr>
        <w:noBreakHyphen/>
        <w:t xml:space="preserve">технологического, промышленного и предпринимательского потенциала региона (университеты, НИИ, компании, кластеры) в устойчивый механизм роста экономики региона, доходов и качества жизни населения за счет масштабного </w:t>
      </w:r>
      <w:r w:rsidRPr="006B12F8">
        <w:rPr>
          <w:rFonts w:ascii="Times New Roman" w:eastAsia="Calibri" w:hAnsi="Times New Roman"/>
          <w:color w:val="auto"/>
          <w:sz w:val="26"/>
          <w:szCs w:val="26"/>
        </w:rPr>
        <w:lastRenderedPageBreak/>
        <w:t xml:space="preserve">внедрения востребованных рынком технологий и увеличения к 2030 году доли продукции высокотехнологичных и наукоемких отраслей в ВРП Томской области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не менее чем в 1,5 раза.</w:t>
      </w:r>
    </w:p>
    <w:p w:rsidR="00E618FE" w:rsidRPr="006B12F8" w:rsidRDefault="00800098">
      <w:pPr>
        <w:pStyle w:val="a4"/>
        <w:rPr>
          <w:rFonts w:ascii="Times New Roman" w:eastAsia="Calibri" w:hAnsi="Times New Roman"/>
          <w:b/>
          <w:bCs/>
          <w:color w:val="auto"/>
          <w:sz w:val="26"/>
          <w:szCs w:val="26"/>
        </w:rPr>
      </w:pPr>
      <w:r w:rsidRPr="006B12F8">
        <w:rPr>
          <w:rFonts w:ascii="Times New Roman" w:eastAsia="Calibri" w:hAnsi="Times New Roman"/>
          <w:color w:val="auto"/>
          <w:sz w:val="26"/>
          <w:szCs w:val="26"/>
        </w:rPr>
        <w:t xml:space="preserve">Региональная цель «Устойчивое экономическое и технологическое развитие» достигается через </w:t>
      </w:r>
      <w:r w:rsidRPr="006B12F8">
        <w:rPr>
          <w:rFonts w:ascii="Times New Roman" w:eastAsia="Calibri" w:hAnsi="Times New Roman"/>
          <w:b/>
          <w:bCs/>
          <w:color w:val="auto"/>
          <w:sz w:val="26"/>
          <w:szCs w:val="26"/>
        </w:rPr>
        <w:t>пять стратегических приоритетов:</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стратегический приоритет 3.1. «Экосистема технологического лидерства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и кадры будущего»;</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стратегический приоритет 3.2. «Модернизация промышленности и точки роста реального сектора»;</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стратегический приоритет 3.3. «Развитие предпринимательства: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от стартапа до лидера рынка»;</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стратегический приоритет 3.4. «Креативная экономика и индустрия гостеприимства Томской области»;</w:t>
      </w:r>
    </w:p>
    <w:p w:rsidR="00E618FE" w:rsidRPr="006B12F8" w:rsidRDefault="00800098">
      <w:pPr>
        <w:pStyle w:val="a4"/>
        <w:rPr>
          <w:rFonts w:ascii="Times New Roman" w:eastAsia="Calibri" w:hAnsi="Times New Roman"/>
          <w:color w:val="auto"/>
          <w:sz w:val="26"/>
          <w:szCs w:val="26"/>
        </w:rPr>
      </w:pPr>
      <w:r w:rsidRPr="006B12F8">
        <w:rPr>
          <w:rFonts w:ascii="Times New Roman" w:eastAsia="Calibri" w:hAnsi="Times New Roman"/>
          <w:color w:val="auto"/>
          <w:sz w:val="26"/>
          <w:szCs w:val="26"/>
        </w:rPr>
        <w:t xml:space="preserve">— стратегический приоритет 3.5. «Инвестиционная привлекательность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и внешняя открытость региона».</w:t>
      </w:r>
    </w:p>
    <w:p w:rsidR="00E618FE" w:rsidRPr="006B12F8"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 xml:space="preserve">Стратегический приоритет 3.1. «Экосистема технологического лидерства и кадры будущего» </w:t>
      </w:r>
      <w:r w:rsidRPr="006B12F8">
        <w:rPr>
          <w:rFonts w:ascii="Times New Roman" w:eastAsia="Calibri" w:hAnsi="Times New Roman"/>
          <w:color w:val="auto"/>
          <w:sz w:val="26"/>
          <w:szCs w:val="26"/>
        </w:rPr>
        <w:t xml:space="preserve">обеспечивает к 2036 году </w:t>
      </w:r>
      <w:r w:rsidRPr="006B12F8">
        <w:rPr>
          <w:rFonts w:ascii="Times New Roman" w:eastAsia="Calibri" w:hAnsi="Times New Roman"/>
          <w:b/>
          <w:bCs/>
          <w:color w:val="auto"/>
          <w:sz w:val="26"/>
          <w:szCs w:val="26"/>
        </w:rPr>
        <w:t>технологическое лидерство Томской области</w:t>
      </w:r>
      <w:r w:rsidRPr="006B12F8">
        <w:rPr>
          <w:rFonts w:ascii="Times New Roman" w:eastAsia="Calibri" w:hAnsi="Times New Roman"/>
          <w:color w:val="auto"/>
          <w:sz w:val="26"/>
          <w:szCs w:val="26"/>
        </w:rPr>
        <w:t xml:space="preserve"> в энергетике и атомных технологиях, электронике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и беспилотных технологиях, малотоннажной химии, биоэкономике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и медтехнологиях на основе развития целостной производственно-технологической экосистемы, обеспечивающей связку технологий, кадров, инфраструктуры, образования и среды внедрения. Новая модель технологического развития обеспечит формирование собственных технологических контуров с потенциалом лидерства и экспорта через развитие института квалифицированного заказчика.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 xml:space="preserve">Это обеспечит устойчивый приток и удержание кадров, опережающий рост высокотехнологичной продукции, экспорта, доходов жителей и закрепляет </w:t>
      </w:r>
      <w:r w:rsidRPr="006B12F8">
        <w:rPr>
          <w:rFonts w:ascii="Times New Roman" w:eastAsia="Calibri" w:hAnsi="Times New Roman"/>
          <w:color w:val="auto"/>
          <w:sz w:val="26"/>
          <w:szCs w:val="26"/>
        </w:rPr>
        <w:br/>
        <w:t>за регионом статус ведущего научно-технологического центра новой промышленной революции.</w:t>
      </w:r>
    </w:p>
    <w:p w:rsidR="00E618FE" w:rsidRPr="006B12F8"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 xml:space="preserve">Стратегический приоритет 3.2. «Модернизация промышленности </w:t>
      </w:r>
      <w:r w:rsidRPr="00535A4B">
        <w:rPr>
          <w:rFonts w:ascii="Times New Roman" w:eastAsia="Calibri" w:hAnsi="Times New Roman"/>
          <w:b/>
          <w:bCs/>
          <w:color w:val="auto"/>
        </w:rPr>
        <w:br/>
        <w:t>и точки роста реального сектора»</w:t>
      </w:r>
      <w:r w:rsidRPr="00535A4B">
        <w:rPr>
          <w:rFonts w:ascii="Times New Roman" w:eastAsia="Calibri" w:hAnsi="Times New Roman"/>
          <w:color w:val="auto"/>
        </w:rPr>
        <w:t xml:space="preserve"> </w:t>
      </w:r>
      <w:r w:rsidRPr="006B12F8">
        <w:rPr>
          <w:rFonts w:ascii="Times New Roman" w:eastAsia="Calibri" w:hAnsi="Times New Roman"/>
          <w:color w:val="auto"/>
          <w:sz w:val="26"/>
          <w:szCs w:val="26"/>
        </w:rPr>
        <w:t xml:space="preserve">предусматривает формирование </w:t>
      </w:r>
      <w:r w:rsidRPr="006B12F8">
        <w:rPr>
          <w:rFonts w:ascii="Times New Roman" w:eastAsia="Calibri" w:hAnsi="Times New Roman"/>
          <w:color w:val="auto"/>
          <w:sz w:val="26"/>
          <w:szCs w:val="26"/>
        </w:rPr>
        <w:br/>
        <w:t xml:space="preserve">к 2036 году </w:t>
      </w:r>
      <w:r w:rsidRPr="006B12F8">
        <w:rPr>
          <w:rFonts w:ascii="Times New Roman" w:eastAsia="Calibri" w:hAnsi="Times New Roman"/>
          <w:b/>
          <w:bCs/>
          <w:color w:val="auto"/>
          <w:sz w:val="26"/>
          <w:szCs w:val="26"/>
        </w:rPr>
        <w:t xml:space="preserve">технологически суверенной промышленности реального сектора </w:t>
      </w:r>
      <w:r w:rsidR="006B12F8">
        <w:rPr>
          <w:rFonts w:ascii="Times New Roman" w:eastAsia="Calibri" w:hAnsi="Times New Roman"/>
          <w:b/>
          <w:bCs/>
          <w:color w:val="auto"/>
          <w:sz w:val="26"/>
          <w:szCs w:val="26"/>
        </w:rPr>
        <w:br/>
      </w:r>
      <w:r w:rsidRPr="006B12F8">
        <w:rPr>
          <w:rFonts w:ascii="Times New Roman" w:eastAsia="Calibri" w:hAnsi="Times New Roman"/>
          <w:color w:val="auto"/>
          <w:sz w:val="26"/>
          <w:szCs w:val="26"/>
        </w:rPr>
        <w:t>с ростом индекса промышленного производства, модернизацией топливно</w:t>
      </w:r>
      <w:r w:rsidRPr="006B12F8">
        <w:rPr>
          <w:rFonts w:ascii="Times New Roman" w:eastAsia="Calibri" w:hAnsi="Times New Roman"/>
          <w:color w:val="auto"/>
          <w:sz w:val="26"/>
          <w:szCs w:val="26"/>
        </w:rPr>
        <w:noBreakHyphen/>
        <w:t>энергетического комплекса, развитием приоритетных промышленных кластеров («Лес, лесопереработка и лесохимия», «Цветные и редкоземельные металлы», «Кластер электроники и беспилотных технологий на территории Томской области», «Химический кластер», «Фармацевтический кластер»), диверсификацией нефтехимии и реализацией крупных агропроектов.</w:t>
      </w:r>
    </w:p>
    <w:p w:rsidR="00E618FE" w:rsidRPr="006B12F8"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 xml:space="preserve">Стратегический приоритет 3.3. «Развитие предпринимательства: </w:t>
      </w:r>
      <w:r w:rsidRPr="00535A4B">
        <w:rPr>
          <w:rFonts w:ascii="Times New Roman" w:eastAsia="Calibri" w:hAnsi="Times New Roman"/>
          <w:b/>
          <w:bCs/>
          <w:color w:val="auto"/>
        </w:rPr>
        <w:br/>
        <w:t>от стартапа до лидера рынка»</w:t>
      </w:r>
      <w:r w:rsidRPr="00535A4B">
        <w:rPr>
          <w:rFonts w:ascii="Times New Roman" w:eastAsia="Calibri" w:hAnsi="Times New Roman"/>
          <w:color w:val="auto"/>
        </w:rPr>
        <w:t xml:space="preserve"> </w:t>
      </w:r>
      <w:r w:rsidRPr="006B12F8">
        <w:rPr>
          <w:rFonts w:ascii="Times New Roman" w:eastAsia="Calibri" w:hAnsi="Times New Roman"/>
          <w:color w:val="auto"/>
          <w:sz w:val="26"/>
          <w:szCs w:val="26"/>
        </w:rPr>
        <w:t xml:space="preserve">направлен на формирование в Томской области единой  экосистемы для старта, ведения и масштабирования малого и среднего предпринимательства, обеспечивающей рост числа устойчивых компаний, создание новых рабочих мест, развитие технологического, производственного, социального </w:t>
      </w:r>
      <w:r w:rsidR="006B12F8">
        <w:rPr>
          <w:rFonts w:ascii="Times New Roman" w:eastAsia="Calibri" w:hAnsi="Times New Roman"/>
          <w:color w:val="auto"/>
          <w:sz w:val="26"/>
          <w:szCs w:val="26"/>
        </w:rPr>
        <w:br/>
      </w:r>
      <w:r w:rsidRPr="006B12F8">
        <w:rPr>
          <w:rFonts w:ascii="Times New Roman" w:eastAsia="Calibri" w:hAnsi="Times New Roman"/>
          <w:color w:val="auto"/>
          <w:sz w:val="26"/>
          <w:szCs w:val="26"/>
        </w:rPr>
        <w:t>и молодежного предпринимательства, а также последовательный вывод зрелых предприятий на внешние рынки через специализированный «экспортный лифт».</w:t>
      </w:r>
    </w:p>
    <w:p w:rsidR="00E618FE" w:rsidRPr="0009023B"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 xml:space="preserve">Стратегический приоритет 3.4. «Креативная экономика </w:t>
      </w:r>
      <w:r w:rsidRPr="00535A4B">
        <w:rPr>
          <w:rFonts w:ascii="Times New Roman" w:eastAsia="Calibri" w:hAnsi="Times New Roman"/>
          <w:b/>
          <w:bCs/>
          <w:color w:val="auto"/>
        </w:rPr>
        <w:br/>
        <w:t>и индустрия гостеприимства Томской области»</w:t>
      </w:r>
      <w:r w:rsidRPr="00535A4B">
        <w:rPr>
          <w:rFonts w:ascii="Times New Roman" w:eastAsia="Calibri" w:hAnsi="Times New Roman"/>
          <w:color w:val="auto"/>
        </w:rPr>
        <w:t xml:space="preserve"> </w:t>
      </w:r>
      <w:r w:rsidRPr="0009023B">
        <w:rPr>
          <w:rFonts w:ascii="Times New Roman" w:eastAsia="Calibri" w:hAnsi="Times New Roman"/>
          <w:color w:val="auto"/>
          <w:sz w:val="26"/>
          <w:szCs w:val="26"/>
        </w:rPr>
        <w:t xml:space="preserve">направлен на превращение Томской области в один из ведущих центров развития креативных (творческих) </w:t>
      </w:r>
      <w:r w:rsidRPr="0009023B">
        <w:rPr>
          <w:rFonts w:ascii="Times New Roman" w:eastAsia="Calibri" w:hAnsi="Times New Roman"/>
          <w:color w:val="auto"/>
          <w:sz w:val="26"/>
          <w:szCs w:val="26"/>
        </w:rPr>
        <w:lastRenderedPageBreak/>
        <w:t xml:space="preserve">индустрий в экономике и гостеприимства России, где университетский центр, городская среда и культурное наследие становятся источниками устойчивого экономического роста, занятости и повышения качества жизни. Томская область развивает «экономику впечатлений», в которой креативные индустрии (программное обеспечение и видеоигры, архитектура и урбанистика, дизайн, мода (вкл. ювелирное дело), медиа и СМИ, реклама и пиар, культурное наследие, народные художественные промыслы и ремесла, и гастрономия), туризм и события формируют современный образ региона, усиливают его привлекательность </w:t>
      </w:r>
      <w:r w:rsidR="0009023B">
        <w:rPr>
          <w:rFonts w:ascii="Times New Roman" w:eastAsia="Calibri" w:hAnsi="Times New Roman"/>
          <w:color w:val="auto"/>
          <w:sz w:val="26"/>
          <w:szCs w:val="26"/>
        </w:rPr>
        <w:br/>
      </w:r>
      <w:r w:rsidRPr="0009023B">
        <w:rPr>
          <w:rFonts w:ascii="Times New Roman" w:eastAsia="Calibri" w:hAnsi="Times New Roman"/>
          <w:color w:val="auto"/>
          <w:sz w:val="26"/>
          <w:szCs w:val="26"/>
        </w:rPr>
        <w:t>для жизни, работы, учебы и отдыха.</w:t>
      </w:r>
    </w:p>
    <w:p w:rsidR="00E618FE" w:rsidRPr="0009023B"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Стратегический приоритет 3.5. «Инвестиционная привлекательность и внешняя открытость региона»</w:t>
      </w:r>
      <w:r w:rsidRPr="00535A4B">
        <w:rPr>
          <w:rFonts w:ascii="Times New Roman" w:eastAsia="Calibri" w:hAnsi="Times New Roman"/>
          <w:color w:val="auto"/>
        </w:rPr>
        <w:t xml:space="preserve"> </w:t>
      </w:r>
      <w:r w:rsidRPr="0009023B">
        <w:rPr>
          <w:rFonts w:ascii="Times New Roman" w:eastAsia="Calibri" w:hAnsi="Times New Roman"/>
          <w:color w:val="auto"/>
          <w:sz w:val="26"/>
          <w:szCs w:val="26"/>
        </w:rPr>
        <w:t xml:space="preserve">ориентирован </w:t>
      </w:r>
      <w:r w:rsidR="0009023B" w:rsidRPr="0009023B">
        <w:rPr>
          <w:rFonts w:ascii="Times New Roman" w:eastAsia="Calibri" w:hAnsi="Times New Roman"/>
          <w:color w:val="auto"/>
          <w:sz w:val="26"/>
          <w:szCs w:val="26"/>
        </w:rPr>
        <w:br/>
      </w:r>
      <w:r w:rsidRPr="0009023B">
        <w:rPr>
          <w:rFonts w:ascii="Times New Roman" w:eastAsia="Calibri" w:hAnsi="Times New Roman"/>
          <w:color w:val="auto"/>
          <w:sz w:val="26"/>
          <w:szCs w:val="26"/>
        </w:rPr>
        <w:t>на достижение к 2036 году устойчивого роста инвестиций в основной капитал и несырьевого экспорта, закрепление Томской области в верхней группе национальных рейтингов инвестиционного климата на основе развития ОЭЗ ТВТ «Томск»,</w:t>
      </w:r>
      <w:r w:rsidRPr="0009023B">
        <w:rPr>
          <w:rFonts w:ascii="Times New Roman" w:hAnsi="Times New Roman"/>
          <w:color w:val="auto"/>
          <w:sz w:val="26"/>
          <w:szCs w:val="26"/>
        </w:rPr>
        <w:t xml:space="preserve"> </w:t>
      </w:r>
      <w:r w:rsidRPr="0009023B">
        <w:rPr>
          <w:rFonts w:ascii="Times New Roman" w:eastAsia="Calibri" w:hAnsi="Times New Roman"/>
          <w:color w:val="auto"/>
          <w:sz w:val="26"/>
          <w:szCs w:val="26"/>
        </w:rPr>
        <w:t>ТОР «Северск», промышленных кластеров, регионального инвестиционного стандарта, налоговых льгот и международной кооперации.</w:t>
      </w:r>
    </w:p>
    <w:p w:rsidR="00E618FE" w:rsidRPr="00535A4B" w:rsidRDefault="00800098">
      <w:pPr>
        <w:pStyle w:val="a4"/>
        <w:rPr>
          <w:rFonts w:ascii="Times New Roman" w:eastAsia="Calibri" w:hAnsi="Times New Roman"/>
          <w:color w:val="auto"/>
        </w:rPr>
      </w:pPr>
      <w:r w:rsidRPr="00535A4B">
        <w:rPr>
          <w:rFonts w:ascii="Times New Roman" w:eastAsia="Calibri" w:hAnsi="Times New Roman"/>
          <w:b/>
          <w:bCs/>
          <w:color w:val="auto"/>
        </w:rPr>
        <w:t xml:space="preserve">Флагманские инициативы и инструменты достижения Региональной цели 3. </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Реализации Региональной цели 3 содействуют три комп</w:t>
      </w:r>
      <w:r w:rsidR="0009023B">
        <w:rPr>
          <w:rFonts w:ascii="Times New Roman" w:eastAsia="Calibri" w:hAnsi="Times New Roman"/>
          <w:color w:val="auto"/>
          <w:sz w:val="26"/>
          <w:szCs w:val="26"/>
        </w:rPr>
        <w:t>лексные флагманские инициативы –</w:t>
      </w:r>
      <w:r w:rsidRPr="0009023B">
        <w:rPr>
          <w:rFonts w:ascii="Times New Roman" w:eastAsia="Calibri" w:hAnsi="Times New Roman"/>
          <w:color w:val="auto"/>
          <w:sz w:val="26"/>
          <w:szCs w:val="26"/>
        </w:rPr>
        <w:t xml:space="preserve"> «Технологическое лидерство», «Технологический суверенитет», </w:t>
      </w:r>
      <w:r w:rsidR="0009023B">
        <w:rPr>
          <w:rFonts w:ascii="Times New Roman" w:eastAsia="Calibri" w:hAnsi="Times New Roman"/>
          <w:color w:val="auto"/>
          <w:sz w:val="26"/>
          <w:szCs w:val="26"/>
        </w:rPr>
        <w:br/>
      </w:r>
      <w:r w:rsidRPr="0009023B">
        <w:rPr>
          <w:rFonts w:ascii="Times New Roman" w:eastAsia="Calibri" w:hAnsi="Times New Roman"/>
          <w:color w:val="auto"/>
          <w:sz w:val="26"/>
          <w:szCs w:val="26"/>
        </w:rPr>
        <w:t xml:space="preserve">и «Индустрия творчества и туризм» которые объединяют в единую систему технологические домены (энергетика и атомные технологии; электроника и беспилотные технологии; малотоннажная химия и новые химические технологии; биоэкономика, биотехнологии и медтехнологии), промышленные кластеры («Лес, лесопереработка и лесохимия», «Цветные и редкоземельные металлы», «Кластер электроники и беспилотных технологий на территории Томской области», «Химический кластер»), развитие предпринимательства, креативных индустрий </w:t>
      </w:r>
      <w:r w:rsidR="0009023B">
        <w:rPr>
          <w:rFonts w:ascii="Times New Roman" w:eastAsia="Calibri" w:hAnsi="Times New Roman"/>
          <w:color w:val="auto"/>
          <w:sz w:val="26"/>
          <w:szCs w:val="26"/>
        </w:rPr>
        <w:br/>
      </w:r>
      <w:r w:rsidRPr="0009023B">
        <w:rPr>
          <w:rFonts w:ascii="Times New Roman" w:eastAsia="Calibri" w:hAnsi="Times New Roman"/>
          <w:color w:val="auto"/>
          <w:sz w:val="26"/>
          <w:szCs w:val="26"/>
        </w:rPr>
        <w:t xml:space="preserve">и индустрии гостеприимства, а также укрепление инвестиционного климата </w:t>
      </w:r>
      <w:r w:rsidR="0009023B">
        <w:rPr>
          <w:rFonts w:ascii="Times New Roman" w:eastAsia="Calibri" w:hAnsi="Times New Roman"/>
          <w:color w:val="auto"/>
          <w:sz w:val="26"/>
          <w:szCs w:val="26"/>
        </w:rPr>
        <w:br/>
      </w:r>
      <w:r w:rsidRPr="0009023B">
        <w:rPr>
          <w:rFonts w:ascii="Times New Roman" w:eastAsia="Calibri" w:hAnsi="Times New Roman"/>
          <w:color w:val="auto"/>
          <w:sz w:val="26"/>
          <w:szCs w:val="26"/>
        </w:rPr>
        <w:t>через ОЭЗ ТВТ «Томск»,</w:t>
      </w:r>
      <w:r w:rsidRPr="0009023B">
        <w:rPr>
          <w:rFonts w:ascii="Times New Roman" w:hAnsi="Times New Roman"/>
          <w:color w:val="auto"/>
          <w:sz w:val="26"/>
          <w:szCs w:val="26"/>
        </w:rPr>
        <w:t xml:space="preserve"> </w:t>
      </w:r>
      <w:r w:rsidRPr="0009023B">
        <w:rPr>
          <w:rFonts w:ascii="Times New Roman" w:eastAsia="Calibri" w:hAnsi="Times New Roman"/>
          <w:color w:val="auto"/>
          <w:sz w:val="26"/>
          <w:szCs w:val="26"/>
        </w:rPr>
        <w:t xml:space="preserve">ТОР «Северск», промышленные парки, современный инвестиционный стандарт, налоговые льготы и международную кооперацию, выстраивая согласованный маршрут достижения целевых ориентиров. </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xml:space="preserve">Кластерные инициативы, опираясь на зарегистрированные в 2025 году </w:t>
      </w:r>
      <w:r w:rsidR="0009023B">
        <w:rPr>
          <w:rFonts w:ascii="Times New Roman" w:eastAsia="Calibri" w:hAnsi="Times New Roman"/>
          <w:color w:val="auto"/>
          <w:sz w:val="26"/>
          <w:szCs w:val="26"/>
        </w:rPr>
        <w:br/>
      </w:r>
      <w:r w:rsidRPr="0009023B">
        <w:rPr>
          <w:rFonts w:ascii="Times New Roman" w:eastAsia="Calibri" w:hAnsi="Times New Roman"/>
          <w:color w:val="auto"/>
          <w:sz w:val="26"/>
          <w:szCs w:val="26"/>
        </w:rPr>
        <w:t xml:space="preserve">в Минпромторге России промышленные кластеры, действующие предприятия и инструменты государственной поддержки ускорят процессы формирования производств продукции высокой добавленной стоимости, формирования новых цепочек кооперации и укрепления технологического суверенитета в базовых отраслях экономики. </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Совместная реализация приоритетов и флагманских инициатив должна обеспечить к 2036 году рост выпуска высокотехнологичной и наукоемкой продукции, увеличение налоговых поступлений и числа высокопроизводительных рабочих мест и закрепить за Томской областью статус одного из ключевых научно</w:t>
      </w:r>
      <w:r w:rsidRPr="0009023B">
        <w:rPr>
          <w:rFonts w:ascii="Times New Roman" w:eastAsia="Calibri" w:hAnsi="Times New Roman"/>
          <w:color w:val="auto"/>
          <w:sz w:val="26"/>
          <w:szCs w:val="26"/>
        </w:rPr>
        <w:noBreakHyphen/>
        <w:t>технологических центров новой промышленной революции, привлекательного для молодежи, исследователей и высококвалифицированных специалистов. Томская область перейдет к новой модели устойчивого экономического и технологического развития, основанной на технологическом лидерстве, высокой производительности, глубокой переработке, развитом предпринимательстве, росте инвестиций и открытости внешним рынкам.</w:t>
      </w:r>
    </w:p>
    <w:p w:rsidR="00E618FE" w:rsidRPr="00535A4B" w:rsidRDefault="00800098">
      <w:pPr>
        <w:pStyle w:val="21"/>
        <w:rPr>
          <w:rFonts w:ascii="Times New Roman" w:eastAsia="Calibri" w:hAnsi="Times New Roman" w:cs="Times New Roman"/>
        </w:rPr>
      </w:pPr>
      <w:bookmarkStart w:id="140" w:name="_Toc228368434"/>
      <w:bookmarkStart w:id="141" w:name="_Toc235810154"/>
      <w:bookmarkStart w:id="142" w:name="_Toc238554542"/>
      <w:r w:rsidRPr="00535A4B">
        <w:rPr>
          <w:rFonts w:ascii="Times New Roman" w:eastAsia="Calibri" w:hAnsi="Times New Roman" w:cs="Times New Roman"/>
        </w:rPr>
        <w:lastRenderedPageBreak/>
        <w:t>Стратегический приоритет 3.1. «Экосистема технологического лидерства и кадры будущего»</w:t>
      </w:r>
      <w:bookmarkEnd w:id="140"/>
      <w:bookmarkEnd w:id="141"/>
      <w:bookmarkEnd w:id="142"/>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Стратегический приоритет направлен на превращение научно-образовательного и промышленного потенциала Томской области в устойчивый источник инновационно ориентированного экономического роста через внедрение новой модели технологического развития, основанной на последовательном смещении фокуса с «ускоренного импортозамещения» на формирование собственных технологических контуров с потенциалом лидерства и экспорта. Технологическое лидерство больше не рассматривается как результат развития отдельных о</w:t>
      </w:r>
      <w:r w:rsidR="0009023B">
        <w:rPr>
          <w:rFonts w:ascii="Times New Roman" w:eastAsia="Calibri" w:hAnsi="Times New Roman"/>
          <w:color w:val="auto"/>
          <w:sz w:val="26"/>
          <w:szCs w:val="26"/>
        </w:rPr>
        <w:t>траслей. В фокусе новой модели –</w:t>
      </w:r>
      <w:r w:rsidRPr="0009023B">
        <w:rPr>
          <w:rFonts w:ascii="Times New Roman" w:eastAsia="Calibri" w:hAnsi="Times New Roman"/>
          <w:color w:val="auto"/>
          <w:sz w:val="26"/>
          <w:szCs w:val="26"/>
        </w:rPr>
        <w:t xml:space="preserve"> развитие целостной производственно-технологической экосистемы, обеспечивающей связку технологий, кадров, инфраструктуры, образования и среды внедрения. </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xml:space="preserve">Ключевым механизмом достижения технологического лидерства, независимости и превосходства выступает институт квалифицированного заказчика, обеспечивающий формирование долгосрочного спроса на высокотехнологичную продукцию, контроль за соблюдением технологических и экономических условий, </w:t>
      </w:r>
      <w:r w:rsidR="0009023B">
        <w:rPr>
          <w:rFonts w:ascii="Times New Roman" w:eastAsia="Calibri" w:hAnsi="Times New Roman"/>
          <w:color w:val="auto"/>
          <w:sz w:val="26"/>
          <w:szCs w:val="26"/>
        </w:rPr>
        <w:br/>
      </w:r>
      <w:r w:rsidRPr="0009023B">
        <w:rPr>
          <w:rFonts w:ascii="Times New Roman" w:eastAsia="Calibri" w:hAnsi="Times New Roman"/>
          <w:color w:val="auto"/>
          <w:sz w:val="26"/>
          <w:szCs w:val="26"/>
        </w:rPr>
        <w:t>а также ускоренное внедрение инновационных разработок в реальный сектор экономики.</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Ключевыми опорными центрами этого приоритета выступают:</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квалифицированные заказчики (</w:t>
      </w:r>
      <w:bookmarkStart w:id="143" w:name="_Hlk231434539"/>
      <w:r w:rsidRPr="0009023B">
        <w:rPr>
          <w:rFonts w:ascii="Times New Roman" w:eastAsia="Calibri" w:hAnsi="Times New Roman"/>
          <w:color w:val="auto"/>
          <w:sz w:val="26"/>
          <w:szCs w:val="26"/>
        </w:rPr>
        <w:t xml:space="preserve">ГК «Росатом», АО «СХК», Правительство Томской области, предприятия ТЭК, ОАО «РЖД», ПАО «СИБУР Холдинг» и др.), </w:t>
      </w:r>
      <w:bookmarkEnd w:id="143"/>
      <w:r w:rsidRPr="0009023B">
        <w:rPr>
          <w:rFonts w:ascii="Times New Roman" w:eastAsia="Calibri" w:hAnsi="Times New Roman"/>
          <w:color w:val="auto"/>
          <w:sz w:val="26"/>
          <w:szCs w:val="26"/>
        </w:rPr>
        <w:t>отвечающие за формирование технических заданий, софинансирование НИОКР, пилотирование и масштабирование;</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научно-образовательный комплекс как ядро генерации знаний, технологий и кадров (Консолидация университетского и академического сообщества Томска позволила осу</w:t>
      </w:r>
      <w:r w:rsidR="0009023B">
        <w:rPr>
          <w:rFonts w:ascii="Times New Roman" w:eastAsia="Calibri" w:hAnsi="Times New Roman"/>
          <w:color w:val="auto"/>
          <w:sz w:val="26"/>
          <w:szCs w:val="26"/>
        </w:rPr>
        <w:t>ществиться уникальному проекту –</w:t>
      </w:r>
      <w:r w:rsidRPr="0009023B">
        <w:rPr>
          <w:rFonts w:ascii="Times New Roman" w:eastAsia="Calibri" w:hAnsi="Times New Roman"/>
          <w:color w:val="auto"/>
          <w:sz w:val="26"/>
          <w:szCs w:val="26"/>
        </w:rPr>
        <w:t xml:space="preserve"> объединению ключевых акторов научно-образовательного комплекса города сначала в АНО «Томский консорциум научно-образовательных и научных организаций», а затем и в «Большой университет Томска» с сохранением их юридической самостоятельности);</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ведущие высокотехнологичные и инновационные компании (</w:t>
      </w:r>
      <w:r w:rsidRPr="0009023B">
        <w:rPr>
          <w:rFonts w:ascii="Times New Roman" w:hAnsi="Times New Roman"/>
          <w:color w:val="auto"/>
          <w:sz w:val="26"/>
          <w:szCs w:val="26"/>
        </w:rPr>
        <w:t>АО «НПФ «Микран»</w:t>
      </w:r>
      <w:r w:rsidRPr="0009023B">
        <w:rPr>
          <w:rFonts w:ascii="Times New Roman" w:eastAsia="Calibri" w:hAnsi="Times New Roman"/>
          <w:color w:val="auto"/>
          <w:sz w:val="26"/>
          <w:szCs w:val="26"/>
        </w:rPr>
        <w:t xml:space="preserve">, АО «НИИПП», ООО «ИХТЦ», предприятия химического кластера, </w:t>
      </w:r>
      <w:bookmarkStart w:id="144" w:name="_Hlk231434683"/>
      <w:bookmarkStart w:id="145" w:name="_Hlk231434916"/>
      <w:r w:rsidRPr="0009023B">
        <w:rPr>
          <w:rFonts w:ascii="Times New Roman" w:eastAsia="Calibri" w:hAnsi="Times New Roman"/>
          <w:color w:val="auto"/>
          <w:sz w:val="26"/>
          <w:szCs w:val="26"/>
        </w:rPr>
        <w:t>ФГБНУ «Томский национальный исследовательский медицинский центр Российской академии наук»</w:t>
      </w:r>
      <w:bookmarkEnd w:id="144"/>
      <w:bookmarkEnd w:id="145"/>
      <w:r w:rsidRPr="0009023B">
        <w:rPr>
          <w:rFonts w:ascii="Times New Roman" w:eastAsia="Calibri" w:hAnsi="Times New Roman"/>
          <w:color w:val="auto"/>
          <w:sz w:val="26"/>
          <w:szCs w:val="26"/>
        </w:rPr>
        <w:t>, компании в сфере беспилотных авиасистем, в том числе входящие в состав территориального инновационного кластера Smart Technologies Tomsk), обеспечивающие доведение разработок до промышленного внедрения и рынка;</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действующие внедренческие зоны и пилотные площадки (технопарки, промышленные кластеры, площадки БАС, химический кластер, медицинские</w:t>
      </w:r>
      <w:r w:rsidRPr="0009023B">
        <w:rPr>
          <w:rFonts w:ascii="Times New Roman" w:hAnsi="Times New Roman"/>
          <w:color w:val="auto"/>
          <w:sz w:val="26"/>
          <w:szCs w:val="26"/>
        </w:rPr>
        <w:t xml:space="preserve"> и цифровые полигоны), где отрабатываются решения, </w:t>
      </w:r>
      <w:r w:rsidRPr="0009023B">
        <w:rPr>
          <w:rFonts w:ascii="Times New Roman" w:eastAsia="Calibri" w:hAnsi="Times New Roman"/>
          <w:color w:val="auto"/>
          <w:sz w:val="26"/>
          <w:szCs w:val="26"/>
        </w:rPr>
        <w:t>масштабирующиеся затем на регион и страну.</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xml:space="preserve">Данный приоритет выступает ядром региональной цели «Устойчивое экономическое и технологическое развитие» и задает рамку для развития высокотехнологичных секторов, подготовки кадров, внедрения отечественных технологий, формирования современного научно-технологического каркаса </w:t>
      </w:r>
      <w:r w:rsidR="0009023B">
        <w:rPr>
          <w:rFonts w:ascii="Times New Roman" w:eastAsia="Calibri" w:hAnsi="Times New Roman"/>
          <w:color w:val="auto"/>
          <w:sz w:val="26"/>
          <w:szCs w:val="26"/>
        </w:rPr>
        <w:br/>
      </w:r>
      <w:r w:rsidRPr="0009023B">
        <w:rPr>
          <w:rFonts w:ascii="Times New Roman" w:eastAsia="Calibri" w:hAnsi="Times New Roman"/>
          <w:color w:val="auto"/>
          <w:sz w:val="26"/>
          <w:szCs w:val="26"/>
        </w:rPr>
        <w:t>и синхронизации политики Томской области с национальными целями развития Российской Федерации.</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xml:space="preserve">Реализация приоритета опирается на сложившиеся и формирующиеся центры компетенций Томской области в области энергетики и атомных технологий, </w:t>
      </w:r>
      <w:r w:rsidRPr="0009023B">
        <w:rPr>
          <w:rFonts w:ascii="Times New Roman" w:eastAsia="Calibri" w:hAnsi="Times New Roman"/>
          <w:color w:val="auto"/>
          <w:sz w:val="26"/>
          <w:szCs w:val="26"/>
        </w:rPr>
        <w:lastRenderedPageBreak/>
        <w:t>малотоннажной химии, биоэкономики, микроэлектроники, радиоэлектроники и систем связи, информационных технологий, биотехнологий и медтехнологий, а также на научно-образовательный комплекс региона, участие в программе стратегического академического лидерства «Приоритет</w:t>
      </w:r>
      <w:r w:rsidR="0009023B">
        <w:rPr>
          <w:rFonts w:ascii="Times New Roman" w:eastAsia="Calibri" w:hAnsi="Times New Roman"/>
          <w:color w:val="auto"/>
          <w:sz w:val="26"/>
          <w:szCs w:val="26"/>
        </w:rPr>
        <w:t>-</w:t>
      </w:r>
      <w:r w:rsidRPr="0009023B">
        <w:rPr>
          <w:rFonts w:ascii="Times New Roman" w:eastAsia="Calibri" w:hAnsi="Times New Roman"/>
          <w:color w:val="auto"/>
          <w:sz w:val="26"/>
          <w:szCs w:val="26"/>
        </w:rPr>
        <w:t>2030», передовые инженерные школы и другое.</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xml:space="preserve">Финансирование мероприятий в части технологического лидерства предусматривается за счет средств федерального бюджета, областного бюджета, бюджетов организаций научно-образовательного комплекса, средств предприятий, внебюджетных инвестиций и грантовых механизмов институтов развития </w:t>
      </w:r>
      <w:r w:rsidR="00BC19D7">
        <w:rPr>
          <w:rFonts w:ascii="Times New Roman" w:eastAsia="Calibri" w:hAnsi="Times New Roman"/>
          <w:color w:val="auto"/>
          <w:sz w:val="26"/>
          <w:szCs w:val="26"/>
        </w:rPr>
        <w:br/>
      </w:r>
      <w:r w:rsidRPr="0009023B">
        <w:rPr>
          <w:rFonts w:ascii="Times New Roman" w:eastAsia="Calibri" w:hAnsi="Times New Roman"/>
          <w:color w:val="auto"/>
          <w:sz w:val="26"/>
          <w:szCs w:val="26"/>
        </w:rPr>
        <w:t>с применением механизмов софинансирования со стороны квалифицированных заказчиков; распределение источников соотносится с федеральными нацпроектами технологического лидерства и региональными приоритетами Томской области.</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Стратегия Томской области в части реализации приоритета «Экосистема технологического лидерства и кадры будущего» опирается на систему технологических доменов и предполагает прямую постановку задачи со стороны квалифицированного заказчика (госкорпорации, регион, бизнес), софинансирование исследований (в том числе через механизмы Российского научного фонда (РНФ), «Приоритет 2030», передовых инженерных школ и обязательства по пилотированию и масштабированию полученной технологии. Регион смещает фокус с параллельной поддержки множества направлений на выстраивание сквозного цикла: техническое задание от квалифицированного заказчика → разработка (вуз / НИИ) → внедрение и серия (квалифицированный заказчик).</w:t>
      </w:r>
    </w:p>
    <w:p w:rsidR="00E618FE" w:rsidRPr="0009023B" w:rsidRDefault="00800098">
      <w:pPr>
        <w:pStyle w:val="a4"/>
        <w:rPr>
          <w:rFonts w:ascii="Times New Roman" w:eastAsia="Calibri" w:hAnsi="Times New Roman"/>
          <w:color w:val="auto"/>
          <w:sz w:val="26"/>
          <w:szCs w:val="26"/>
        </w:rPr>
      </w:pPr>
      <w:r w:rsidRPr="0009023B">
        <w:rPr>
          <w:rFonts w:ascii="Times New Roman" w:eastAsia="Calibri" w:hAnsi="Times New Roman"/>
          <w:color w:val="auto"/>
          <w:sz w:val="26"/>
          <w:szCs w:val="26"/>
        </w:rPr>
        <w:t xml:space="preserve">Система технологических доменов отражает приоритетные научные, образовательные, инженерные и производственные компетенции региона, </w:t>
      </w:r>
      <w:r w:rsidR="00BC19D7">
        <w:rPr>
          <w:rFonts w:ascii="Times New Roman" w:eastAsia="Calibri" w:hAnsi="Times New Roman"/>
          <w:color w:val="auto"/>
          <w:sz w:val="26"/>
          <w:szCs w:val="26"/>
        </w:rPr>
        <w:br/>
      </w:r>
      <w:r w:rsidRPr="0009023B">
        <w:rPr>
          <w:rFonts w:ascii="Times New Roman" w:eastAsia="Calibri" w:hAnsi="Times New Roman"/>
          <w:color w:val="auto"/>
          <w:sz w:val="26"/>
          <w:szCs w:val="26"/>
        </w:rPr>
        <w:t>через которые обеспечивается концентрация мер поддержки, формирование кооперации между университетами, научными организациями, технологическими компаниями и институтами развития, а также прямая увязка региональных инициатив с национальными проектами технологического лидерства России. Домены выступают организационной основой для настройки кадровой политики, инновационного развития, поддержки стартапов и малых технологических компаний, а также для отбора проектов, способных обеспечить рост добавленной стоимости и экспортно ориентированного высокотехнологичного сектора Томской области.</w:t>
      </w:r>
    </w:p>
    <w:p w:rsidR="00E618FE" w:rsidRPr="0009023B" w:rsidRDefault="00E618FE">
      <w:pPr>
        <w:pStyle w:val="a4"/>
        <w:rPr>
          <w:rFonts w:ascii="Times New Roman" w:eastAsia="Calibri" w:hAnsi="Times New Roman"/>
          <w:color w:val="auto"/>
          <w:sz w:val="26"/>
          <w:szCs w:val="26"/>
        </w:rPr>
      </w:pPr>
    </w:p>
    <w:p w:rsidR="00E618FE" w:rsidRPr="00BC19D7" w:rsidRDefault="00800098">
      <w:pPr>
        <w:pStyle w:val="aff"/>
        <w:rPr>
          <w:rFonts w:ascii="Times New Roman" w:eastAsia="Calibri" w:hAnsi="Times New Roman"/>
          <w:sz w:val="26"/>
          <w:szCs w:val="26"/>
          <w:lang w:val="ru-RU"/>
        </w:rPr>
      </w:pPr>
      <w:r w:rsidRPr="00BC19D7">
        <w:rPr>
          <w:rFonts w:ascii="Times New Roman" w:eastAsia="Calibri" w:hAnsi="Times New Roman"/>
          <w:sz w:val="26"/>
          <w:szCs w:val="26"/>
          <w:lang w:val="ru-RU"/>
        </w:rPr>
        <w:t>Таблица 11.1.</w:t>
      </w:r>
      <w:r w:rsidRPr="00BC19D7">
        <w:rPr>
          <w:rFonts w:ascii="Times New Roman" w:eastAsia="Calibri" w:hAnsi="Times New Roman"/>
          <w:sz w:val="26"/>
          <w:szCs w:val="26"/>
        </w:rPr>
        <w:t> </w:t>
      </w:r>
      <w:r w:rsidRPr="00BC19D7">
        <w:rPr>
          <w:rFonts w:ascii="Times New Roman" w:eastAsia="Calibri" w:hAnsi="Times New Roman"/>
          <w:sz w:val="26"/>
          <w:szCs w:val="26"/>
          <w:lang w:val="ru-RU"/>
        </w:rPr>
        <w:t>Домены, нацпроекты и ответственные организации</w:t>
      </w:r>
    </w:p>
    <w:tbl>
      <w:tblPr>
        <w:tblStyle w:val="-110"/>
        <w:tblW w:w="0" w:type="auto"/>
        <w:tblLook w:val="04A0" w:firstRow="1" w:lastRow="0" w:firstColumn="1" w:lastColumn="0" w:noHBand="0" w:noVBand="1"/>
      </w:tblPr>
      <w:tblGrid>
        <w:gridCol w:w="2122"/>
        <w:gridCol w:w="3260"/>
        <w:gridCol w:w="3963"/>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rsidR="00E618FE" w:rsidRPr="00535A4B" w:rsidRDefault="00800098">
            <w:pPr>
              <w:pStyle w:val="a4"/>
              <w:ind w:firstLine="0"/>
              <w:jc w:val="center"/>
              <w:rPr>
                <w:rFonts w:ascii="Times New Roman" w:eastAsia="Calibri" w:hAnsi="Times New Roman"/>
                <w:color w:val="auto"/>
                <w:sz w:val="24"/>
                <w:szCs w:val="24"/>
              </w:rPr>
            </w:pPr>
            <w:r w:rsidRPr="00535A4B">
              <w:rPr>
                <w:rFonts w:ascii="Times New Roman" w:eastAsia="Calibri" w:hAnsi="Times New Roman"/>
                <w:b w:val="0"/>
                <w:bCs w:val="0"/>
                <w:color w:val="auto"/>
                <w:sz w:val="24"/>
                <w:szCs w:val="24"/>
              </w:rPr>
              <w:t>Технологический домен Томской области</w:t>
            </w:r>
          </w:p>
        </w:tc>
        <w:tc>
          <w:tcPr>
            <w:tcW w:w="3260" w:type="dxa"/>
          </w:tcPr>
          <w:p w:rsidR="00E618FE" w:rsidRPr="00535A4B" w:rsidRDefault="00800098">
            <w:pPr>
              <w:pStyle w:val="a4"/>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b w:val="0"/>
                <w:bCs w:val="0"/>
                <w:color w:val="auto"/>
                <w:sz w:val="24"/>
                <w:szCs w:val="24"/>
              </w:rPr>
              <w:t>Связанные национальные проекты технологического лидерства</w:t>
            </w:r>
          </w:p>
        </w:tc>
        <w:tc>
          <w:tcPr>
            <w:tcW w:w="3963" w:type="dxa"/>
          </w:tcPr>
          <w:p w:rsidR="00E618FE" w:rsidRPr="00535A4B" w:rsidRDefault="00800098">
            <w:pPr>
              <w:pStyle w:val="a4"/>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b w:val="0"/>
                <w:bCs w:val="0"/>
                <w:color w:val="auto"/>
                <w:sz w:val="24"/>
                <w:szCs w:val="24"/>
              </w:rPr>
              <w:t>Ключевые ответственные организации / центры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122" w:type="dxa"/>
          </w:tcPr>
          <w:p w:rsidR="00E618FE" w:rsidRPr="00535A4B" w:rsidRDefault="00800098">
            <w:pPr>
              <w:pStyle w:val="a4"/>
              <w:ind w:firstLine="0"/>
              <w:rPr>
                <w:rFonts w:ascii="Times New Roman" w:eastAsia="Calibri" w:hAnsi="Times New Roman"/>
                <w:color w:val="auto"/>
                <w:sz w:val="24"/>
                <w:szCs w:val="24"/>
              </w:rPr>
            </w:pPr>
            <w:r w:rsidRPr="00535A4B">
              <w:rPr>
                <w:rFonts w:ascii="Times New Roman" w:eastAsia="Calibri" w:hAnsi="Times New Roman"/>
                <w:b w:val="0"/>
                <w:bCs w:val="0"/>
                <w:color w:val="auto"/>
                <w:sz w:val="24"/>
                <w:szCs w:val="24"/>
              </w:rPr>
              <w:t>Малотоннажная химия и новые химические технологии</w:t>
            </w:r>
          </w:p>
        </w:tc>
        <w:tc>
          <w:tcPr>
            <w:tcW w:w="3260"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t>«Новые материалы и химия»; частично «Технологическое обеспечение биоэкономики»</w:t>
            </w:r>
          </w:p>
        </w:tc>
        <w:tc>
          <w:tcPr>
            <w:tcW w:w="3963"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t>НИ ТГУ и Инжиниринговый химико</w:t>
            </w:r>
            <w:r w:rsidRPr="00535A4B">
              <w:rPr>
                <w:rFonts w:ascii="Times New Roman" w:eastAsia="Calibri" w:hAnsi="Times New Roman"/>
                <w:color w:val="auto"/>
                <w:sz w:val="24"/>
                <w:szCs w:val="24"/>
              </w:rPr>
              <w:noBreakHyphen/>
              <w:t>технологический центр; Центр малотоннажной химии в ОЭЗ ТВТ «Томск»; химический промышленный кластер; компании «Новохим», «Томскнефтехим», НГК «Томск» и др.</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122" w:type="dxa"/>
          </w:tcPr>
          <w:p w:rsidR="00E618FE" w:rsidRPr="00535A4B" w:rsidRDefault="00800098">
            <w:pPr>
              <w:pStyle w:val="a4"/>
              <w:ind w:firstLine="0"/>
              <w:rPr>
                <w:rFonts w:ascii="Times New Roman" w:eastAsia="Calibri" w:hAnsi="Times New Roman"/>
                <w:color w:val="auto"/>
                <w:sz w:val="24"/>
                <w:szCs w:val="24"/>
              </w:rPr>
            </w:pPr>
            <w:r w:rsidRPr="00535A4B">
              <w:rPr>
                <w:rFonts w:ascii="Times New Roman" w:eastAsia="Calibri" w:hAnsi="Times New Roman"/>
                <w:b w:val="0"/>
                <w:bCs w:val="0"/>
                <w:color w:val="auto"/>
                <w:sz w:val="24"/>
                <w:szCs w:val="24"/>
              </w:rPr>
              <w:t>Электроника и беспилотные технологии</w:t>
            </w:r>
          </w:p>
        </w:tc>
        <w:tc>
          <w:tcPr>
            <w:tcW w:w="3260"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t xml:space="preserve">«Беспилотные авиационные системы»; «Средства производства и </w:t>
            </w:r>
            <w:r w:rsidRPr="00535A4B">
              <w:rPr>
                <w:rFonts w:ascii="Times New Roman" w:eastAsia="Calibri" w:hAnsi="Times New Roman"/>
                <w:color w:val="auto"/>
                <w:sz w:val="24"/>
                <w:szCs w:val="24"/>
              </w:rPr>
              <w:lastRenderedPageBreak/>
              <w:t>автоматизации»; «Промышленное обеспечение транспортной мобильности»; частично «Экономика данных и цифровая трансформация государства»</w:t>
            </w:r>
          </w:p>
        </w:tc>
        <w:tc>
          <w:tcPr>
            <w:tcW w:w="3963"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lastRenderedPageBreak/>
              <w:t xml:space="preserve">Промышленный кластер электроники и беспилотных технологий; АНО «НПЦ БАС </w:t>
            </w:r>
            <w:r w:rsidRPr="00535A4B">
              <w:rPr>
                <w:rFonts w:ascii="Times New Roman" w:eastAsia="Calibri" w:hAnsi="Times New Roman"/>
                <w:color w:val="auto"/>
                <w:sz w:val="24"/>
                <w:szCs w:val="24"/>
              </w:rPr>
              <w:lastRenderedPageBreak/>
              <w:t xml:space="preserve">Томской области»; ТУСУР, НИ ТГУ, НИ ТПУ и профильные инженерные команды региона. АО «НПФ «Микран»», </w:t>
            </w:r>
            <w:r w:rsidRPr="00535A4B">
              <w:rPr>
                <w:rFonts w:ascii="Times New Roman" w:eastAsia="Calibri" w:hAnsi="Times New Roman"/>
                <w:color w:val="auto"/>
                <w:sz w:val="24"/>
                <w:szCs w:val="24"/>
              </w:rPr>
              <w:br/>
              <w:t xml:space="preserve">АО «НИИПП», НПЦ «Полюс», </w:t>
            </w:r>
            <w:r w:rsidRPr="00535A4B">
              <w:rPr>
                <w:rFonts w:ascii="Times New Roman" w:eastAsia="Calibri" w:hAnsi="Times New Roman"/>
                <w:color w:val="auto"/>
                <w:sz w:val="24"/>
                <w:szCs w:val="24"/>
              </w:rPr>
              <w:br/>
              <w:t>АО «НПП «Радар ММС» и др.</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122" w:type="dxa"/>
          </w:tcPr>
          <w:p w:rsidR="00E618FE" w:rsidRPr="00535A4B" w:rsidRDefault="00800098">
            <w:pPr>
              <w:pStyle w:val="a4"/>
              <w:ind w:firstLine="0"/>
              <w:rPr>
                <w:rFonts w:ascii="Times New Roman" w:eastAsia="Calibri" w:hAnsi="Times New Roman"/>
                <w:color w:val="auto"/>
                <w:sz w:val="24"/>
                <w:szCs w:val="24"/>
              </w:rPr>
            </w:pPr>
            <w:r w:rsidRPr="00535A4B">
              <w:rPr>
                <w:rFonts w:ascii="Times New Roman" w:eastAsia="Calibri" w:hAnsi="Times New Roman"/>
                <w:b w:val="0"/>
                <w:bCs w:val="0"/>
                <w:color w:val="auto"/>
                <w:sz w:val="24"/>
                <w:szCs w:val="24"/>
              </w:rPr>
              <w:lastRenderedPageBreak/>
              <w:t>Биоэкономика, биотехнологии и медтехнологии</w:t>
            </w:r>
          </w:p>
        </w:tc>
        <w:tc>
          <w:tcPr>
            <w:tcW w:w="3260"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t>«Технологическое обеспечение биоэкономики»; «Новые технологии сбережения здоровья»; частично «Технологическое обеспечение продовольственной безопасности»</w:t>
            </w:r>
          </w:p>
        </w:tc>
        <w:tc>
          <w:tcPr>
            <w:tcW w:w="3963"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t>НИ ТГУ, СибГМУ, НИ ТПУ, ТУСУР, Томский НИМЦ; проект «Центр биомедицины и биотехнологии»; профильные лаборатории и НИИ в сфере биомедицины, биофармы и переработки биоресурсов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122" w:type="dxa"/>
          </w:tcPr>
          <w:p w:rsidR="00E618FE" w:rsidRPr="00535A4B" w:rsidRDefault="00800098">
            <w:pPr>
              <w:pStyle w:val="a4"/>
              <w:ind w:firstLine="0"/>
              <w:rPr>
                <w:rFonts w:ascii="Times New Roman" w:eastAsia="Calibri" w:hAnsi="Times New Roman"/>
                <w:color w:val="auto"/>
                <w:sz w:val="24"/>
                <w:szCs w:val="24"/>
              </w:rPr>
            </w:pPr>
            <w:r w:rsidRPr="00535A4B">
              <w:rPr>
                <w:rFonts w:ascii="Times New Roman" w:eastAsia="Calibri" w:hAnsi="Times New Roman"/>
                <w:b w:val="0"/>
                <w:bCs w:val="0"/>
                <w:color w:val="auto"/>
                <w:sz w:val="24"/>
                <w:szCs w:val="24"/>
              </w:rPr>
              <w:t>Энергетика и атомные технологии</w:t>
            </w:r>
          </w:p>
        </w:tc>
        <w:tc>
          <w:tcPr>
            <w:tcW w:w="3260"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t>«Новые атомные и энергетические технологии»; частично «Технологическое обеспечение биоэкономики»</w:t>
            </w:r>
          </w:p>
        </w:tc>
        <w:tc>
          <w:tcPr>
            <w:tcW w:w="3963" w:type="dxa"/>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auto"/>
                <w:sz w:val="24"/>
                <w:szCs w:val="24"/>
              </w:rPr>
            </w:pPr>
            <w:r w:rsidRPr="00535A4B">
              <w:rPr>
                <w:rFonts w:ascii="Times New Roman" w:eastAsia="Calibri" w:hAnsi="Times New Roman"/>
                <w:color w:val="auto"/>
                <w:sz w:val="24"/>
                <w:szCs w:val="24"/>
              </w:rPr>
              <w:t>ТПУ, НИ ТГУ, ТУСУР; профильные НИИ и инженерные центры; предприятия ТЭК и компании, разрабатывающие решения для энергетики, мониторинга, накопления энергии и промышленной автоматизации</w:t>
            </w:r>
          </w:p>
        </w:tc>
      </w:tr>
    </w:tbl>
    <w:p w:rsidR="00E618FE" w:rsidRPr="00535A4B" w:rsidRDefault="00E618FE">
      <w:pPr>
        <w:pStyle w:val="a4"/>
        <w:rPr>
          <w:rFonts w:ascii="Times New Roman" w:eastAsia="Calibri" w:hAnsi="Times New Roman"/>
          <w:color w:val="auto"/>
        </w:rPr>
      </w:pP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color w:val="auto"/>
          <w:sz w:val="26"/>
          <w:szCs w:val="26"/>
        </w:rPr>
        <w:t>Технологические домены Томской области и закрепленные за ними организации развития формируют предметную основу реализации национальных проектов технологического лидерства на региональном уровне.</w:t>
      </w:r>
    </w:p>
    <w:p w:rsidR="00E618FE" w:rsidRPr="00535A4B" w:rsidRDefault="00800098">
      <w:pPr>
        <w:pStyle w:val="41"/>
        <w:rPr>
          <w:rFonts w:ascii="Times New Roman" w:eastAsia="Calibri" w:hAnsi="Times New Roman"/>
          <w:lang w:val="ru-RU"/>
        </w:rPr>
      </w:pPr>
      <w:r w:rsidRPr="00535A4B">
        <w:rPr>
          <w:rFonts w:ascii="Times New Roman" w:eastAsia="Calibri" w:hAnsi="Times New Roman"/>
          <w:lang w:val="ru-RU"/>
        </w:rPr>
        <w:t>Задачи:</w:t>
      </w:r>
    </w:p>
    <w:p w:rsidR="00E618FE" w:rsidRPr="00BC19D7"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Задача 3.1.1.</w:t>
      </w:r>
      <w:r w:rsidRPr="00535A4B">
        <w:rPr>
          <w:rFonts w:ascii="Times New Roman" w:eastAsia="Calibri" w:hAnsi="Times New Roman"/>
          <w:color w:val="auto"/>
        </w:rPr>
        <w:t> </w:t>
      </w:r>
      <w:r w:rsidRPr="00535A4B">
        <w:rPr>
          <w:rFonts w:ascii="Times New Roman" w:eastAsia="Calibri" w:hAnsi="Times New Roman"/>
          <w:b/>
          <w:bCs/>
          <w:color w:val="auto"/>
        </w:rPr>
        <w:t xml:space="preserve">Обеспечить закрепление института квалифицированного заказчика в качестве основного инструмента научно-производственной кооперации и технологического лидерства Томской области. </w:t>
      </w:r>
      <w:r w:rsidRPr="00BC19D7">
        <w:rPr>
          <w:rFonts w:ascii="Times New Roman" w:eastAsia="Calibri" w:hAnsi="Times New Roman"/>
          <w:color w:val="auto"/>
          <w:sz w:val="26"/>
          <w:szCs w:val="26"/>
        </w:rPr>
        <w:t>Приоритетом является переход от параллельного развития технологических направлений к внедрению сквозного механизма полного инновационного цикла: «квалифицированный заказчик → фундаментально-ориентированное исследование → пилотное внедрение → серийное производство», закрепляющего ответственность за внедрение технологий в реальный сектор экономики. Это обеспечивает Томской области переход от генерации научных заделов к гарантированному промышленному внедрению и устойчивому технологическому превосходству в национальном масштабе к 2036 году.</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color w:val="auto"/>
          <w:sz w:val="26"/>
          <w:szCs w:val="26"/>
        </w:rPr>
        <w:t>Ключевые направления и инструменты реализации:</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Проекты «последней мили» под гарантии квалифицированного заказчика</w:t>
      </w:r>
      <w:r w:rsidRPr="00BC19D7">
        <w:rPr>
          <w:rFonts w:ascii="Times New Roman" w:eastAsia="Calibri" w:hAnsi="Times New Roman"/>
          <w:color w:val="auto"/>
          <w:sz w:val="26"/>
          <w:szCs w:val="26"/>
        </w:rPr>
        <w:t xml:space="preserve">: формирование портфеля комплексных проектов внедрения, где квалифицированный заказчик (ГК «Росатом», АО «СХК», ОАО «РЖД», ПАО «СИБУР Холдинг») </w:t>
      </w:r>
      <w:r w:rsidR="00BC19D7">
        <w:rPr>
          <w:rFonts w:ascii="Times New Roman" w:eastAsia="Calibri" w:hAnsi="Times New Roman"/>
          <w:color w:val="auto"/>
          <w:sz w:val="26"/>
          <w:szCs w:val="26"/>
        </w:rPr>
        <w:br/>
      </w:r>
      <w:r w:rsidRPr="00BC19D7">
        <w:rPr>
          <w:rFonts w:ascii="Times New Roman" w:eastAsia="Calibri" w:hAnsi="Times New Roman"/>
          <w:color w:val="auto"/>
          <w:sz w:val="26"/>
          <w:szCs w:val="26"/>
        </w:rPr>
        <w:t>не просто принимает результат, а софинансирует НИОКР, утверждает техническое задание и гарантирует внедрение через долгосрочные контракты.</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lastRenderedPageBreak/>
        <w:t>— Регион как квалифицированный заказчик</w:t>
      </w:r>
      <w:r w:rsidRPr="00BC19D7">
        <w:rPr>
          <w:rFonts w:ascii="Times New Roman" w:eastAsia="Calibri" w:hAnsi="Times New Roman"/>
          <w:color w:val="auto"/>
          <w:sz w:val="26"/>
          <w:szCs w:val="26"/>
        </w:rPr>
        <w:t xml:space="preserve">: закрепление за Правительством Томской области функции квалифицированного заказчика для решения системных инфраструктурных проблем. Формирование технического задания на разработку технологии (например, распределенная генерация для ликвидации энергодефицита в отдаленных районах) с последующим обязательством региона по пилотированию </w:t>
      </w:r>
      <w:r w:rsidRPr="00BC19D7">
        <w:rPr>
          <w:rFonts w:ascii="Times New Roman" w:eastAsia="Calibri" w:hAnsi="Times New Roman"/>
          <w:color w:val="auto"/>
          <w:sz w:val="26"/>
          <w:szCs w:val="26"/>
        </w:rPr>
        <w:br/>
        <w:t>и масштабированию успешных решений за счет бюджетных средств и привлечения инвестиций.</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Управленческая координация (межведомственный механизм)</w:t>
      </w:r>
      <w:r w:rsidRPr="00BC19D7">
        <w:rPr>
          <w:rFonts w:ascii="Times New Roman" w:eastAsia="Calibri" w:hAnsi="Times New Roman"/>
          <w:color w:val="auto"/>
          <w:sz w:val="26"/>
          <w:szCs w:val="26"/>
        </w:rPr>
        <w:t xml:space="preserve">: сформировать координационный механизм с участием Департамента экономики Правительства Томской области, Департамента инвестиционной и промышленной политики Томской области и Департамента по научно-технологическому развитию и инновационной деятельности Томской области, науки и высшего образования, университетов, госкорпораций и институтов развития. Цель </w:t>
      </w:r>
      <w:r w:rsidR="00BC19D7">
        <w:rPr>
          <w:rFonts w:ascii="Times New Roman" w:eastAsia="Calibri" w:hAnsi="Times New Roman"/>
          <w:color w:val="auto"/>
          <w:sz w:val="26"/>
          <w:szCs w:val="26"/>
        </w:rPr>
        <w:t>–</w:t>
      </w:r>
      <w:r w:rsidRPr="00BC19D7">
        <w:rPr>
          <w:rFonts w:ascii="Times New Roman" w:eastAsia="Calibri" w:hAnsi="Times New Roman"/>
          <w:color w:val="auto"/>
          <w:sz w:val="26"/>
          <w:szCs w:val="26"/>
        </w:rPr>
        <w:t xml:space="preserve"> синхронизация дорожных карт технологических доменов с национальными проектами технологического лидерства и обеспечение перехода от разрозненных грантов </w:t>
      </w:r>
      <w:r w:rsidR="00BC19D7">
        <w:rPr>
          <w:rFonts w:ascii="Times New Roman" w:eastAsia="Calibri" w:hAnsi="Times New Roman"/>
          <w:color w:val="auto"/>
          <w:sz w:val="26"/>
          <w:szCs w:val="26"/>
        </w:rPr>
        <w:br/>
      </w:r>
      <w:r w:rsidRPr="00BC19D7">
        <w:rPr>
          <w:rFonts w:ascii="Times New Roman" w:eastAsia="Calibri" w:hAnsi="Times New Roman"/>
          <w:color w:val="auto"/>
          <w:sz w:val="26"/>
          <w:szCs w:val="26"/>
        </w:rPr>
        <w:t>к проектному управлению с единым заказчиком.</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Финансирование и инвестиционная поддержка</w:t>
      </w:r>
      <w:r w:rsidRPr="00BC19D7">
        <w:rPr>
          <w:rFonts w:ascii="Times New Roman" w:eastAsia="Calibri" w:hAnsi="Times New Roman"/>
          <w:color w:val="auto"/>
          <w:sz w:val="26"/>
          <w:szCs w:val="26"/>
        </w:rPr>
        <w:t>: предусмотреть пакетные меры поддержки проектов квалифицированных заказчиков через льготные займы Фонда развития промышленности (ФРП); гранты РНФ по модели трехстороннего софинансирования (областной бюджет/бизнес/ РНФ) с обязательной приемкой результатов заказчиком; субсидирование затрат на пилотирование (опытную эксплуатацию) технологий на внедренческих зонах и полигонах Томской области.</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Малые технологические компании в кооперации</w:t>
      </w:r>
      <w:r w:rsidRPr="00BC19D7">
        <w:rPr>
          <w:rFonts w:ascii="Times New Roman" w:eastAsia="Calibri" w:hAnsi="Times New Roman"/>
          <w:color w:val="auto"/>
          <w:sz w:val="26"/>
          <w:szCs w:val="26"/>
        </w:rPr>
        <w:t xml:space="preserve">: обеспечить встраивание малых технологических компаний и стартапов в цепочки крупных квалифицированных заказчиков (ГК «Росатом», АО «СХК», </w:t>
      </w:r>
      <w:r w:rsidRPr="00BC19D7">
        <w:rPr>
          <w:rFonts w:ascii="Times New Roman" w:hAnsi="Times New Roman"/>
          <w:color w:val="auto"/>
          <w:sz w:val="26"/>
          <w:szCs w:val="26"/>
        </w:rPr>
        <w:t>АО «НПФ «Микран»</w:t>
      </w:r>
      <w:r w:rsidRPr="00BC19D7">
        <w:rPr>
          <w:rFonts w:ascii="Times New Roman" w:eastAsia="Calibri" w:hAnsi="Times New Roman"/>
          <w:color w:val="auto"/>
          <w:sz w:val="26"/>
          <w:szCs w:val="26"/>
        </w:rPr>
        <w:t>) через механизм квотирования доли субподряда для МСП в рамках крупных проектов, упрощенный доступ к посевному финансированию Фонда содействия инновациям (Фонд Бортника) при наличии подтвержденного заказа от индустриального партнера.</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Регуляторные и инфраструктурные полигоны:</w:t>
      </w:r>
      <w:r w:rsidRPr="00BC19D7">
        <w:rPr>
          <w:rFonts w:ascii="Times New Roman" w:eastAsia="Calibri" w:hAnsi="Times New Roman"/>
          <w:color w:val="auto"/>
          <w:sz w:val="26"/>
          <w:szCs w:val="26"/>
        </w:rPr>
        <w:t xml:space="preserve"> формирование специализированных внедренческих зон для отработки технологий в реальных условиях эксплуатации. Обеспечить участие региона в экспериментальных правовых режимах (по БАС, цифровым платформам, новым материалам), снимая барьеры для ускоренного тестирования инноваций.</w:t>
      </w:r>
    </w:p>
    <w:p w:rsidR="00E618FE" w:rsidRPr="00BC19D7"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 xml:space="preserve">Задача 3.1.2. Сформировать единую научно-образовательную экосистему как фундамент технологического лидерства Томской области. </w:t>
      </w:r>
      <w:r w:rsidRPr="00BC19D7">
        <w:rPr>
          <w:rFonts w:ascii="Times New Roman" w:eastAsia="Calibri" w:hAnsi="Times New Roman"/>
          <w:color w:val="auto"/>
          <w:sz w:val="26"/>
          <w:szCs w:val="26"/>
        </w:rPr>
        <w:t xml:space="preserve">В новой модели технологического развития университеты и НИИ должны перейти от генерации изолированных «фундаментальных заделов» к выполнению фундаментально ориентированных исследований по техническим заданиям квалифицированных заказчиков. Это требует интеграции двух контуров квалифицированного заказчика </w:t>
      </w:r>
      <w:r w:rsidR="00BC19D7">
        <w:rPr>
          <w:rFonts w:ascii="Times New Roman" w:eastAsia="Calibri" w:hAnsi="Times New Roman"/>
          <w:color w:val="auto"/>
          <w:sz w:val="26"/>
          <w:szCs w:val="26"/>
        </w:rPr>
        <w:t>–</w:t>
      </w:r>
      <w:r w:rsidRPr="00BC19D7">
        <w:rPr>
          <w:rFonts w:ascii="Times New Roman" w:eastAsia="Calibri" w:hAnsi="Times New Roman"/>
          <w:color w:val="auto"/>
          <w:sz w:val="26"/>
          <w:szCs w:val="26"/>
        </w:rPr>
        <w:t xml:space="preserve"> в рамках национальных проектов технологического лидерства (НПТЛ) и государственного задания (ГЗ 2.0), переориентации программ развития вузов и перестройки кадровых траекторий, чтобы научный результат изначально имел гарантированный путь к внедрению </w:t>
      </w:r>
      <w:r w:rsidR="00BC19D7">
        <w:rPr>
          <w:rFonts w:ascii="Times New Roman" w:eastAsia="Calibri" w:hAnsi="Times New Roman"/>
          <w:color w:val="auto"/>
          <w:sz w:val="26"/>
          <w:szCs w:val="26"/>
        </w:rPr>
        <w:br/>
      </w:r>
      <w:r w:rsidRPr="00BC19D7">
        <w:rPr>
          <w:rFonts w:ascii="Times New Roman" w:eastAsia="Calibri" w:hAnsi="Times New Roman"/>
          <w:color w:val="auto"/>
          <w:sz w:val="26"/>
          <w:szCs w:val="26"/>
        </w:rPr>
        <w:t>и промышленному масштабированию.</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color w:val="auto"/>
          <w:sz w:val="26"/>
          <w:szCs w:val="26"/>
        </w:rPr>
        <w:t>Ключевые направления и механизмы реализации:</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color w:val="auto"/>
          <w:sz w:val="26"/>
          <w:szCs w:val="26"/>
        </w:rPr>
        <w:t xml:space="preserve">— </w:t>
      </w:r>
      <w:r w:rsidRPr="00BC19D7">
        <w:rPr>
          <w:rFonts w:ascii="Times New Roman" w:eastAsia="Calibri" w:hAnsi="Times New Roman"/>
          <w:i/>
          <w:iCs/>
          <w:color w:val="auto"/>
          <w:sz w:val="26"/>
          <w:szCs w:val="26"/>
        </w:rPr>
        <w:t>Алгоритм поиска квалифицированного заказчика и единая база компетенций и оборудования</w:t>
      </w:r>
      <w:r w:rsidRPr="00BC19D7">
        <w:rPr>
          <w:rFonts w:ascii="Times New Roman" w:eastAsia="Calibri" w:hAnsi="Times New Roman"/>
          <w:color w:val="auto"/>
          <w:sz w:val="26"/>
          <w:szCs w:val="26"/>
        </w:rPr>
        <w:t xml:space="preserve">: разработка алгоритма поиска квалифицированного </w:t>
      </w:r>
      <w:r w:rsidRPr="00BC19D7">
        <w:rPr>
          <w:rFonts w:ascii="Times New Roman" w:eastAsia="Calibri" w:hAnsi="Times New Roman"/>
          <w:color w:val="auto"/>
          <w:sz w:val="26"/>
          <w:szCs w:val="26"/>
        </w:rPr>
        <w:lastRenderedPageBreak/>
        <w:t>заказчика для университетов и научных институтов, включая этапы формулировки предметной области, определения предприятий-кандидатов, установления контактов и сопровождения проектов. Сформировать на базе Томского консорциума единую базу компетенций и оборудования, доступную для квалифицированных заказчиков, чтобы они могли быстро найти исполнителя под свою задачу, минуя длительные бюрократические процедуры.</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«Госзадание 2.0»:</w:t>
      </w:r>
      <w:r w:rsidRPr="00BC19D7">
        <w:rPr>
          <w:rFonts w:ascii="Times New Roman" w:eastAsia="Calibri" w:hAnsi="Times New Roman"/>
          <w:color w:val="auto"/>
          <w:sz w:val="26"/>
          <w:szCs w:val="26"/>
        </w:rPr>
        <w:t xml:space="preserve"> реализовать механизм выделения до 10% объема государственного задания для вузов и НИИ на выполнение конкретных задач, сформулированных квалифицированными заказчиками с обязательством </w:t>
      </w:r>
      <w:r w:rsidR="00BC19D7">
        <w:rPr>
          <w:rFonts w:ascii="Times New Roman" w:eastAsia="Calibri" w:hAnsi="Times New Roman"/>
          <w:color w:val="auto"/>
          <w:sz w:val="26"/>
          <w:szCs w:val="26"/>
        </w:rPr>
        <w:br/>
      </w:r>
      <w:r w:rsidRPr="00BC19D7">
        <w:rPr>
          <w:rFonts w:ascii="Times New Roman" w:eastAsia="Calibri" w:hAnsi="Times New Roman"/>
          <w:color w:val="auto"/>
          <w:sz w:val="26"/>
          <w:szCs w:val="26"/>
        </w:rPr>
        <w:t>по последующему внедрению результатов (включая софинансирование и создание опытных производств).</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Новая кадровая связка под задачи квалифицированных заказчиков:</w:t>
      </w:r>
      <w:r w:rsidRPr="00BC19D7">
        <w:rPr>
          <w:rFonts w:ascii="Times New Roman" w:eastAsia="Calibri" w:hAnsi="Times New Roman"/>
          <w:color w:val="auto"/>
          <w:sz w:val="26"/>
          <w:szCs w:val="26"/>
        </w:rPr>
        <w:t xml:space="preserve"> внедрить программную связку «студенческое КБ → специализированная (базовая) кафедра → целевое обучение в аспирантуре → стажировка у заказчика». </w:t>
      </w:r>
      <w:r w:rsidR="00BC19D7">
        <w:rPr>
          <w:rFonts w:ascii="Times New Roman" w:eastAsia="Calibri" w:hAnsi="Times New Roman"/>
          <w:color w:val="auto"/>
          <w:sz w:val="26"/>
          <w:szCs w:val="26"/>
        </w:rPr>
        <w:br/>
      </w:r>
      <w:r w:rsidRPr="00BC19D7">
        <w:rPr>
          <w:rFonts w:ascii="Times New Roman" w:eastAsia="Calibri" w:hAnsi="Times New Roman"/>
          <w:color w:val="auto"/>
          <w:sz w:val="26"/>
          <w:szCs w:val="26"/>
        </w:rPr>
        <w:t xml:space="preserve">Это предполагает интеграцию студенческих конструкторских бюро в реальные R&amp;D-проекты квалифицированных заказчиков; открытие новых и перепрофилирование существующих кафедр под конкретные технологические домены (энергетика, БАС, химия и пр.); пересмотр системы стимулирования аспирантов (гранты должны выдаваться не под абстрактные темы, а под задачи заказчика с обязательством последующего трудоустройства или постдок-трека </w:t>
      </w:r>
      <w:r w:rsidR="00BC19D7">
        <w:rPr>
          <w:rFonts w:ascii="Times New Roman" w:eastAsia="Calibri" w:hAnsi="Times New Roman"/>
          <w:color w:val="auto"/>
          <w:sz w:val="26"/>
          <w:szCs w:val="26"/>
        </w:rPr>
        <w:br/>
      </w:r>
      <w:r w:rsidRPr="00BC19D7">
        <w:rPr>
          <w:rFonts w:ascii="Times New Roman" w:eastAsia="Calibri" w:hAnsi="Times New Roman"/>
          <w:color w:val="auto"/>
          <w:sz w:val="26"/>
          <w:szCs w:val="26"/>
        </w:rPr>
        <w:t>в индустрии).</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xml:space="preserve">— Платформа технологического предпринимательства, </w:t>
      </w:r>
      <w:r w:rsidRPr="00BC19D7">
        <w:rPr>
          <w:rFonts w:ascii="Times New Roman" w:eastAsia="Calibri" w:hAnsi="Times New Roman"/>
          <w:color w:val="auto"/>
          <w:sz w:val="26"/>
          <w:szCs w:val="26"/>
        </w:rPr>
        <w:t>обеспечивающая интеграцию малых технологических компаний (МТК) в цепочки добавленной стоимости квалифицированных заказчиков.</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xml:space="preserve">— «Окно возможностей» для технологического бизнеса и интеграция </w:t>
      </w:r>
      <w:r w:rsidR="005A51D4">
        <w:rPr>
          <w:rFonts w:ascii="Times New Roman" w:eastAsia="Calibri" w:hAnsi="Times New Roman"/>
          <w:i/>
          <w:iCs/>
          <w:color w:val="auto"/>
          <w:sz w:val="26"/>
          <w:szCs w:val="26"/>
        </w:rPr>
        <w:br/>
      </w:r>
      <w:r w:rsidRPr="00BC19D7">
        <w:rPr>
          <w:rFonts w:ascii="Times New Roman" w:eastAsia="Calibri" w:hAnsi="Times New Roman"/>
          <w:i/>
          <w:iCs/>
          <w:color w:val="auto"/>
          <w:sz w:val="26"/>
          <w:szCs w:val="26"/>
        </w:rPr>
        <w:t>с институтами развития</w:t>
      </w:r>
      <w:r w:rsidRPr="00BC19D7">
        <w:rPr>
          <w:rFonts w:ascii="Times New Roman" w:eastAsia="Calibri" w:hAnsi="Times New Roman"/>
          <w:color w:val="auto"/>
          <w:sz w:val="26"/>
          <w:szCs w:val="26"/>
        </w:rPr>
        <w:t xml:space="preserve">: внедрение специализированного режима «одного окна» на базе АНО «Центр инжиниринга и инноваций Томской области», предполагающего не просто консультации, а полное проектное сопровождение: </w:t>
      </w:r>
      <w:r w:rsidR="005A51D4">
        <w:rPr>
          <w:rFonts w:ascii="Times New Roman" w:eastAsia="Calibri" w:hAnsi="Times New Roman"/>
          <w:color w:val="auto"/>
          <w:sz w:val="26"/>
          <w:szCs w:val="26"/>
        </w:rPr>
        <w:br/>
      </w:r>
      <w:r w:rsidRPr="00BC19D7">
        <w:rPr>
          <w:rFonts w:ascii="Times New Roman" w:eastAsia="Calibri" w:hAnsi="Times New Roman"/>
          <w:color w:val="auto"/>
          <w:sz w:val="26"/>
          <w:szCs w:val="26"/>
        </w:rPr>
        <w:t xml:space="preserve">от валидации технологической идеи (с участием центров компетенций </w:t>
      </w:r>
      <w:r w:rsidR="005A51D4">
        <w:rPr>
          <w:rFonts w:ascii="Times New Roman" w:eastAsia="Calibri" w:hAnsi="Times New Roman"/>
          <w:color w:val="auto"/>
          <w:sz w:val="26"/>
          <w:szCs w:val="26"/>
        </w:rPr>
        <w:br/>
      </w:r>
      <w:r w:rsidRPr="00BC19D7">
        <w:rPr>
          <w:rFonts w:ascii="Times New Roman" w:eastAsia="Calibri" w:hAnsi="Times New Roman"/>
          <w:color w:val="auto"/>
          <w:sz w:val="26"/>
          <w:szCs w:val="26"/>
        </w:rPr>
        <w:t xml:space="preserve">и квалифицированных заказчиков) до подбора акселерационной программы, поиска пилотной площадки и выхода на серийный заказ. </w:t>
      </w:r>
    </w:p>
    <w:p w:rsidR="00E618FE" w:rsidRPr="00BC19D7" w:rsidRDefault="00800098">
      <w:pPr>
        <w:pStyle w:val="a4"/>
        <w:rPr>
          <w:rFonts w:ascii="Times New Roman" w:eastAsia="Calibri" w:hAnsi="Times New Roman"/>
          <w:color w:val="auto"/>
          <w:sz w:val="26"/>
          <w:szCs w:val="26"/>
        </w:rPr>
      </w:pPr>
      <w:r w:rsidRPr="00BC19D7">
        <w:rPr>
          <w:rFonts w:ascii="Times New Roman" w:eastAsia="Calibri" w:hAnsi="Times New Roman"/>
          <w:i/>
          <w:iCs/>
          <w:color w:val="auto"/>
          <w:sz w:val="26"/>
          <w:szCs w:val="26"/>
        </w:rPr>
        <w:t>— Развитие регионального звена институтов инновационного развития (механизмы «Сколково» и «Фонд Бортника»):</w:t>
      </w:r>
      <w:r w:rsidRPr="00BC19D7">
        <w:rPr>
          <w:rFonts w:ascii="Times New Roman" w:eastAsia="Calibri" w:hAnsi="Times New Roman"/>
          <w:color w:val="auto"/>
          <w:sz w:val="26"/>
          <w:szCs w:val="26"/>
        </w:rPr>
        <w:t xml:space="preserve"> создание региональной «витрины» </w:t>
      </w:r>
      <w:r w:rsidR="005A51D4">
        <w:rPr>
          <w:rFonts w:ascii="Times New Roman" w:eastAsia="Calibri" w:hAnsi="Times New Roman"/>
          <w:color w:val="auto"/>
          <w:sz w:val="26"/>
          <w:szCs w:val="26"/>
        </w:rPr>
        <w:br/>
      </w:r>
      <w:r w:rsidRPr="00BC19D7">
        <w:rPr>
          <w:rFonts w:ascii="Times New Roman" w:eastAsia="Calibri" w:hAnsi="Times New Roman"/>
          <w:color w:val="auto"/>
          <w:sz w:val="26"/>
          <w:szCs w:val="26"/>
        </w:rPr>
        <w:t>и укрепление статуса Томской области как ключевого партнера Фонда «Сколково». Запуск ежегодных программ совместного отбора и акселерации с целью кратного увеличения числа резидентов «Сколково» и объемов выручки томских МТК. Обеспечение доступа к полному пакету сервисов «Сколково» (грантовая поддержка, налоговые льготы, международное патентование, экспортные сервисы, менторская программа).</w:t>
      </w:r>
    </w:p>
    <w:p w:rsidR="00E618FE" w:rsidRPr="005A51D4" w:rsidRDefault="00800098">
      <w:pPr>
        <w:pStyle w:val="a4"/>
        <w:rPr>
          <w:rFonts w:ascii="Times New Roman" w:eastAsia="Calibri" w:hAnsi="Times New Roman"/>
          <w:color w:val="auto"/>
          <w:sz w:val="26"/>
          <w:szCs w:val="26"/>
        </w:rPr>
      </w:pPr>
      <w:r w:rsidRPr="005A51D4">
        <w:rPr>
          <w:rFonts w:ascii="Times New Roman" w:eastAsia="Calibri" w:hAnsi="Times New Roman"/>
          <w:i/>
          <w:iCs/>
          <w:color w:val="auto"/>
          <w:sz w:val="26"/>
          <w:szCs w:val="26"/>
        </w:rPr>
        <w:t>— Активация потенциала Фонда содействия инновациям</w:t>
      </w:r>
      <w:r w:rsidRPr="005A51D4">
        <w:rPr>
          <w:rFonts w:ascii="Times New Roman" w:eastAsia="Calibri" w:hAnsi="Times New Roman"/>
          <w:color w:val="auto"/>
          <w:sz w:val="26"/>
          <w:szCs w:val="26"/>
        </w:rPr>
        <w:t xml:space="preserve">: усиление работы регионального представительства «Фонд Бортника» через интеграцию </w:t>
      </w:r>
      <w:r w:rsidR="005A51D4">
        <w:rPr>
          <w:rFonts w:ascii="Times New Roman" w:eastAsia="Calibri" w:hAnsi="Times New Roman"/>
          <w:color w:val="auto"/>
          <w:sz w:val="26"/>
          <w:szCs w:val="26"/>
        </w:rPr>
        <w:br/>
      </w:r>
      <w:r w:rsidRPr="005A51D4">
        <w:rPr>
          <w:rFonts w:ascii="Times New Roman" w:eastAsia="Calibri" w:hAnsi="Times New Roman"/>
          <w:color w:val="auto"/>
          <w:sz w:val="26"/>
          <w:szCs w:val="26"/>
        </w:rPr>
        <w:t xml:space="preserve">его инструментов (программы «УМНИК», «СТАРТ», «Развитие») в сервисную линейку Центра инжиниринга. Обеспечение целевой подготовки заявок </w:t>
      </w:r>
      <w:r w:rsidR="005A51D4">
        <w:rPr>
          <w:rFonts w:ascii="Times New Roman" w:eastAsia="Calibri" w:hAnsi="Times New Roman"/>
          <w:color w:val="auto"/>
          <w:sz w:val="26"/>
          <w:szCs w:val="26"/>
        </w:rPr>
        <w:br/>
      </w:r>
      <w:r w:rsidRPr="005A51D4">
        <w:rPr>
          <w:rFonts w:ascii="Times New Roman" w:eastAsia="Calibri" w:hAnsi="Times New Roman"/>
          <w:color w:val="auto"/>
          <w:sz w:val="26"/>
          <w:szCs w:val="26"/>
        </w:rPr>
        <w:t>по приоритетным для области технологическим доменам (энергетика, БАС, химия, биоэкономика) для обеспечения кратного роста числа поддержанных проектов.</w:t>
      </w:r>
    </w:p>
    <w:p w:rsidR="00E618FE" w:rsidRPr="005A51D4" w:rsidRDefault="00E618FE">
      <w:pPr>
        <w:spacing w:after="160" w:line="259" w:lineRule="auto"/>
        <w:rPr>
          <w:rFonts w:eastAsia="Calibri"/>
          <w:b/>
          <w:bCs/>
          <w:sz w:val="26"/>
          <w:szCs w:val="26"/>
          <w:lang w:eastAsia="ar-SA"/>
        </w:rPr>
      </w:pPr>
    </w:p>
    <w:p w:rsidR="00E618FE" w:rsidRPr="005A51D4"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lastRenderedPageBreak/>
        <w:t xml:space="preserve">Задача 3.1.3. Развивать современную научно-образовательную, технологическую и инновационную инфраструктуру региона </w:t>
      </w:r>
      <w:r w:rsidRPr="00535A4B">
        <w:rPr>
          <w:rFonts w:ascii="Times New Roman" w:eastAsia="Calibri" w:hAnsi="Times New Roman"/>
          <w:b/>
          <w:bCs/>
          <w:color w:val="auto"/>
        </w:rPr>
        <w:br/>
        <w:t xml:space="preserve">для обеспечения полного инновационного цикла </w:t>
      </w:r>
      <w:r w:rsidR="005A51D4">
        <w:rPr>
          <w:rFonts w:ascii="Times New Roman" w:eastAsia="Calibri" w:hAnsi="Times New Roman"/>
          <w:b/>
          <w:bCs/>
          <w:color w:val="auto"/>
        </w:rPr>
        <w:t>«Заказчик – Разработка – Пилот –</w:t>
      </w:r>
      <w:r w:rsidRPr="00535A4B">
        <w:rPr>
          <w:rFonts w:ascii="Times New Roman" w:eastAsia="Calibri" w:hAnsi="Times New Roman"/>
          <w:b/>
          <w:bCs/>
          <w:color w:val="auto"/>
        </w:rPr>
        <w:t xml:space="preserve"> Серия». </w:t>
      </w:r>
      <w:r w:rsidRPr="005A51D4">
        <w:rPr>
          <w:rFonts w:ascii="Times New Roman" w:eastAsia="Calibri" w:hAnsi="Times New Roman"/>
          <w:color w:val="auto"/>
          <w:sz w:val="26"/>
          <w:szCs w:val="26"/>
        </w:rPr>
        <w:t xml:space="preserve">Современный межвузовский кампус г. Томска должен стать платформой, интегрирующей в себе функции «живой лаборатории», центра притяжения квалифицированных заказчиков и зоны комфортной среды </w:t>
      </w:r>
      <w:r w:rsidR="005A51D4">
        <w:rPr>
          <w:rFonts w:ascii="Times New Roman" w:eastAsia="Calibri" w:hAnsi="Times New Roman"/>
          <w:color w:val="auto"/>
          <w:sz w:val="26"/>
          <w:szCs w:val="26"/>
        </w:rPr>
        <w:br/>
      </w:r>
      <w:r w:rsidRPr="005A51D4">
        <w:rPr>
          <w:rFonts w:ascii="Times New Roman" w:eastAsia="Calibri" w:hAnsi="Times New Roman"/>
          <w:color w:val="auto"/>
          <w:sz w:val="26"/>
          <w:szCs w:val="26"/>
        </w:rPr>
        <w:t xml:space="preserve">для закрепления талантов, обеспечивая переход от создания заделов </w:t>
      </w:r>
      <w:r w:rsidR="005A51D4">
        <w:rPr>
          <w:rFonts w:ascii="Times New Roman" w:eastAsia="Calibri" w:hAnsi="Times New Roman"/>
          <w:color w:val="auto"/>
          <w:sz w:val="26"/>
          <w:szCs w:val="26"/>
        </w:rPr>
        <w:br/>
      </w:r>
      <w:r w:rsidRPr="005A51D4">
        <w:rPr>
          <w:rFonts w:ascii="Times New Roman" w:eastAsia="Calibri" w:hAnsi="Times New Roman"/>
          <w:color w:val="auto"/>
          <w:sz w:val="26"/>
          <w:szCs w:val="26"/>
        </w:rPr>
        <w:t>к промышленному внедрению через кооперацию науки, бизнеса и государства.</w:t>
      </w:r>
    </w:p>
    <w:p w:rsidR="00E618FE" w:rsidRPr="005A51D4" w:rsidRDefault="00800098">
      <w:pPr>
        <w:pStyle w:val="a4"/>
        <w:rPr>
          <w:rFonts w:ascii="Times New Roman" w:eastAsia="Calibri" w:hAnsi="Times New Roman"/>
          <w:color w:val="auto"/>
          <w:sz w:val="26"/>
          <w:szCs w:val="26"/>
        </w:rPr>
      </w:pPr>
      <w:r w:rsidRPr="005A51D4">
        <w:rPr>
          <w:rFonts w:ascii="Times New Roman" w:eastAsia="Calibri" w:hAnsi="Times New Roman"/>
          <w:color w:val="auto"/>
          <w:sz w:val="26"/>
          <w:szCs w:val="26"/>
        </w:rPr>
        <w:t>Ключевые направления и механизмы реализации:</w:t>
      </w:r>
    </w:p>
    <w:p w:rsidR="00E618FE" w:rsidRPr="005A51D4" w:rsidRDefault="00800098">
      <w:pPr>
        <w:pStyle w:val="a4"/>
        <w:rPr>
          <w:rFonts w:ascii="Times New Roman" w:eastAsia="Calibri" w:hAnsi="Times New Roman"/>
          <w:color w:val="auto"/>
          <w:sz w:val="26"/>
          <w:szCs w:val="26"/>
        </w:rPr>
      </w:pPr>
      <w:r w:rsidRPr="005A51D4">
        <w:rPr>
          <w:rFonts w:ascii="Times New Roman" w:eastAsia="Calibri" w:hAnsi="Times New Roman"/>
          <w:color w:val="auto"/>
          <w:sz w:val="26"/>
          <w:szCs w:val="26"/>
        </w:rPr>
        <w:t xml:space="preserve">— </w:t>
      </w:r>
      <w:r w:rsidRPr="005A51D4">
        <w:rPr>
          <w:rFonts w:ascii="Times New Roman" w:eastAsia="Calibri" w:hAnsi="Times New Roman"/>
          <w:i/>
          <w:iCs/>
          <w:color w:val="auto"/>
          <w:sz w:val="26"/>
          <w:szCs w:val="26"/>
        </w:rPr>
        <w:t>Кампус как центр притяжения квалифицированных заказчиков</w:t>
      </w:r>
      <w:r w:rsidRPr="005A51D4">
        <w:rPr>
          <w:rFonts w:ascii="Times New Roman" w:eastAsia="Calibri" w:hAnsi="Times New Roman"/>
          <w:color w:val="auto"/>
          <w:sz w:val="26"/>
          <w:szCs w:val="26"/>
        </w:rPr>
        <w:t>: создание на базе современного межвузовского кампуса в г. Томске и научно-образовательного комплекса г. Томска проектных офисов и площадок постоянного присутствия квалифицированных заказчиков (ГК «Росатом», ПАО «СИБУР Холдинг», ОАО «РЖД», Правительство Томской области). Формирование механизмов прямого взаимодействия студентов, молодых специалистов и бизнеса (стажировки, проектная деятельность, выполнение НИОКР) для тестирования технологий и решения кадровых задач заказчиков.</w:t>
      </w:r>
    </w:p>
    <w:p w:rsidR="00E618FE" w:rsidRPr="005A51D4" w:rsidRDefault="00800098">
      <w:pPr>
        <w:pStyle w:val="a4"/>
        <w:rPr>
          <w:rFonts w:ascii="Times New Roman" w:eastAsia="Calibri" w:hAnsi="Times New Roman"/>
          <w:color w:val="auto"/>
          <w:sz w:val="26"/>
          <w:szCs w:val="26"/>
        </w:rPr>
      </w:pPr>
      <w:r w:rsidRPr="005A51D4">
        <w:rPr>
          <w:rFonts w:ascii="Times New Roman" w:eastAsia="Calibri" w:hAnsi="Times New Roman"/>
          <w:color w:val="auto"/>
          <w:sz w:val="26"/>
          <w:szCs w:val="26"/>
        </w:rPr>
        <w:t xml:space="preserve">— </w:t>
      </w:r>
      <w:r w:rsidRPr="005A51D4">
        <w:rPr>
          <w:rFonts w:ascii="Times New Roman" w:eastAsia="Calibri" w:hAnsi="Times New Roman"/>
          <w:i/>
          <w:iCs/>
          <w:color w:val="auto"/>
          <w:sz w:val="26"/>
          <w:szCs w:val="26"/>
        </w:rPr>
        <w:t>Технологические полигоны и инфраструктура внедрения</w:t>
      </w:r>
      <w:r w:rsidRPr="005A51D4">
        <w:rPr>
          <w:rFonts w:ascii="Times New Roman" w:eastAsia="Calibri" w:hAnsi="Times New Roman"/>
          <w:color w:val="auto"/>
          <w:sz w:val="26"/>
          <w:szCs w:val="26"/>
        </w:rPr>
        <w:t xml:space="preserve">: развитие экспериментальных и испытательных зон (полигонов), включая центры коллективного пользования, лаборатории, инжиниринговые центры и опытные производства. Обеспечение возможности отработки технологий по техническому заданию квалифицированных заказчиков (например, испытательные стенды </w:t>
      </w:r>
      <w:r w:rsidR="005A51D4">
        <w:rPr>
          <w:rFonts w:ascii="Times New Roman" w:eastAsia="Calibri" w:hAnsi="Times New Roman"/>
          <w:color w:val="auto"/>
          <w:sz w:val="26"/>
          <w:szCs w:val="26"/>
        </w:rPr>
        <w:br/>
      </w:r>
      <w:r w:rsidRPr="005A51D4">
        <w:rPr>
          <w:rFonts w:ascii="Times New Roman" w:eastAsia="Calibri" w:hAnsi="Times New Roman"/>
          <w:color w:val="auto"/>
          <w:sz w:val="26"/>
          <w:szCs w:val="26"/>
        </w:rPr>
        <w:t>для БАС, пилотные реакторы для малотоннажной химии, медицинские и цифровые полигоны).</w:t>
      </w:r>
    </w:p>
    <w:p w:rsidR="00E618FE" w:rsidRPr="005A51D4" w:rsidRDefault="00800098">
      <w:pPr>
        <w:pStyle w:val="a4"/>
        <w:rPr>
          <w:rFonts w:ascii="Times New Roman" w:eastAsia="Calibri" w:hAnsi="Times New Roman"/>
          <w:color w:val="auto"/>
          <w:sz w:val="26"/>
          <w:szCs w:val="26"/>
        </w:rPr>
      </w:pPr>
      <w:r w:rsidRPr="005A51D4">
        <w:rPr>
          <w:rFonts w:ascii="Times New Roman" w:eastAsia="Calibri" w:hAnsi="Times New Roman"/>
          <w:color w:val="auto"/>
          <w:sz w:val="26"/>
          <w:szCs w:val="26"/>
        </w:rPr>
        <w:t xml:space="preserve">— </w:t>
      </w:r>
      <w:r w:rsidRPr="005A51D4">
        <w:rPr>
          <w:rFonts w:ascii="Times New Roman" w:eastAsia="Calibri" w:hAnsi="Times New Roman"/>
          <w:i/>
          <w:iCs/>
          <w:color w:val="auto"/>
          <w:sz w:val="26"/>
          <w:szCs w:val="26"/>
        </w:rPr>
        <w:t>Городская среда для закрепления кадров и молодежи</w:t>
      </w:r>
      <w:r w:rsidRPr="005A51D4">
        <w:rPr>
          <w:rFonts w:ascii="Times New Roman" w:eastAsia="Calibri" w:hAnsi="Times New Roman"/>
          <w:color w:val="auto"/>
          <w:sz w:val="26"/>
          <w:szCs w:val="26"/>
        </w:rPr>
        <w:t>: формирование комфортной и безопасной городской среды вокруг кампуса (современное жилье, общественные и культурные пространства, спортивная инфраструктура, доступный транспорт и развитые цифровые сервисы) для обеспечения притока и удержания квалифицированных кадров и позитивного демографического тренда, что является условием реализации технологического суверенитета.</w:t>
      </w:r>
    </w:p>
    <w:p w:rsidR="00E618FE" w:rsidRPr="005A51D4" w:rsidRDefault="00800098">
      <w:pPr>
        <w:pStyle w:val="a4"/>
        <w:rPr>
          <w:rFonts w:ascii="Times New Roman" w:eastAsia="Calibri" w:hAnsi="Times New Roman"/>
          <w:color w:val="auto"/>
          <w:sz w:val="26"/>
          <w:szCs w:val="26"/>
        </w:rPr>
      </w:pPr>
      <w:r w:rsidRPr="005A51D4">
        <w:rPr>
          <w:rFonts w:ascii="Times New Roman" w:eastAsia="Calibri" w:hAnsi="Times New Roman"/>
          <w:color w:val="auto"/>
          <w:sz w:val="26"/>
          <w:szCs w:val="26"/>
        </w:rPr>
        <w:t xml:space="preserve">— </w:t>
      </w:r>
      <w:r w:rsidRPr="005A51D4">
        <w:rPr>
          <w:rFonts w:ascii="Times New Roman" w:eastAsia="Calibri" w:hAnsi="Times New Roman"/>
          <w:i/>
          <w:iCs/>
          <w:color w:val="auto"/>
          <w:sz w:val="26"/>
          <w:szCs w:val="26"/>
        </w:rPr>
        <w:t>Карьерные траектории и кадровое обеспечение проектов</w:t>
      </w:r>
      <w:r w:rsidRPr="005A51D4">
        <w:rPr>
          <w:rFonts w:ascii="Times New Roman" w:eastAsia="Calibri" w:hAnsi="Times New Roman"/>
          <w:color w:val="auto"/>
          <w:sz w:val="26"/>
          <w:szCs w:val="26"/>
        </w:rPr>
        <w:t xml:space="preserve">: усиление связей кампуса с высокотехнологичными секторами и промышленными кластерами региона (энергетика, электроника, БАС, химия, фармацевтика) через создание базовых кафедр, целевое обучение и студенческие конструкторские бюро. Ориентация на конкретные кадровые запросы квалифицированных заказчиков </w:t>
      </w:r>
      <w:r w:rsidR="00D329B5">
        <w:rPr>
          <w:rFonts w:ascii="Times New Roman" w:eastAsia="Calibri" w:hAnsi="Times New Roman"/>
          <w:color w:val="auto"/>
          <w:sz w:val="26"/>
          <w:szCs w:val="26"/>
        </w:rPr>
        <w:br/>
      </w:r>
      <w:r w:rsidRPr="005A51D4">
        <w:rPr>
          <w:rFonts w:ascii="Times New Roman" w:eastAsia="Calibri" w:hAnsi="Times New Roman"/>
          <w:color w:val="auto"/>
          <w:sz w:val="26"/>
          <w:szCs w:val="26"/>
        </w:rPr>
        <w:t>и государственных корпораций.</w:t>
      </w:r>
    </w:p>
    <w:p w:rsidR="00D329B5" w:rsidRDefault="00D329B5">
      <w:pPr>
        <w:pStyle w:val="a4"/>
        <w:rPr>
          <w:rFonts w:ascii="Times New Roman" w:eastAsia="Calibri" w:hAnsi="Times New Roman"/>
          <w:b/>
          <w:bCs/>
          <w:color w:val="auto"/>
        </w:rPr>
      </w:pPr>
    </w:p>
    <w:p w:rsidR="00E618FE" w:rsidRPr="00D329B5"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Задача 3.1.4. Ускорить интеграцию Томской области в систему международного научно</w:t>
      </w:r>
      <w:r w:rsidRPr="00535A4B">
        <w:rPr>
          <w:rFonts w:ascii="Times New Roman" w:eastAsia="Calibri" w:hAnsi="Times New Roman"/>
          <w:b/>
          <w:bCs/>
          <w:color w:val="auto"/>
        </w:rPr>
        <w:noBreakHyphen/>
        <w:t xml:space="preserve">технологического сотрудничества. </w:t>
      </w:r>
      <w:r w:rsidRPr="00D329B5">
        <w:rPr>
          <w:rFonts w:ascii="Times New Roman" w:eastAsia="Calibri" w:hAnsi="Times New Roman"/>
          <w:color w:val="auto"/>
          <w:sz w:val="26"/>
          <w:szCs w:val="26"/>
        </w:rPr>
        <w:t>Необходимо сформировать устойчивые глобальные коллаборации и участие в мегапроектах, обеспечив рост экспорта образовательных услуг и высокотехнологичных продуктов, создаваемых на базе научно</w:t>
      </w:r>
      <w:r w:rsidRPr="00D329B5">
        <w:rPr>
          <w:rFonts w:ascii="Times New Roman" w:eastAsia="Calibri" w:hAnsi="Times New Roman"/>
          <w:color w:val="auto"/>
          <w:sz w:val="26"/>
          <w:szCs w:val="26"/>
        </w:rPr>
        <w:noBreakHyphen/>
        <w:t>образовательных центров мирового уровня и передовых инженерных школ Томской области.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Ключевые направления и механизмы реализации: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Международная кооперация в фундаментальных и прикладных исследованиях:</w:t>
      </w:r>
      <w:r w:rsidRPr="00D329B5">
        <w:rPr>
          <w:rFonts w:ascii="Times New Roman" w:eastAsia="Calibri" w:hAnsi="Times New Roman"/>
          <w:color w:val="auto"/>
          <w:sz w:val="26"/>
          <w:szCs w:val="26"/>
        </w:rPr>
        <w:t xml:space="preserve"> развивать международную кооперацию в фундаментальных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прикладных исследованиях через партнерства с ведущими университетами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lastRenderedPageBreak/>
        <w:t xml:space="preserve">и научными центрами дружественных стран, совместные проекты </w:t>
      </w:r>
      <w:r w:rsidRPr="00D329B5">
        <w:rPr>
          <w:rFonts w:ascii="Times New Roman" w:eastAsia="Calibri" w:hAnsi="Times New Roman"/>
          <w:color w:val="auto"/>
          <w:sz w:val="26"/>
          <w:szCs w:val="26"/>
        </w:rPr>
        <w:br/>
        <w:t>с партнерами из Юго</w:t>
      </w:r>
      <w:r w:rsidRPr="00D329B5">
        <w:rPr>
          <w:rFonts w:ascii="Times New Roman" w:eastAsia="Calibri" w:hAnsi="Times New Roman"/>
          <w:color w:val="auto"/>
          <w:sz w:val="26"/>
          <w:szCs w:val="26"/>
        </w:rPr>
        <w:noBreakHyphen/>
        <w:t>Восточной Азии, СНГ и БРИКС, академический обмен и совместные основные профессиональные образовательные программы высшего образования (программы двойных дипломов).</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 xml:space="preserve">«Большой университет Томска» как открытая экосистема </w:t>
      </w:r>
      <w:r w:rsidRPr="00D329B5">
        <w:rPr>
          <w:rFonts w:ascii="Times New Roman" w:eastAsia="Calibri" w:hAnsi="Times New Roman"/>
          <w:i/>
          <w:iCs/>
          <w:color w:val="auto"/>
          <w:sz w:val="26"/>
          <w:szCs w:val="26"/>
        </w:rPr>
        <w:br/>
        <w:t>для международных партнеров и исследователей:</w:t>
      </w:r>
      <w:r w:rsidRPr="00D329B5">
        <w:rPr>
          <w:rFonts w:ascii="Times New Roman" w:eastAsia="Calibri" w:hAnsi="Times New Roman"/>
          <w:color w:val="auto"/>
          <w:sz w:val="26"/>
          <w:szCs w:val="26"/>
        </w:rPr>
        <w:t xml:space="preserve"> развивать совместные лаборатории, исследовательские программы и координацию участия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в международных инфраструктурных проектах.</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Научно-образовательные центры мирового уровня</w:t>
      </w:r>
      <w:r w:rsidRPr="00D329B5">
        <w:rPr>
          <w:rFonts w:ascii="Times New Roman" w:eastAsia="Calibri" w:hAnsi="Times New Roman"/>
          <w:color w:val="auto"/>
          <w:sz w:val="26"/>
          <w:szCs w:val="26"/>
        </w:rPr>
        <w:t xml:space="preserve"> (НОЦ) </w:t>
      </w:r>
      <w:r w:rsidRPr="00D329B5">
        <w:rPr>
          <w:rFonts w:ascii="Times New Roman" w:eastAsia="Calibri" w:hAnsi="Times New Roman"/>
          <w:i/>
          <w:iCs/>
          <w:color w:val="auto"/>
          <w:sz w:val="26"/>
          <w:szCs w:val="26"/>
        </w:rPr>
        <w:t xml:space="preserve">и передовые инженерные школы: </w:t>
      </w:r>
      <w:r w:rsidRPr="00D329B5">
        <w:rPr>
          <w:rFonts w:ascii="Times New Roman" w:eastAsia="Calibri" w:hAnsi="Times New Roman"/>
          <w:color w:val="auto"/>
          <w:sz w:val="26"/>
          <w:szCs w:val="26"/>
        </w:rPr>
        <w:t xml:space="preserve">развивать приоритетные направления исследований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разработок (квантовые технологии, новые материалы, биомедицина, ИИ)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с фокусом на включение в федеральные и международные научные программы.</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Участие в глобальных научных коллаборациях:</w:t>
      </w:r>
      <w:r w:rsidRPr="00D329B5">
        <w:rPr>
          <w:rFonts w:ascii="Times New Roman" w:eastAsia="Calibri" w:hAnsi="Times New Roman"/>
          <w:color w:val="auto"/>
          <w:sz w:val="26"/>
          <w:szCs w:val="26"/>
        </w:rPr>
        <w:t xml:space="preserve"> обеспечить участие томских ученых и инженеров в глобальных научных консорциумах </w:t>
      </w:r>
      <w:r w:rsidRPr="00D329B5">
        <w:rPr>
          <w:rFonts w:ascii="Times New Roman" w:eastAsia="Calibri" w:hAnsi="Times New Roman"/>
          <w:color w:val="auto"/>
          <w:sz w:val="26"/>
          <w:szCs w:val="26"/>
        </w:rPr>
        <w:br/>
        <w:t xml:space="preserve">и мегапроектах с дружественными странами, стимулировать рост публикаций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в высокорейтинговых международных журналах и совместных патентов.</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Продвижение на международные рынки:</w:t>
      </w:r>
      <w:r w:rsidRPr="00D329B5">
        <w:rPr>
          <w:rFonts w:ascii="Times New Roman" w:eastAsia="Calibri" w:hAnsi="Times New Roman"/>
          <w:color w:val="auto"/>
          <w:sz w:val="26"/>
          <w:szCs w:val="26"/>
        </w:rPr>
        <w:t xml:space="preserve"> усилить продвижение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на международные рынки через экспорт образовательных услуг (в перспективе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до 2036 года Томская область по экспорту образовательных услуг может войти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в тройку лидеров после Москвы и Санкт-Петербурга), экспорт высокотехнологичных продуктов и системное участие в международных выставках, конференциях и форумах.</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Формирование современных образовательных программ (продуктов)</w:t>
      </w:r>
      <w:r w:rsidRPr="00D329B5">
        <w:rPr>
          <w:rFonts w:ascii="Times New Roman" w:eastAsia="Calibri" w:hAnsi="Times New Roman"/>
          <w:color w:val="auto"/>
          <w:sz w:val="26"/>
          <w:szCs w:val="26"/>
        </w:rPr>
        <w:t>, нацеленных на первоочередные потребности экономики стран-партнеров с целью формирования в этих странах национальных кадров, ориентированных на передовые российские технологические решения и продукты.</w:t>
      </w:r>
    </w:p>
    <w:p w:rsidR="00E618FE" w:rsidRPr="00535A4B" w:rsidRDefault="00800098">
      <w:pPr>
        <w:pStyle w:val="a4"/>
        <w:rPr>
          <w:rFonts w:ascii="Times New Roman" w:eastAsia="Calibri" w:hAnsi="Times New Roman"/>
          <w:b/>
          <w:bCs/>
          <w:color w:val="auto"/>
        </w:rPr>
      </w:pPr>
      <w:r w:rsidRPr="00535A4B">
        <w:rPr>
          <w:rFonts w:ascii="Times New Roman" w:eastAsia="Calibri" w:hAnsi="Times New Roman"/>
          <w:b/>
          <w:bCs/>
          <w:color w:val="auto"/>
        </w:rPr>
        <w:t xml:space="preserve">Задача 3.1.5. Обеспечить цифровую инструментализацию экосистемы технологического лидерства для ускорения инновационного цикла «заказчик </w:t>
      </w:r>
      <w:r w:rsidRPr="00535A4B">
        <w:rPr>
          <w:rFonts w:ascii="Times New Roman" w:eastAsia="Calibri" w:hAnsi="Times New Roman"/>
          <w:color w:val="auto"/>
        </w:rPr>
        <w:t>—</w:t>
      </w:r>
      <w:r w:rsidRPr="00535A4B">
        <w:rPr>
          <w:rFonts w:ascii="Times New Roman" w:eastAsia="Calibri" w:hAnsi="Times New Roman"/>
          <w:b/>
          <w:bCs/>
          <w:color w:val="auto"/>
        </w:rPr>
        <w:t xml:space="preserve"> разработка </w:t>
      </w:r>
      <w:r w:rsidRPr="00535A4B">
        <w:rPr>
          <w:rFonts w:ascii="Times New Roman" w:eastAsia="Calibri" w:hAnsi="Times New Roman"/>
          <w:color w:val="auto"/>
        </w:rPr>
        <w:t>—</w:t>
      </w:r>
      <w:r w:rsidRPr="00535A4B">
        <w:rPr>
          <w:rFonts w:ascii="Times New Roman" w:eastAsia="Calibri" w:hAnsi="Times New Roman"/>
          <w:b/>
          <w:bCs/>
          <w:color w:val="auto"/>
        </w:rPr>
        <w:t xml:space="preserve"> пилот </w:t>
      </w:r>
      <w:r w:rsidRPr="00535A4B">
        <w:rPr>
          <w:rFonts w:ascii="Times New Roman" w:eastAsia="Calibri" w:hAnsi="Times New Roman"/>
          <w:color w:val="auto"/>
        </w:rPr>
        <w:t>—</w:t>
      </w:r>
      <w:r w:rsidRPr="00535A4B">
        <w:rPr>
          <w:rFonts w:ascii="Times New Roman" w:eastAsia="Calibri" w:hAnsi="Times New Roman"/>
          <w:b/>
          <w:bCs/>
          <w:color w:val="auto"/>
        </w:rPr>
        <w:t xml:space="preserve"> серия».</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xml:space="preserve">Цифровая трансформация направлена на создание сквозной цифровой среды, обеспечивающей прозрачность, управляемость и скорость взаимодействия между квалифицированными заказчиками, исполнителями (вузы, НИИ)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и технологическими компаниями.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Ключевые направления и механизмы реализации: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Цифровая платформа (реестр) кооперации и компетенций («витрина» для квалифицированных заказчиков)</w:t>
      </w:r>
      <w:r w:rsidRPr="00D329B5">
        <w:rPr>
          <w:rFonts w:ascii="Times New Roman" w:eastAsia="Calibri" w:hAnsi="Times New Roman"/>
          <w:color w:val="auto"/>
          <w:sz w:val="26"/>
          <w:szCs w:val="26"/>
        </w:rPr>
        <w:t xml:space="preserve">, обеспечивающая прозрачный доступ квалифицированных заказчиков (ГК «Росатом», АО «СХК»,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ПАО «СИБУРХолдинг», ОАО «РЖД», Правительство Томской области и др.)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к актуальным компетенциям, научно-техническим заделам, результатам интеллектуальной деятельности и интеллектуальной собственности НОК; размещение квалифицированными заказчиками технических заданий на разработку технологий (включая фундаментально-ориентированные исследования)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с последующим автоматизированным подбором исполнителей на основе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их технологических уровней готовности  и производственных мощностей; формирование цифровых «досье проектов» для мониторинга полного инновационного цикла: от технического задания и гранта РНФ до приемки результата и запуска серии; цифровой след реализации карт технологической </w:t>
      </w:r>
      <w:r w:rsidRPr="00D329B5">
        <w:rPr>
          <w:rFonts w:ascii="Times New Roman" w:eastAsia="Calibri" w:hAnsi="Times New Roman"/>
          <w:color w:val="auto"/>
          <w:sz w:val="26"/>
          <w:szCs w:val="26"/>
        </w:rPr>
        <w:lastRenderedPageBreak/>
        <w:t xml:space="preserve">кооперации и контроля достижения показателей технологической независимости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(в соответствии с постановлением Правительства РФ от 05.12.2025 № 1990).</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 xml:space="preserve">Платформенные решения и искусственный интеллект (как сервис </w:t>
      </w:r>
      <w:r w:rsidR="00D329B5">
        <w:rPr>
          <w:rFonts w:ascii="Times New Roman" w:eastAsia="Calibri" w:hAnsi="Times New Roman"/>
          <w:i/>
          <w:iCs/>
          <w:color w:val="auto"/>
          <w:sz w:val="26"/>
          <w:szCs w:val="26"/>
        </w:rPr>
        <w:br/>
      </w:r>
      <w:r w:rsidRPr="00D329B5">
        <w:rPr>
          <w:rFonts w:ascii="Times New Roman" w:eastAsia="Calibri" w:hAnsi="Times New Roman"/>
          <w:i/>
          <w:iCs/>
          <w:color w:val="auto"/>
          <w:sz w:val="26"/>
          <w:szCs w:val="26"/>
        </w:rPr>
        <w:t xml:space="preserve">для заказчиков): </w:t>
      </w:r>
      <w:r w:rsidRPr="00D329B5">
        <w:rPr>
          <w:rFonts w:ascii="Times New Roman" w:eastAsia="Calibri" w:hAnsi="Times New Roman"/>
          <w:color w:val="auto"/>
          <w:sz w:val="26"/>
          <w:szCs w:val="26"/>
        </w:rPr>
        <w:t xml:space="preserve">сформировать и масштабировать линейку отраслевых ИИ-решений и сервисов, разрабатываемых с участием Томского научно-образовательного центра и передовых инженерных школ, ориентированных на задачи квалифицированных </w:t>
      </w:r>
      <w:r w:rsidR="00D329B5">
        <w:rPr>
          <w:rFonts w:ascii="Times New Roman" w:eastAsia="Calibri" w:hAnsi="Times New Roman"/>
          <w:color w:val="auto"/>
          <w:sz w:val="26"/>
          <w:szCs w:val="26"/>
        </w:rPr>
        <w:t>заказчиков. Для промышленности –</w:t>
      </w:r>
      <w:r w:rsidRPr="00D329B5">
        <w:rPr>
          <w:rFonts w:ascii="Times New Roman" w:eastAsia="Calibri" w:hAnsi="Times New Roman"/>
          <w:color w:val="auto"/>
          <w:sz w:val="26"/>
          <w:szCs w:val="26"/>
        </w:rPr>
        <w:t xml:space="preserve"> системы предиктивного обслуживания оборудования, цифровые двойники производственных линий (в том числе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для проекта «Прорыв»), оптимизация технологических процессов, компьютерное зрение для контроля качества (по требованиям микроэлектроники и БАС).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Для энергетики и ЖКХ (регион как квалифицированный заказчик): интеллектуальные системы управления распределенной генерацией, цифровые двойники городской инфраструктуры, предиктивная аналитика для сетей.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Для логистики и транспорта: интеллектуальные транспортные системы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под требования кластера БАС (беспилотные перевозки). Для социальной сферы: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ИИ-диагностика и телемедицина (под заказ </w:t>
      </w:r>
      <w:bookmarkStart w:id="146" w:name="_Hlk231436053"/>
      <w:r w:rsidRPr="00D329B5">
        <w:rPr>
          <w:rFonts w:ascii="Times New Roman" w:eastAsia="Calibri" w:hAnsi="Times New Roman"/>
          <w:color w:val="auto"/>
          <w:sz w:val="26"/>
          <w:szCs w:val="26"/>
        </w:rPr>
        <w:t xml:space="preserve">ФГБОУ ВО «Сибирский государственный медицинский университет» Министерства здравоохранения Российской Федерации </w:t>
      </w:r>
      <w:bookmarkEnd w:id="146"/>
      <w:r w:rsidRPr="00D329B5">
        <w:rPr>
          <w:rFonts w:ascii="Times New Roman" w:eastAsia="Calibri" w:hAnsi="Times New Roman"/>
          <w:color w:val="auto"/>
          <w:sz w:val="26"/>
          <w:szCs w:val="26"/>
        </w:rPr>
        <w:t>и ФГБНУ «Томский национальный исследовательский медицинский центр Российской академии наук»), персонализированные образовательные траектории с ИИ-ассистентами.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Большие данные и аналитика для управления технологическим развитием</w:t>
      </w:r>
      <w:r w:rsidRPr="00D329B5">
        <w:rPr>
          <w:rFonts w:ascii="Times New Roman" w:eastAsia="Calibri" w:hAnsi="Times New Roman"/>
          <w:color w:val="auto"/>
          <w:sz w:val="26"/>
          <w:szCs w:val="26"/>
        </w:rPr>
        <w:t>: внедрить системы сбора, обработки и аналитики больших данных для поддержки принятия решений на региональном уровне (цифровые двойники муниципалитетов для прогнозирования кадровой потребности и энергобалансов); предиктивной аналитики эффективности технологических проектов; создания отраслевых цифровых полигонов (для БАС, медицинских технологий) для валидации новых решений перед масштабированием.</w:t>
      </w:r>
    </w:p>
    <w:p w:rsidR="00E618FE" w:rsidRPr="00D329B5" w:rsidRDefault="00800098">
      <w:pPr>
        <w:pStyle w:val="a4"/>
        <w:rPr>
          <w:rFonts w:ascii="Times New Roman" w:hAnsi="Times New Roman"/>
          <w:b/>
          <w:color w:val="auto"/>
          <w:spacing w:val="24"/>
          <w:sz w:val="26"/>
          <w:szCs w:val="26"/>
          <w:lang w:eastAsia="en-US"/>
        </w:rPr>
      </w:pPr>
      <w:r w:rsidRPr="00D329B5">
        <w:rPr>
          <w:rFonts w:ascii="Times New Roman" w:eastAsia="Calibri" w:hAnsi="Times New Roman"/>
          <w:color w:val="auto"/>
          <w:sz w:val="26"/>
          <w:szCs w:val="26"/>
        </w:rPr>
        <w:t>— </w:t>
      </w:r>
      <w:r w:rsidRPr="00D329B5">
        <w:rPr>
          <w:rFonts w:ascii="Times New Roman" w:eastAsia="Calibri" w:hAnsi="Times New Roman"/>
          <w:i/>
          <w:iCs/>
          <w:color w:val="auto"/>
          <w:sz w:val="26"/>
          <w:szCs w:val="26"/>
        </w:rPr>
        <w:t xml:space="preserve">Инфраструктура цифрового общества: </w:t>
      </w:r>
      <w:r w:rsidRPr="00D329B5">
        <w:rPr>
          <w:rFonts w:ascii="Times New Roman" w:eastAsia="Calibri" w:hAnsi="Times New Roman"/>
          <w:color w:val="auto"/>
          <w:sz w:val="26"/>
          <w:szCs w:val="26"/>
        </w:rPr>
        <w:t xml:space="preserve">обеспечить развитие цифровой инфраструктуры (широкополосный доступ, развитие сетей 5G для БАС и «умного города», кибербезопасность), необходимой для внедрения и масштабирования сервисов платформы кооперации и ИИ-решений в ключевых отраслях. Интегрировать </w:t>
      </w:r>
      <w:r w:rsidRPr="00D329B5">
        <w:rPr>
          <w:rFonts w:ascii="Times New Roman" w:hAnsi="Times New Roman"/>
          <w:color w:val="auto"/>
          <w:sz w:val="26"/>
          <w:szCs w:val="26"/>
        </w:rPr>
        <w:t>создание современного межвузовского кампуса в г. Томске</w:t>
      </w:r>
      <w:r w:rsidRPr="00D329B5">
        <w:rPr>
          <w:rFonts w:ascii="Times New Roman" w:eastAsia="Calibri" w:hAnsi="Times New Roman"/>
          <w:color w:val="auto"/>
          <w:sz w:val="26"/>
          <w:szCs w:val="26"/>
        </w:rPr>
        <w:t xml:space="preserve">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как пилотную зону для тестирования цифровых сервисов.</w:t>
      </w:r>
    </w:p>
    <w:p w:rsidR="00E618FE" w:rsidRPr="00535A4B" w:rsidRDefault="00800098">
      <w:pPr>
        <w:pStyle w:val="41"/>
        <w:rPr>
          <w:rFonts w:ascii="Times New Roman" w:eastAsia="Calibri" w:hAnsi="Times New Roman"/>
          <w:lang w:val="ru-RU"/>
        </w:rPr>
      </w:pPr>
      <w:r w:rsidRPr="00535A4B">
        <w:rPr>
          <w:rFonts w:ascii="Times New Roman" w:hAnsi="Times New Roman"/>
          <w:lang w:val="ru-RU"/>
        </w:rPr>
        <w:t>Целевые показатели:</w:t>
      </w:r>
      <w:r w:rsidRPr="00535A4B">
        <w:rPr>
          <w:rFonts w:ascii="Times New Roman" w:eastAsia="Calibri" w:hAnsi="Times New Roman"/>
          <w:lang w:val="ru-RU"/>
        </w:rPr>
        <w:t xml:space="preserve"> </w:t>
      </w:r>
    </w:p>
    <w:p w:rsidR="00E618FE" w:rsidRPr="00D329B5" w:rsidRDefault="00800098">
      <w:pPr>
        <w:pStyle w:val="aff"/>
        <w:rPr>
          <w:rFonts w:ascii="Times New Roman" w:hAnsi="Times New Roman"/>
          <w:sz w:val="26"/>
          <w:szCs w:val="26"/>
          <w:lang w:val="ru-RU"/>
        </w:rPr>
      </w:pPr>
      <w:r w:rsidRPr="00D329B5">
        <w:rPr>
          <w:rFonts w:ascii="Times New Roman" w:hAnsi="Times New Roman"/>
          <w:sz w:val="26"/>
          <w:szCs w:val="26"/>
          <w:lang w:val="ru-RU"/>
        </w:rPr>
        <w:t xml:space="preserve">Таблица 11.2. Целевые показатели </w:t>
      </w:r>
      <w:r w:rsidRPr="00D329B5">
        <w:rPr>
          <w:rFonts w:ascii="Times New Roman" w:eastAsia="Calibri" w:hAnsi="Times New Roman"/>
          <w:sz w:val="26"/>
          <w:szCs w:val="26"/>
          <w:lang w:val="ru-RU"/>
        </w:rPr>
        <w:t>Стратегического приоритета 3.1. «Экосистема технологического лидерства и кадры будущего»</w:t>
      </w:r>
    </w:p>
    <w:tbl>
      <w:tblPr>
        <w:tblStyle w:val="-111"/>
        <w:tblW w:w="9345" w:type="dxa"/>
        <w:tblLayout w:type="fixed"/>
        <w:tblLook w:val="04A0" w:firstRow="1" w:lastRow="0" w:firstColumn="1" w:lastColumn="0" w:noHBand="0" w:noVBand="1"/>
      </w:tblPr>
      <w:tblGrid>
        <w:gridCol w:w="5240"/>
        <w:gridCol w:w="1368"/>
        <w:gridCol w:w="1368"/>
        <w:gridCol w:w="1369"/>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Целевой показатель</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36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 xml:space="preserve">Внутренние затраты на исследования </w:t>
            </w:r>
            <w:r w:rsidRPr="00535A4B">
              <w:rPr>
                <w:b w:val="0"/>
                <w:bCs w:val="0"/>
              </w:rPr>
              <w:br/>
              <w:t>и разработки, млрд руб.</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24,70</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28,90</w:t>
            </w:r>
          </w:p>
        </w:tc>
        <w:tc>
          <w:tcPr>
            <w:tcW w:w="136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33,10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Объем инновационных товаров, работ, услуг организаций Томской области, млрд рублей</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35,70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(2024)</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38,00</w:t>
            </w:r>
          </w:p>
        </w:tc>
        <w:tc>
          <w:tcPr>
            <w:tcW w:w="136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 xml:space="preserve">Доля продукции высокотехнологичных </w:t>
            </w:r>
            <w:r w:rsidRPr="00535A4B">
              <w:rPr>
                <w:b w:val="0"/>
                <w:bCs w:val="0"/>
              </w:rPr>
              <w:br/>
              <w:t>и наукоемких отраслей экономики в ВРП, %</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21,50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(2024)</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i/>
                <w:iCs/>
              </w:rPr>
            </w:pPr>
            <w:r w:rsidRPr="00535A4B">
              <w:t>31,80</w:t>
            </w:r>
          </w:p>
        </w:tc>
        <w:tc>
          <w:tcPr>
            <w:tcW w:w="136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i/>
                <w:iCs/>
              </w:rPr>
            </w:pPr>
            <w:r w:rsidRPr="00535A4B">
              <w:t>34,00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 xml:space="preserve">Экспорт услуг Томской области, связанных </w:t>
            </w:r>
            <w:r w:rsidRPr="00535A4B">
              <w:rPr>
                <w:b w:val="0"/>
                <w:bCs w:val="0"/>
              </w:rPr>
              <w:br/>
              <w:t>с получением образования, млн долл. США</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58,07</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68,97</w:t>
            </w:r>
          </w:p>
        </w:tc>
        <w:tc>
          <w:tcPr>
            <w:tcW w:w="136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82,05</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Темп роста ВРП, в сопоставимых ценах к 2020 году, %</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109,90</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125,6</w:t>
            </w:r>
          </w:p>
        </w:tc>
        <w:tc>
          <w:tcPr>
            <w:tcW w:w="136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148,3</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lastRenderedPageBreak/>
              <w:t xml:space="preserve">Доля внутренних затрат на исследования </w:t>
            </w:r>
            <w:r w:rsidRPr="00535A4B">
              <w:rPr>
                <w:b w:val="0"/>
                <w:bCs w:val="0"/>
              </w:rPr>
              <w:br/>
              <w:t>и разработки в ВРП, %</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2,10</w:t>
            </w:r>
          </w:p>
        </w:tc>
        <w:tc>
          <w:tcPr>
            <w:tcW w:w="136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3,10</w:t>
            </w:r>
          </w:p>
        </w:tc>
        <w:tc>
          <w:tcPr>
            <w:tcW w:w="136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3,40</w:t>
            </w:r>
          </w:p>
        </w:tc>
      </w:tr>
    </w:tbl>
    <w:p w:rsidR="00E618FE" w:rsidRPr="00535A4B" w:rsidRDefault="00E618FE">
      <w:pPr>
        <w:pStyle w:val="a4"/>
        <w:rPr>
          <w:rFonts w:ascii="Times New Roman" w:eastAsia="Calibri" w:hAnsi="Times New Roman"/>
          <w:color w:val="auto"/>
        </w:rPr>
      </w:pPr>
    </w:p>
    <w:p w:rsidR="00E618FE" w:rsidRPr="00535A4B" w:rsidRDefault="00800098">
      <w:pPr>
        <w:pStyle w:val="21"/>
        <w:rPr>
          <w:rFonts w:ascii="Times New Roman" w:eastAsia="Calibri" w:hAnsi="Times New Roman" w:cs="Times New Roman"/>
        </w:rPr>
      </w:pPr>
      <w:bookmarkStart w:id="147" w:name="_Toc228368435"/>
      <w:bookmarkStart w:id="148" w:name="_Toc235810155"/>
      <w:bookmarkStart w:id="149" w:name="_Toc238554543"/>
      <w:r w:rsidRPr="00535A4B">
        <w:rPr>
          <w:rFonts w:ascii="Times New Roman" w:eastAsia="Calibri" w:hAnsi="Times New Roman" w:cs="Times New Roman"/>
        </w:rPr>
        <w:t xml:space="preserve">Стратегический приоритет 3.2. «Модернизация промышленности </w:t>
      </w:r>
      <w:r w:rsidRPr="00535A4B">
        <w:rPr>
          <w:rFonts w:ascii="Times New Roman" w:eastAsia="Calibri" w:hAnsi="Times New Roman" w:cs="Times New Roman"/>
        </w:rPr>
        <w:br/>
        <w:t>и точки роста реального сектора»</w:t>
      </w:r>
      <w:bookmarkEnd w:id="147"/>
      <w:bookmarkEnd w:id="148"/>
      <w:bookmarkEnd w:id="149"/>
    </w:p>
    <w:p w:rsidR="00E618FE" w:rsidRPr="00D329B5" w:rsidRDefault="00800098">
      <w:pPr>
        <w:pStyle w:val="a4"/>
        <w:rPr>
          <w:rFonts w:ascii="Times New Roman" w:eastAsia="Calibri" w:hAnsi="Times New Roman"/>
          <w:color w:val="auto"/>
          <w:sz w:val="26"/>
          <w:szCs w:val="26"/>
        </w:rPr>
      </w:pPr>
      <w:bookmarkStart w:id="150" w:name="_Hlk228486590"/>
      <w:r w:rsidRPr="00D329B5">
        <w:rPr>
          <w:rFonts w:ascii="Times New Roman" w:eastAsia="Calibri" w:hAnsi="Times New Roman"/>
          <w:color w:val="auto"/>
          <w:sz w:val="26"/>
          <w:szCs w:val="26"/>
        </w:rPr>
        <w:t xml:space="preserve">Стратегический приоритет направлен на формирование в Томской области современной, конкурентоспособной и технологически обновленной промышленности, обеспечивающей глубокую модернизацию системообразующих отраслей, диверсификацию топливно-энергетического и сырьевого комплексов,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а также развитие промышленных точек роста (строительный комплекс, машиностроение, АПК и пищевая промышленность и других). Реализация приоритета позволит региону перейти от сырьевой модели к выпуску продукции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с высокой добавленной стоимостью, укрепить технологический суверенитет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в базовых отраслях и создать устойчивые источники экономического роста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и занятости, особенно в муниципальных образованиях.</w:t>
      </w:r>
      <w:bookmarkEnd w:id="150"/>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xml:space="preserve">Финансирование мероприятий в части развития новой промышленности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точек роста предусматривается за счет средств федерального бюджета (в том числе в рамках национальных проектов), областного бюджета, внебюджетных инвестиций предприятий и инструментов государственно-частного партнерства. Приоритетной поддержкой пользуются инвестиционные проекты, реализуемые в составе промышленных кластеров, зарегистрированных в Минпромторге России, </w:t>
      </w:r>
      <w:r w:rsidRPr="00D329B5">
        <w:rPr>
          <w:rFonts w:ascii="Times New Roman" w:eastAsia="Calibri" w:hAnsi="Times New Roman"/>
          <w:color w:val="auto"/>
          <w:sz w:val="26"/>
          <w:szCs w:val="26"/>
        </w:rPr>
        <w:br/>
        <w:t>а также проекты, направленные на импортозамещение и повышение производительности труда.</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Опорными центрами реализации приоритета выступают:</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xml:space="preserve">— промышленные кластеры, включенные в федеральный реестр Минпромторга России («Лес, лесопереработка и лесохимия», «Цветные </w:t>
      </w:r>
      <w:r w:rsidRPr="00D329B5">
        <w:rPr>
          <w:rFonts w:ascii="Times New Roman" w:eastAsia="Calibri" w:hAnsi="Times New Roman"/>
          <w:color w:val="auto"/>
          <w:sz w:val="26"/>
          <w:szCs w:val="26"/>
        </w:rPr>
        <w:br/>
        <w:t>и редкоземельные металлы», «Кластер электроники и беспилотных технологий на территории Томской области»), а также формируемые перспективные промышленные кластеры («Химический кластер», «Фармацевтический кластер»);</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xml:space="preserve">— системообразующие предприятия реального сектора (АО «ТГОК «Ильменит», ООО «Томскнефтехим», ООО «Сибирьлес», ООО «Лес-Экспорт»,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АО «ТЭМЗ», ООО НПП «Томская электронная компания», АО «Сибкабель»,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ОАО «Манотомь», ООО «НГК–Томск», ООО «ЗКПД ТДСК», ООО «Интергласс»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и другие), обеспечивающие модернизацию производств и внедрение отечественных технологий;</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xml:space="preserve">— ведущие предприятия АПК, реализующие крупные инвестиционные проекты, такие как ООО «Трубачево», ООО «Большедороховское молоко»,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АО «Сибагро» и другие;</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региональный Фонд развития промышленности, выступающий специализированной организацией кластеров и оператором льготного заемного финансирования;</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xml:space="preserve">Реализация приоритета опирается на сложившиеся и формирующиеся центры компетенций Томской области в областях лесопереработки и лесохимии, добычи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и переработки цветных и редкоземельных металлов (титан, цирконий), электроники и беспилотных технологий, а также химических и фармацевтических технологий. Важную роль играет кооперация с Госкорпорацией «Росатом» (проект «Прорыв», реактор БРЕСТ-ОД</w:t>
      </w:r>
      <w:r w:rsidRPr="00D329B5">
        <w:rPr>
          <w:rFonts w:ascii="MS Mincho" w:eastAsia="MS Mincho" w:hAnsi="MS Mincho" w:cs="MS Mincho" w:hint="eastAsia"/>
          <w:color w:val="auto"/>
          <w:sz w:val="26"/>
          <w:szCs w:val="26"/>
        </w:rPr>
        <w:t>‑</w:t>
      </w:r>
      <w:r w:rsidRPr="00D329B5">
        <w:rPr>
          <w:rFonts w:ascii="Times New Roman" w:eastAsia="Calibri" w:hAnsi="Times New Roman"/>
          <w:color w:val="auto"/>
          <w:sz w:val="26"/>
          <w:szCs w:val="26"/>
        </w:rPr>
        <w:t xml:space="preserve">300), ПАО «Газпром», ПАО «СИБУР Холдинг», ОАО «РЖД», </w:t>
      </w:r>
      <w:r w:rsidRPr="00D329B5">
        <w:rPr>
          <w:rFonts w:ascii="Times New Roman" w:eastAsia="Calibri" w:hAnsi="Times New Roman"/>
          <w:color w:val="auto"/>
          <w:sz w:val="26"/>
          <w:szCs w:val="26"/>
        </w:rPr>
        <w:lastRenderedPageBreak/>
        <w:t xml:space="preserve">формирующими спрос на инновационную продукцию томских предприятий.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В аграрном секторе ключевой задачей является обеспечение стабильного рынка сбыта для местной продукции и повышение ее конкурентоспособности.</w:t>
      </w:r>
    </w:p>
    <w:p w:rsidR="00E618FE" w:rsidRPr="00535A4B" w:rsidRDefault="00800098">
      <w:pPr>
        <w:pStyle w:val="41"/>
        <w:rPr>
          <w:rFonts w:ascii="Times New Roman" w:eastAsia="Calibri" w:hAnsi="Times New Roman"/>
          <w:lang w:val="ru-RU"/>
        </w:rPr>
      </w:pPr>
      <w:r w:rsidRPr="00535A4B">
        <w:rPr>
          <w:rFonts w:ascii="Times New Roman" w:eastAsia="Calibri" w:hAnsi="Times New Roman"/>
          <w:lang w:val="ru-RU"/>
        </w:rPr>
        <w:t>Задачи:</w:t>
      </w:r>
    </w:p>
    <w:p w:rsidR="00E618FE" w:rsidRPr="00D329B5"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Задача 3.2.1.</w:t>
      </w:r>
      <w:r w:rsidRPr="00535A4B">
        <w:rPr>
          <w:rFonts w:ascii="Times New Roman" w:eastAsia="Calibri" w:hAnsi="Times New Roman"/>
          <w:color w:val="auto"/>
        </w:rPr>
        <w:t> </w:t>
      </w:r>
      <w:r w:rsidRPr="00535A4B">
        <w:rPr>
          <w:rFonts w:ascii="Times New Roman" w:eastAsia="Calibri" w:hAnsi="Times New Roman"/>
          <w:b/>
          <w:bCs/>
          <w:color w:val="auto"/>
        </w:rPr>
        <w:t>Обеспечить модернизацию системообразующих отраслей промышленности Томской области</w:t>
      </w:r>
      <w:r w:rsidRPr="00535A4B">
        <w:rPr>
          <w:rFonts w:ascii="Times New Roman" w:eastAsia="Calibri" w:hAnsi="Times New Roman"/>
          <w:color w:val="auto"/>
        </w:rPr>
        <w:t xml:space="preserve">, </w:t>
      </w:r>
      <w:r w:rsidRPr="00D329B5">
        <w:rPr>
          <w:rFonts w:ascii="Times New Roman" w:eastAsia="Calibri" w:hAnsi="Times New Roman"/>
          <w:color w:val="auto"/>
          <w:sz w:val="26"/>
          <w:szCs w:val="26"/>
        </w:rPr>
        <w:t xml:space="preserve">включая лесопереработку, деревообработку, производство строительных материалов, машиностроение, АПК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и пищевую промышленность, через обновление основных фондов, использование отечественных технологий и передовых технологических решений зарубежных стран и повышение энерго</w:t>
      </w:r>
      <w:r w:rsidRPr="00D329B5">
        <w:rPr>
          <w:rFonts w:ascii="Times New Roman" w:eastAsia="Calibri" w:hAnsi="Times New Roman"/>
          <w:color w:val="auto"/>
          <w:sz w:val="26"/>
          <w:szCs w:val="26"/>
        </w:rPr>
        <w:noBreakHyphen/>
        <w:t xml:space="preserve"> и ресурсной эффективности.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Ключевые направления и механизмы реализации: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 xml:space="preserve">1) </w:t>
      </w:r>
      <w:r w:rsidRPr="00D329B5">
        <w:rPr>
          <w:rFonts w:ascii="Times New Roman" w:eastAsia="Calibri" w:hAnsi="Times New Roman"/>
          <w:i/>
          <w:iCs/>
          <w:color w:val="auto"/>
          <w:sz w:val="26"/>
          <w:szCs w:val="26"/>
        </w:rPr>
        <w:t>Модернизация обрабатывающих производств</w:t>
      </w:r>
      <w:r w:rsidRPr="00D329B5">
        <w:rPr>
          <w:rFonts w:ascii="Times New Roman" w:eastAsia="Calibri" w:hAnsi="Times New Roman"/>
          <w:color w:val="auto"/>
          <w:sz w:val="26"/>
          <w:szCs w:val="26"/>
        </w:rPr>
        <w:t xml:space="preserve">: обновление основных фондов и модернизация оборудования на предприятиях нефтехимии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лесопереработки с использованием механизмов льготного заемного финансирования через региональный Фонд развития промышленности; внедрение отечественных технологий и цифровых решений на предприятиях для повышения энерго- и ресурсной эффективности, снижения себестоимости и импортозамещения (например, создание первой в России линии для закалки ж/д колес с собственным ПО); стимулирование спроса на отечественную продукцию через закупки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в интересах крупных заказчиков (ПАО «Газпром», ПАО «СИБУР Холдинг»,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ГК «Росатом»), реализацию дорожных карт по импортозамещению</w:t>
      </w:r>
      <w:r w:rsidRPr="00D329B5">
        <w:rPr>
          <w:rFonts w:ascii="Times New Roman" w:hAnsi="Times New Roman"/>
          <w:color w:val="auto"/>
          <w:sz w:val="26"/>
          <w:szCs w:val="26"/>
        </w:rPr>
        <w:t xml:space="preserve"> при условии оптимального сочетания использования отечественных технологий и передовых технологических решений зарубежных стран</w:t>
      </w:r>
      <w:r w:rsidRPr="00D329B5">
        <w:rPr>
          <w:rFonts w:ascii="Times New Roman" w:eastAsia="Calibri" w:hAnsi="Times New Roman"/>
          <w:color w:val="auto"/>
          <w:sz w:val="26"/>
          <w:szCs w:val="26"/>
        </w:rPr>
        <w:t>.</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2) </w:t>
      </w:r>
      <w:r w:rsidRPr="00D329B5">
        <w:rPr>
          <w:rFonts w:ascii="Times New Roman" w:eastAsia="Calibri" w:hAnsi="Times New Roman"/>
          <w:i/>
          <w:iCs/>
          <w:color w:val="auto"/>
          <w:sz w:val="26"/>
          <w:szCs w:val="26"/>
        </w:rPr>
        <w:t>Развитие лесопромышленного комплекса (ЛПК):</w:t>
      </w:r>
      <w:r w:rsidRPr="00D329B5">
        <w:rPr>
          <w:rFonts w:ascii="Times New Roman" w:eastAsia="Calibri" w:hAnsi="Times New Roman"/>
          <w:color w:val="auto"/>
          <w:sz w:val="26"/>
          <w:szCs w:val="26"/>
        </w:rPr>
        <w:t xml:space="preserve"> реализация приоритетных инвестиционных проектов в области освоения лесов; создание дополнительных производств по комплексной глубокой переработке древесины и древесных отходов, включая производство домокомплектов и продукции лесной биохимии; поддержка создания отраслевых технологических консорциумов и «учебных фабрик»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для подготовки кадров и внедрения инноваций в ЛПК.</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3) </w:t>
      </w:r>
      <w:r w:rsidRPr="00D329B5">
        <w:rPr>
          <w:rFonts w:ascii="Times New Roman" w:eastAsia="Calibri" w:hAnsi="Times New Roman"/>
          <w:i/>
          <w:color w:val="auto"/>
          <w:sz w:val="26"/>
          <w:szCs w:val="26"/>
        </w:rPr>
        <w:t>Комплексная модернизация предприятий машиностроения</w:t>
      </w:r>
      <w:r w:rsidRPr="00D329B5">
        <w:rPr>
          <w:rFonts w:ascii="Times New Roman" w:eastAsia="Calibri" w:hAnsi="Times New Roman"/>
          <w:color w:val="auto"/>
          <w:sz w:val="26"/>
          <w:szCs w:val="26"/>
        </w:rPr>
        <w:t xml:space="preserve">: переход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к выпуску интеллектуального оборудования нового поколения </w:t>
      </w:r>
      <w:r w:rsidR="00D329B5">
        <w:rPr>
          <w:rFonts w:ascii="Times New Roman" w:eastAsia="Calibri" w:hAnsi="Times New Roman"/>
          <w:color w:val="auto"/>
          <w:sz w:val="26"/>
          <w:szCs w:val="26"/>
        </w:rPr>
        <w:t>–</w:t>
      </w:r>
      <w:r w:rsidRPr="00D329B5">
        <w:rPr>
          <w:rFonts w:ascii="Times New Roman" w:eastAsia="Calibri" w:hAnsi="Times New Roman"/>
          <w:color w:val="auto"/>
          <w:sz w:val="26"/>
          <w:szCs w:val="26"/>
        </w:rPr>
        <w:t xml:space="preserve">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с интегрированными системами автоматизации, цифрового управления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собственным ПО; поддержка проектов по созданию новых производств, в том числе в ОЭЗ ТВТ «Томск» (производство электронно-лучевых 3D-принтеров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ООО «ФабМеталл»).</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4) </w:t>
      </w:r>
      <w:r w:rsidRPr="00D329B5">
        <w:rPr>
          <w:rFonts w:ascii="Times New Roman" w:eastAsia="Calibri" w:hAnsi="Times New Roman"/>
          <w:i/>
          <w:iCs/>
          <w:color w:val="auto"/>
          <w:sz w:val="26"/>
          <w:szCs w:val="26"/>
        </w:rPr>
        <w:t>Развитие АПК</w:t>
      </w:r>
      <w:r w:rsidRPr="00D329B5">
        <w:rPr>
          <w:rFonts w:ascii="Times New Roman" w:eastAsia="Calibri" w:hAnsi="Times New Roman"/>
          <w:color w:val="auto"/>
          <w:sz w:val="26"/>
          <w:szCs w:val="26"/>
        </w:rPr>
        <w:t xml:space="preserve">: сохранение, восстановление и повышение плодородия земель сельскохозяйственного назначения, рациональное использование земель сельскохозяйственного назначения, вовлечение в сельскохозяйственный оборот неиспользуемых земель, повышение до 90% доли молодых кадров, работающих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в сельском хозяйстве, за счет привлечения молодежи и создание комфортных условий проживания на селе, реализация инвестиционных проектов в АПК, материально-техническое обновление парка сельскохозяйственной техники, предоставление субсидий на финансовое обеспечение / возмещение затрат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на техническое оснащение сельскохозяйственного производства, развитие овощеводства, картофелеводства, ягодоводства, создание дополнительных производств по переработке сельскохозяйственной продукции.</w:t>
      </w:r>
    </w:p>
    <w:p w:rsidR="00E618FE" w:rsidRPr="00D329B5"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lastRenderedPageBreak/>
        <w:t>Задача 3.2.2. Ускорить развитие промышленных кластеров и точек роста реального сектора Томской области</w:t>
      </w:r>
      <w:r w:rsidRPr="00535A4B">
        <w:rPr>
          <w:rFonts w:ascii="Times New Roman" w:eastAsia="Calibri" w:hAnsi="Times New Roman"/>
          <w:color w:val="auto"/>
        </w:rPr>
        <w:t xml:space="preserve">, </w:t>
      </w:r>
      <w:r w:rsidRPr="00D329B5">
        <w:rPr>
          <w:rFonts w:ascii="Times New Roman" w:eastAsia="Calibri" w:hAnsi="Times New Roman"/>
          <w:color w:val="auto"/>
          <w:sz w:val="26"/>
          <w:szCs w:val="26"/>
        </w:rPr>
        <w:t xml:space="preserve">включая зарегистрированные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на федеральном уровне кластеры «Лес, лесопереработка и лесохимия», «Цветные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редкоземельные металлы» и «Кластер электроники и беспилотных технологий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на территории Томской области», а также перспективных промышленных кластеров (химического и фармацевтического), обеспечив запуск и реализацию кластерных инвестиционных проектов.</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Ключевые направления и механизмы реализации: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1) </w:t>
      </w:r>
      <w:r w:rsidRPr="00D329B5">
        <w:rPr>
          <w:rFonts w:ascii="Times New Roman" w:eastAsia="Calibri" w:hAnsi="Times New Roman"/>
          <w:i/>
          <w:iCs/>
          <w:color w:val="auto"/>
          <w:sz w:val="26"/>
          <w:szCs w:val="26"/>
        </w:rPr>
        <w:t>Развитие действующих промышленных кластеров</w:t>
      </w:r>
      <w:r w:rsidRPr="00D329B5">
        <w:rPr>
          <w:rFonts w:ascii="Times New Roman" w:eastAsia="Calibri" w:hAnsi="Times New Roman"/>
          <w:color w:val="auto"/>
          <w:sz w:val="26"/>
          <w:szCs w:val="26"/>
        </w:rPr>
        <w:t xml:space="preserve">: реализация инвестиционных проектов участников кластера «Кластер электроники </w:t>
      </w:r>
      <w:r w:rsidRPr="00D329B5">
        <w:rPr>
          <w:rFonts w:ascii="Times New Roman" w:eastAsia="Calibri" w:hAnsi="Times New Roman"/>
          <w:color w:val="auto"/>
          <w:sz w:val="26"/>
          <w:szCs w:val="26"/>
        </w:rPr>
        <w:br/>
        <w:t xml:space="preserve">и беспилотных технологий на территории Томской области», включая серийный выпуск беспилотного мини-трактора, лидаров и систем связи нового поколения; обеспечение деятельности и поддержка проектов кластера «Лес, лесопереработка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лесохимия» по выпуску деревянных домокомплектов и продуктов глубокой переработки древесины; масштабирование и развитие производственной кооперации в рамках кластера «Цветные и редкоземельные металлы» на базе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АО «ТГОК «Ильменит» для производства пигментного диоксида титана, алюминиевого порошка и специальных красок.</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2) </w:t>
      </w:r>
      <w:r w:rsidRPr="00D329B5">
        <w:rPr>
          <w:rFonts w:ascii="Times New Roman" w:eastAsia="Calibri" w:hAnsi="Times New Roman"/>
          <w:i/>
          <w:iCs/>
          <w:color w:val="auto"/>
          <w:sz w:val="26"/>
          <w:szCs w:val="26"/>
        </w:rPr>
        <w:t>Формирование новых промышленных кластеров</w:t>
      </w:r>
      <w:r w:rsidRPr="00D329B5">
        <w:rPr>
          <w:rFonts w:ascii="Times New Roman" w:eastAsia="Calibri" w:hAnsi="Times New Roman"/>
          <w:color w:val="auto"/>
          <w:sz w:val="26"/>
          <w:szCs w:val="26"/>
        </w:rPr>
        <w:t xml:space="preserve">: завершение формирования Химического кластера с регистрацией в реестре Минпромторга России в Северной части города Томска (территория промышленного парка «Томск» и ОЭЗ ТВТ «Томск»), где расположены ключевые предприятия отрасли, такие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как ООО «Томскнефтехим», ООО «Газпром метанол», ООО «НГК–Томск», </w:t>
      </w:r>
      <w:r w:rsidRPr="00D329B5">
        <w:rPr>
          <w:rFonts w:ascii="Times New Roman" w:eastAsia="Calibri" w:hAnsi="Times New Roman"/>
          <w:color w:val="auto"/>
          <w:sz w:val="26"/>
          <w:szCs w:val="26"/>
        </w:rPr>
        <w:br/>
        <w:t xml:space="preserve">ООО «Криогаз Северо-Запад», ООО «НПО «РЕАСИБ» и ООО «Новохим»; создание перспективного фармацевтического промышленного кластера, в который войдут новые компании, такие как ООО «Амехим», ООО «Профитфрам»; развитие межрегиональной кооперации, в том числе участие томских предприятий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(ООО «НПК ТАИР», ООО «СИНЭКТА») в Южно-Уральском приборостроительном кластере «ПЛАНАР»; стимулирование инвестиционной активности в АПК, направленной не только на наращивание производства, но и на решение проблем со сбытом продукции, повышение ее рентабельности.</w:t>
      </w:r>
    </w:p>
    <w:p w:rsidR="00E618FE" w:rsidRPr="00D329B5" w:rsidRDefault="00800098">
      <w:pPr>
        <w:pStyle w:val="a4"/>
        <w:rPr>
          <w:rFonts w:ascii="Times New Roman" w:eastAsia="Calibri" w:hAnsi="Times New Roman"/>
          <w:iCs/>
          <w:color w:val="auto"/>
          <w:sz w:val="26"/>
          <w:szCs w:val="26"/>
        </w:rPr>
      </w:pPr>
      <w:r w:rsidRPr="00D329B5">
        <w:rPr>
          <w:rFonts w:ascii="Times New Roman" w:eastAsia="Calibri" w:hAnsi="Times New Roman"/>
          <w:color w:val="auto"/>
          <w:sz w:val="26"/>
          <w:szCs w:val="26"/>
        </w:rPr>
        <w:t>3) </w:t>
      </w:r>
      <w:r w:rsidRPr="00D329B5">
        <w:rPr>
          <w:rFonts w:ascii="Times New Roman" w:eastAsia="Calibri" w:hAnsi="Times New Roman"/>
          <w:i/>
          <w:color w:val="auto"/>
          <w:sz w:val="26"/>
          <w:szCs w:val="26"/>
        </w:rPr>
        <w:t xml:space="preserve">Развитие </w:t>
      </w:r>
      <w:r w:rsidRPr="00D329B5">
        <w:rPr>
          <w:rFonts w:ascii="Times New Roman" w:eastAsia="Calibri" w:hAnsi="Times New Roman"/>
          <w:i/>
          <w:iCs/>
          <w:color w:val="auto"/>
          <w:sz w:val="26"/>
          <w:szCs w:val="26"/>
        </w:rPr>
        <w:t>строительного комплекса Томской области</w:t>
      </w:r>
      <w:r w:rsidRPr="00D329B5">
        <w:rPr>
          <w:rFonts w:ascii="Times New Roman" w:eastAsia="Calibri" w:hAnsi="Times New Roman"/>
          <w:iCs/>
          <w:color w:val="auto"/>
          <w:sz w:val="26"/>
          <w:szCs w:val="26"/>
        </w:rPr>
        <w:t>: на базе существующих местных производственно-строительных предприятий обеспечение потребностей растущего жилищного и промышленного строительства конкурентоспособными, энергоэффективными и экологичными строительными материалами и технологиями индустриального домостроения, включая деревянное домостроение и зеленые кровельные решения.</w:t>
      </w:r>
    </w:p>
    <w:p w:rsidR="00E618FE" w:rsidRPr="00D329B5" w:rsidRDefault="00800098">
      <w:pPr>
        <w:pStyle w:val="a4"/>
        <w:rPr>
          <w:rFonts w:ascii="Times New Roman" w:eastAsia="Calibri" w:hAnsi="Times New Roman"/>
          <w:strike/>
          <w:color w:val="auto"/>
          <w:sz w:val="26"/>
          <w:szCs w:val="26"/>
        </w:rPr>
      </w:pPr>
      <w:r w:rsidRPr="00D329B5">
        <w:rPr>
          <w:rFonts w:ascii="Times New Roman" w:eastAsia="Calibri" w:hAnsi="Times New Roman"/>
          <w:color w:val="auto"/>
          <w:sz w:val="26"/>
          <w:szCs w:val="26"/>
        </w:rPr>
        <w:t>4) </w:t>
      </w:r>
      <w:r w:rsidRPr="00D329B5">
        <w:rPr>
          <w:rFonts w:ascii="Times New Roman" w:eastAsia="Calibri" w:hAnsi="Times New Roman"/>
          <w:i/>
          <w:iCs/>
          <w:color w:val="auto"/>
          <w:sz w:val="26"/>
          <w:szCs w:val="26"/>
        </w:rPr>
        <w:t>Развитие пищевой промышленности</w:t>
      </w:r>
      <w:r w:rsidRPr="00D329B5">
        <w:rPr>
          <w:rFonts w:ascii="Times New Roman" w:eastAsia="Calibri" w:hAnsi="Times New Roman"/>
          <w:color w:val="auto"/>
          <w:sz w:val="26"/>
          <w:szCs w:val="26"/>
        </w:rPr>
        <w:t xml:space="preserve">: содействие в расширении ассортимента и маркетинговом продвижении продукции пищевой промышленности, включая функциональное питание и продукты на основе дикоросов, а также поддержку экспорта; предоставление субсидий </w:t>
      </w:r>
      <w:r w:rsidRPr="00D329B5">
        <w:rPr>
          <w:rFonts w:ascii="Times New Roman" w:eastAsia="Calibri" w:hAnsi="Times New Roman"/>
          <w:color w:val="auto"/>
          <w:sz w:val="26"/>
          <w:szCs w:val="26"/>
        </w:rPr>
        <w:br/>
        <w:t xml:space="preserve">на возмещение части затрат, связанных с реализацией бизнес-проектов </w:t>
      </w:r>
      <w:r w:rsidRPr="00D329B5">
        <w:rPr>
          <w:rFonts w:ascii="Times New Roman" w:eastAsia="Calibri" w:hAnsi="Times New Roman"/>
          <w:color w:val="auto"/>
          <w:sz w:val="26"/>
          <w:szCs w:val="26"/>
        </w:rPr>
        <w:br/>
        <w:t>в сфере заготовки и переработки дикорастущего пищевого сырья.</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5) </w:t>
      </w:r>
      <w:r w:rsidRPr="00D329B5">
        <w:rPr>
          <w:rFonts w:ascii="Times New Roman" w:eastAsia="Calibri" w:hAnsi="Times New Roman"/>
          <w:i/>
          <w:iCs/>
          <w:color w:val="auto"/>
          <w:sz w:val="26"/>
          <w:szCs w:val="26"/>
        </w:rPr>
        <w:t>Обеспечение деятельности специализированной организации кластера</w:t>
      </w:r>
      <w:r w:rsidRPr="00D329B5">
        <w:rPr>
          <w:rFonts w:ascii="Times New Roman" w:eastAsia="Calibri" w:hAnsi="Times New Roman"/>
          <w:color w:val="auto"/>
          <w:sz w:val="26"/>
          <w:szCs w:val="26"/>
        </w:rPr>
        <w:t xml:space="preserve"> </w:t>
      </w:r>
      <w:r w:rsidR="00D329B5">
        <w:rPr>
          <w:rFonts w:ascii="Times New Roman" w:eastAsia="Calibri" w:hAnsi="Times New Roman"/>
          <w:color w:val="auto"/>
          <w:sz w:val="26"/>
          <w:szCs w:val="26"/>
        </w:rPr>
        <w:br/>
      </w:r>
      <w:r w:rsidRPr="00D329B5">
        <w:rPr>
          <w:rFonts w:ascii="Times New Roman" w:eastAsia="Calibri" w:hAnsi="Times New Roman"/>
          <w:color w:val="auto"/>
          <w:sz w:val="26"/>
          <w:szCs w:val="26"/>
        </w:rPr>
        <w:t>на базе регионального Фонда развития промышленности для координации участников, разработки совместных проектов и привлечения финансирования.</w:t>
      </w:r>
    </w:p>
    <w:p w:rsidR="00D329B5" w:rsidRDefault="00D329B5">
      <w:pPr>
        <w:spacing w:after="160" w:line="259" w:lineRule="auto"/>
        <w:rPr>
          <w:rFonts w:eastAsia="Calibri"/>
          <w:b/>
          <w:bCs/>
          <w:sz w:val="28"/>
          <w:szCs w:val="28"/>
          <w:lang w:eastAsia="ar-SA"/>
        </w:rPr>
      </w:pPr>
      <w:r>
        <w:rPr>
          <w:rFonts w:eastAsia="Calibri"/>
          <w:b/>
          <w:bCs/>
        </w:rPr>
        <w:br w:type="page"/>
      </w:r>
    </w:p>
    <w:p w:rsidR="00E618FE" w:rsidRPr="00D329B5"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lastRenderedPageBreak/>
        <w:t>Задача 3.2.3 Ускорить диверсификацию топливно-энергетического и сырьевого комплексов Томской области</w:t>
      </w:r>
      <w:r w:rsidRPr="00535A4B">
        <w:rPr>
          <w:rFonts w:ascii="Times New Roman" w:eastAsia="Calibri" w:hAnsi="Times New Roman"/>
          <w:color w:val="auto"/>
        </w:rPr>
        <w:t xml:space="preserve">, </w:t>
      </w:r>
      <w:r w:rsidRPr="00D329B5">
        <w:rPr>
          <w:rFonts w:ascii="Times New Roman" w:eastAsia="Calibri" w:hAnsi="Times New Roman"/>
          <w:color w:val="auto"/>
          <w:sz w:val="26"/>
          <w:szCs w:val="26"/>
        </w:rPr>
        <w:t>снизить зависимость промышленности от простого сырьевого экспорта за счет развития глубокой переработки сырья (лес, минеральные ресурсы, попутные продукты) и расширения линейки продукции высоких переделов в реальном секторе.</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Ключевые направления и механизмы реализации:</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1) </w:t>
      </w:r>
      <w:r w:rsidRPr="00D329B5">
        <w:rPr>
          <w:rFonts w:ascii="Times New Roman" w:eastAsia="Calibri" w:hAnsi="Times New Roman"/>
          <w:i/>
          <w:iCs/>
          <w:color w:val="auto"/>
          <w:sz w:val="26"/>
          <w:szCs w:val="26"/>
        </w:rPr>
        <w:t>Развитие глубокой переработки сырья</w:t>
      </w:r>
      <w:r w:rsidRPr="00D329B5">
        <w:rPr>
          <w:rFonts w:ascii="Times New Roman" w:eastAsia="Calibri" w:hAnsi="Times New Roman"/>
          <w:color w:val="auto"/>
          <w:sz w:val="26"/>
          <w:szCs w:val="26"/>
        </w:rPr>
        <w:t xml:space="preserve">: реализация проекта «Прорыв» Госкорпорации «Росатом» по строительству опытно-демонстрационного энергокомплекса с реактором на быстрых нейтронах БРЕСТ-ОД-300 </w:t>
      </w:r>
      <w:r w:rsidR="00BA1407">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и пристанционным ядерным топливным циклом; развитие химического </w:t>
      </w:r>
      <w:r w:rsidR="00BA1407">
        <w:rPr>
          <w:rFonts w:ascii="Times New Roman" w:eastAsia="Calibri" w:hAnsi="Times New Roman"/>
          <w:color w:val="auto"/>
          <w:sz w:val="26"/>
          <w:szCs w:val="26"/>
        </w:rPr>
        <w:br/>
      </w:r>
      <w:r w:rsidRPr="00D329B5">
        <w:rPr>
          <w:rFonts w:ascii="Times New Roman" w:eastAsia="Calibri" w:hAnsi="Times New Roman"/>
          <w:color w:val="auto"/>
          <w:sz w:val="26"/>
          <w:szCs w:val="26"/>
        </w:rPr>
        <w:t>и нефтехимического производства с освоением выпуска новых продуктов: глиоксаля (ООО «Новохим»), особо чистого водорода и пероксидов для микроэлектроники (ООО «ИХТЦ»).</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2) </w:t>
      </w:r>
      <w:r w:rsidRPr="00D329B5">
        <w:rPr>
          <w:rFonts w:ascii="Times New Roman" w:eastAsia="Calibri" w:hAnsi="Times New Roman"/>
          <w:i/>
          <w:iCs/>
          <w:color w:val="auto"/>
          <w:sz w:val="26"/>
          <w:szCs w:val="26"/>
        </w:rPr>
        <w:t>Повышение глубины переработки в лесном и горнодобывающем секторах</w:t>
      </w:r>
      <w:r w:rsidRPr="00D329B5">
        <w:rPr>
          <w:rFonts w:ascii="Times New Roman" w:eastAsia="Calibri" w:hAnsi="Times New Roman"/>
          <w:color w:val="auto"/>
          <w:sz w:val="26"/>
          <w:szCs w:val="26"/>
        </w:rPr>
        <w:t xml:space="preserve">: создание производств по глубокой переработке древесины и низкотоварной древесины, включая лесную биохимию и выпуск продуктов высоких переделов </w:t>
      </w:r>
      <w:r w:rsidR="00BA1407">
        <w:rPr>
          <w:rFonts w:ascii="Times New Roman" w:eastAsia="Calibri" w:hAnsi="Times New Roman"/>
          <w:color w:val="auto"/>
          <w:sz w:val="26"/>
          <w:szCs w:val="26"/>
        </w:rPr>
        <w:br/>
      </w:r>
      <w:r w:rsidRPr="00D329B5">
        <w:rPr>
          <w:rFonts w:ascii="Times New Roman" w:eastAsia="Calibri" w:hAnsi="Times New Roman"/>
          <w:color w:val="auto"/>
          <w:sz w:val="26"/>
          <w:szCs w:val="26"/>
        </w:rPr>
        <w:t xml:space="preserve">для внутреннего и внешнего рынков; увеличение производительной мощности </w:t>
      </w:r>
      <w:r w:rsidR="00BA1407">
        <w:rPr>
          <w:rFonts w:ascii="Times New Roman" w:eastAsia="Calibri" w:hAnsi="Times New Roman"/>
          <w:color w:val="auto"/>
          <w:sz w:val="26"/>
          <w:szCs w:val="26"/>
        </w:rPr>
        <w:br/>
      </w:r>
      <w:r w:rsidRPr="00D329B5">
        <w:rPr>
          <w:rFonts w:ascii="Times New Roman" w:eastAsia="Calibri" w:hAnsi="Times New Roman"/>
          <w:color w:val="auto"/>
          <w:sz w:val="26"/>
          <w:szCs w:val="26"/>
        </w:rPr>
        <w:t>АО «ТГОК «Ильменит» по переработке рудных песков с выпуском титано-циркониевых концентратов в рамках промышленной разработки Туганского месторождения.</w:t>
      </w:r>
    </w:p>
    <w:p w:rsidR="00E618FE" w:rsidRPr="00D329B5" w:rsidRDefault="00800098">
      <w:pPr>
        <w:pStyle w:val="a4"/>
        <w:rPr>
          <w:rFonts w:ascii="Times New Roman" w:eastAsia="Calibri" w:hAnsi="Times New Roman"/>
          <w:color w:val="auto"/>
          <w:sz w:val="26"/>
          <w:szCs w:val="26"/>
        </w:rPr>
      </w:pPr>
      <w:r w:rsidRPr="00D329B5">
        <w:rPr>
          <w:rFonts w:ascii="Times New Roman" w:eastAsia="Calibri" w:hAnsi="Times New Roman"/>
          <w:color w:val="auto"/>
          <w:sz w:val="26"/>
          <w:szCs w:val="26"/>
        </w:rPr>
        <w:t>3) </w:t>
      </w:r>
      <w:r w:rsidRPr="00D329B5">
        <w:rPr>
          <w:rFonts w:ascii="Times New Roman" w:eastAsia="Calibri" w:hAnsi="Times New Roman"/>
          <w:i/>
          <w:iCs/>
          <w:color w:val="auto"/>
          <w:sz w:val="26"/>
          <w:szCs w:val="26"/>
        </w:rPr>
        <w:t>Стимулирование ресурсной базы</w:t>
      </w:r>
      <w:r w:rsidRPr="00D329B5">
        <w:rPr>
          <w:rFonts w:ascii="Times New Roman" w:eastAsia="Calibri" w:hAnsi="Times New Roman"/>
          <w:color w:val="auto"/>
          <w:sz w:val="26"/>
          <w:szCs w:val="26"/>
        </w:rPr>
        <w:t>: взаимодействие с федеральным центром по формированию мер налогового стимулирования при разработке трудноизвлекаемых и нетрадиционных запасов углеводородного сырья, а также редких металлов; вовлечение в разработку новых месторождений (например, «Нежданый мыс» в Парабельском районе) и стимулирование геологоразведочных работ.</w:t>
      </w:r>
    </w:p>
    <w:p w:rsidR="00E618FE" w:rsidRPr="00BA1407" w:rsidRDefault="00800098">
      <w:pPr>
        <w:pStyle w:val="a4"/>
        <w:rPr>
          <w:rFonts w:ascii="Times New Roman" w:eastAsia="Calibri" w:hAnsi="Times New Roman"/>
          <w:color w:val="auto"/>
          <w:sz w:val="26"/>
          <w:szCs w:val="26"/>
        </w:rPr>
      </w:pPr>
      <w:r w:rsidRPr="00535A4B">
        <w:rPr>
          <w:rFonts w:ascii="Times New Roman" w:eastAsia="Calibri" w:hAnsi="Times New Roman"/>
          <w:b/>
          <w:bCs/>
          <w:color w:val="auto"/>
        </w:rPr>
        <w:t>Задача 3.2.4</w:t>
      </w:r>
      <w:r w:rsidRPr="00535A4B">
        <w:rPr>
          <w:rFonts w:ascii="Times New Roman" w:eastAsia="Calibri" w:hAnsi="Times New Roman"/>
          <w:color w:val="auto"/>
        </w:rPr>
        <w:t> </w:t>
      </w:r>
      <w:r w:rsidRPr="00535A4B">
        <w:rPr>
          <w:rFonts w:ascii="Times New Roman" w:eastAsia="Calibri" w:hAnsi="Times New Roman"/>
          <w:b/>
          <w:bCs/>
          <w:color w:val="auto"/>
        </w:rPr>
        <w:t>Повысить производительность труда и качество рабочих мест в Томской области</w:t>
      </w:r>
      <w:r w:rsidRPr="00535A4B">
        <w:rPr>
          <w:rFonts w:ascii="Times New Roman" w:eastAsia="Calibri" w:hAnsi="Times New Roman"/>
          <w:color w:val="auto"/>
        </w:rPr>
        <w:t xml:space="preserve">, </w:t>
      </w:r>
      <w:r w:rsidRPr="00BA1407">
        <w:rPr>
          <w:rFonts w:ascii="Times New Roman" w:eastAsia="Calibri" w:hAnsi="Times New Roman"/>
          <w:color w:val="auto"/>
          <w:sz w:val="26"/>
          <w:szCs w:val="26"/>
        </w:rPr>
        <w:t xml:space="preserve">обеспечить рост производительности труда </w:t>
      </w:r>
      <w:r w:rsidR="00BA1407">
        <w:rPr>
          <w:rFonts w:ascii="Times New Roman" w:eastAsia="Calibri" w:hAnsi="Times New Roman"/>
          <w:color w:val="auto"/>
          <w:sz w:val="26"/>
          <w:szCs w:val="26"/>
        </w:rPr>
        <w:br/>
      </w:r>
      <w:r w:rsidRPr="00BA1407">
        <w:rPr>
          <w:rFonts w:ascii="Times New Roman" w:eastAsia="Calibri" w:hAnsi="Times New Roman"/>
          <w:color w:val="auto"/>
          <w:sz w:val="26"/>
          <w:szCs w:val="26"/>
        </w:rPr>
        <w:t>в промышленных предприятиях и улучшить качества рабочих мест (зарплаты, условия труда, устойчивость занятости) за счет модернизации производств, автоматизации, цифровизации и внедрения передовых управленческих практик.</w:t>
      </w:r>
    </w:p>
    <w:p w:rsidR="00E618FE" w:rsidRPr="00BA1407" w:rsidRDefault="00800098">
      <w:pPr>
        <w:pStyle w:val="a4"/>
        <w:rPr>
          <w:rFonts w:ascii="Times New Roman" w:eastAsia="Calibri" w:hAnsi="Times New Roman"/>
          <w:color w:val="auto"/>
          <w:sz w:val="26"/>
          <w:szCs w:val="26"/>
        </w:rPr>
      </w:pPr>
      <w:r w:rsidRPr="00BA1407">
        <w:rPr>
          <w:rFonts w:ascii="Times New Roman" w:eastAsia="Calibri" w:hAnsi="Times New Roman"/>
          <w:color w:val="auto"/>
          <w:sz w:val="26"/>
          <w:szCs w:val="26"/>
        </w:rPr>
        <w:t>Ключевые направления и механизмы реализации:</w:t>
      </w:r>
    </w:p>
    <w:p w:rsidR="00E618FE" w:rsidRPr="00BA1407" w:rsidRDefault="00800098">
      <w:pPr>
        <w:pStyle w:val="a4"/>
        <w:rPr>
          <w:rFonts w:ascii="Times New Roman" w:eastAsia="Calibri" w:hAnsi="Times New Roman"/>
          <w:color w:val="auto"/>
          <w:sz w:val="26"/>
          <w:szCs w:val="26"/>
        </w:rPr>
      </w:pPr>
      <w:r w:rsidRPr="00BA1407">
        <w:rPr>
          <w:rFonts w:ascii="Times New Roman" w:eastAsia="Calibri" w:hAnsi="Times New Roman"/>
          <w:color w:val="auto"/>
          <w:sz w:val="26"/>
          <w:szCs w:val="26"/>
        </w:rPr>
        <w:t xml:space="preserve">1) </w:t>
      </w:r>
      <w:r w:rsidRPr="00BA1407">
        <w:rPr>
          <w:rFonts w:ascii="Times New Roman" w:eastAsia="Calibri" w:hAnsi="Times New Roman"/>
          <w:i/>
          <w:iCs/>
          <w:color w:val="auto"/>
          <w:sz w:val="26"/>
          <w:szCs w:val="26"/>
        </w:rPr>
        <w:t>Внедрение бережливого производства и повышение эффективности</w:t>
      </w:r>
      <w:r w:rsidRPr="00BA1407">
        <w:rPr>
          <w:rFonts w:ascii="Times New Roman" w:eastAsia="Calibri" w:hAnsi="Times New Roman"/>
          <w:color w:val="auto"/>
          <w:sz w:val="26"/>
          <w:szCs w:val="26"/>
        </w:rPr>
        <w:t xml:space="preserve">: реализация проектов по повышению производительности труда на предприятиях </w:t>
      </w:r>
      <w:r w:rsidR="00BA1407">
        <w:rPr>
          <w:rFonts w:ascii="Times New Roman" w:eastAsia="Calibri" w:hAnsi="Times New Roman"/>
          <w:color w:val="auto"/>
          <w:sz w:val="26"/>
          <w:szCs w:val="26"/>
        </w:rPr>
        <w:t>–</w:t>
      </w:r>
      <w:r w:rsidRPr="00BA1407">
        <w:rPr>
          <w:rFonts w:ascii="Times New Roman" w:eastAsia="Calibri" w:hAnsi="Times New Roman"/>
          <w:color w:val="auto"/>
          <w:sz w:val="26"/>
          <w:szCs w:val="26"/>
        </w:rPr>
        <w:t xml:space="preserve"> участниках федерального проекта «Производительность труда» национального проекта «Эффективная и конкурентная экономика». </w:t>
      </w:r>
    </w:p>
    <w:p w:rsidR="00E618FE" w:rsidRPr="00BA1407" w:rsidRDefault="00800098">
      <w:pPr>
        <w:pStyle w:val="a4"/>
        <w:rPr>
          <w:rFonts w:ascii="Times New Roman" w:eastAsia="Calibri" w:hAnsi="Times New Roman"/>
          <w:strike/>
          <w:color w:val="auto"/>
          <w:sz w:val="26"/>
          <w:szCs w:val="26"/>
        </w:rPr>
      </w:pPr>
      <w:r w:rsidRPr="00BA1407">
        <w:rPr>
          <w:rFonts w:ascii="Times New Roman" w:eastAsia="Calibri" w:hAnsi="Times New Roman"/>
          <w:color w:val="auto"/>
          <w:sz w:val="26"/>
          <w:szCs w:val="26"/>
        </w:rPr>
        <w:t xml:space="preserve">Вовлечение к участию в программах повышения квалификации </w:t>
      </w:r>
      <w:r w:rsidRPr="00BA1407">
        <w:rPr>
          <w:rFonts w:ascii="Times New Roman" w:eastAsia="Calibri" w:hAnsi="Times New Roman"/>
          <w:color w:val="auto"/>
          <w:sz w:val="26"/>
          <w:szCs w:val="26"/>
        </w:rPr>
        <w:br/>
        <w:t>для инженерно-технических работников и управленческих команд предприятий региона по направлению «Лидеры производительности».</w:t>
      </w:r>
    </w:p>
    <w:p w:rsidR="00E618FE" w:rsidRPr="00BA1407" w:rsidRDefault="00800098">
      <w:pPr>
        <w:pStyle w:val="a4"/>
        <w:rPr>
          <w:rFonts w:ascii="Times New Roman" w:eastAsia="Calibri" w:hAnsi="Times New Roman"/>
          <w:color w:val="auto"/>
          <w:sz w:val="26"/>
          <w:szCs w:val="26"/>
        </w:rPr>
      </w:pPr>
      <w:r w:rsidRPr="00BA1407">
        <w:rPr>
          <w:rFonts w:ascii="Times New Roman" w:eastAsia="Calibri" w:hAnsi="Times New Roman"/>
          <w:color w:val="auto"/>
          <w:sz w:val="26"/>
          <w:szCs w:val="26"/>
        </w:rPr>
        <w:t>2) </w:t>
      </w:r>
      <w:r w:rsidRPr="00BA1407">
        <w:rPr>
          <w:rFonts w:ascii="Times New Roman" w:eastAsia="Calibri" w:hAnsi="Times New Roman"/>
          <w:i/>
          <w:iCs/>
          <w:color w:val="auto"/>
          <w:sz w:val="26"/>
          <w:szCs w:val="26"/>
        </w:rPr>
        <w:t>Модернизация и автоматизация производств</w:t>
      </w:r>
      <w:r w:rsidRPr="00BA1407">
        <w:rPr>
          <w:rFonts w:ascii="Times New Roman" w:eastAsia="Calibri" w:hAnsi="Times New Roman"/>
          <w:color w:val="auto"/>
          <w:sz w:val="26"/>
          <w:szCs w:val="26"/>
        </w:rPr>
        <w:t xml:space="preserve">: реализация в регионе профильными Департаментами Правительства Томской области 17 федеральных программ по повышению производительности труда, в том числе направленных </w:t>
      </w:r>
      <w:r w:rsidR="00BA1407">
        <w:rPr>
          <w:rFonts w:ascii="Times New Roman" w:eastAsia="Calibri" w:hAnsi="Times New Roman"/>
          <w:color w:val="auto"/>
          <w:sz w:val="26"/>
          <w:szCs w:val="26"/>
        </w:rPr>
        <w:br/>
      </w:r>
      <w:r w:rsidRPr="00BA1407">
        <w:rPr>
          <w:rFonts w:ascii="Times New Roman" w:eastAsia="Calibri" w:hAnsi="Times New Roman"/>
          <w:color w:val="auto"/>
          <w:sz w:val="26"/>
          <w:szCs w:val="26"/>
        </w:rPr>
        <w:t>на стимулирование промышленных предприятий к переходу на цифровые операционные технологии и управленческие инновации, включая внедрение гибких цехов и дизайн-центров; создание передовой инфраструктуры коллективного пользования для малых технологических компаний и стартапов, в том числе на базе образовательных организаций высшего образования (учебно-производственные центры, онлайн-полигоны).</w:t>
      </w:r>
    </w:p>
    <w:p w:rsidR="00E618FE" w:rsidRPr="00BA1407" w:rsidRDefault="00800098">
      <w:pPr>
        <w:pStyle w:val="a4"/>
        <w:rPr>
          <w:rFonts w:ascii="Times New Roman" w:eastAsia="Calibri" w:hAnsi="Times New Roman"/>
          <w:color w:val="auto"/>
          <w:sz w:val="26"/>
          <w:szCs w:val="26"/>
        </w:rPr>
      </w:pPr>
      <w:r w:rsidRPr="00BA1407">
        <w:rPr>
          <w:rFonts w:ascii="Times New Roman" w:eastAsia="Calibri" w:hAnsi="Times New Roman"/>
          <w:color w:val="auto"/>
          <w:sz w:val="26"/>
          <w:szCs w:val="26"/>
        </w:rPr>
        <w:lastRenderedPageBreak/>
        <w:t>3) </w:t>
      </w:r>
      <w:r w:rsidRPr="00BA1407">
        <w:rPr>
          <w:rFonts w:ascii="Times New Roman" w:eastAsia="Calibri" w:hAnsi="Times New Roman"/>
          <w:i/>
          <w:iCs/>
          <w:color w:val="auto"/>
          <w:sz w:val="26"/>
          <w:szCs w:val="26"/>
        </w:rPr>
        <w:t>Повышение качества рабочих мест</w:t>
      </w:r>
      <w:r w:rsidRPr="00BA1407">
        <w:rPr>
          <w:rFonts w:ascii="Times New Roman" w:eastAsia="Calibri" w:hAnsi="Times New Roman"/>
          <w:color w:val="auto"/>
          <w:sz w:val="26"/>
          <w:szCs w:val="26"/>
        </w:rPr>
        <w:t xml:space="preserve">: содействие в росте среднемесячной заработной платы на промышленных предприятиях, в том числе через внедрение эффективных контрактов и систем материального стимулирования при росте производительности; обеспечение устойчивой занятости и снижение доли рабочих мест с вредными условиями труда за счет технологического перевооружения </w:t>
      </w:r>
      <w:r w:rsidR="00BA1407">
        <w:rPr>
          <w:rFonts w:ascii="Times New Roman" w:eastAsia="Calibri" w:hAnsi="Times New Roman"/>
          <w:color w:val="auto"/>
          <w:sz w:val="26"/>
          <w:szCs w:val="26"/>
        </w:rPr>
        <w:br/>
      </w:r>
      <w:r w:rsidRPr="00BA1407">
        <w:rPr>
          <w:rFonts w:ascii="Times New Roman" w:eastAsia="Calibri" w:hAnsi="Times New Roman"/>
          <w:color w:val="auto"/>
          <w:sz w:val="26"/>
          <w:szCs w:val="26"/>
        </w:rPr>
        <w:t xml:space="preserve">и автоматизации; формирование долгосрочного регионального прогноза кадровой потребности и синхронизация его с образовательными программами среднего профессионального </w:t>
      </w:r>
      <w:r w:rsidRPr="00BA1407">
        <w:rPr>
          <w:rFonts w:ascii="Times New Roman" w:hAnsi="Times New Roman"/>
          <w:color w:val="auto"/>
          <w:sz w:val="26"/>
          <w:szCs w:val="26"/>
        </w:rPr>
        <w:t xml:space="preserve">и </w:t>
      </w:r>
      <w:r w:rsidRPr="00BA1407">
        <w:rPr>
          <w:rFonts w:ascii="Times New Roman" w:eastAsia="Calibri" w:hAnsi="Times New Roman"/>
          <w:color w:val="auto"/>
          <w:sz w:val="26"/>
          <w:szCs w:val="26"/>
        </w:rPr>
        <w:t xml:space="preserve">высшего образования, программами профессионального обучения и дополнительными профессиональными программами </w:t>
      </w:r>
      <w:r w:rsidR="00BA1407">
        <w:rPr>
          <w:rFonts w:ascii="Times New Roman" w:eastAsia="Calibri" w:hAnsi="Times New Roman"/>
          <w:color w:val="auto"/>
          <w:sz w:val="26"/>
          <w:szCs w:val="26"/>
        </w:rPr>
        <w:br/>
      </w:r>
      <w:r w:rsidRPr="00BA1407">
        <w:rPr>
          <w:rFonts w:ascii="Times New Roman" w:eastAsia="Calibri" w:hAnsi="Times New Roman"/>
          <w:color w:val="auto"/>
          <w:sz w:val="26"/>
          <w:szCs w:val="26"/>
        </w:rPr>
        <w:t>для предотвращения дефицита кадров.</w:t>
      </w:r>
    </w:p>
    <w:p w:rsidR="00E618FE" w:rsidRPr="00535A4B" w:rsidRDefault="00800098">
      <w:pPr>
        <w:pStyle w:val="41"/>
        <w:rPr>
          <w:rFonts w:ascii="Times New Roman" w:eastAsia="Calibri" w:hAnsi="Times New Roman"/>
          <w:lang w:val="ru-RU"/>
        </w:rPr>
      </w:pPr>
      <w:r w:rsidRPr="00535A4B">
        <w:rPr>
          <w:rFonts w:ascii="Times New Roman" w:hAnsi="Times New Roman"/>
          <w:lang w:val="ru-RU"/>
        </w:rPr>
        <w:t>Целевые показатели:</w:t>
      </w:r>
      <w:r w:rsidRPr="00535A4B">
        <w:rPr>
          <w:rFonts w:ascii="Times New Roman" w:eastAsia="Calibri" w:hAnsi="Times New Roman"/>
          <w:lang w:val="ru-RU"/>
        </w:rPr>
        <w:t xml:space="preserve"> </w:t>
      </w:r>
    </w:p>
    <w:p w:rsidR="00E618FE" w:rsidRPr="00BA1407" w:rsidRDefault="00800098">
      <w:pPr>
        <w:pStyle w:val="aff"/>
        <w:rPr>
          <w:rFonts w:ascii="Times New Roman" w:eastAsia="Calibri" w:hAnsi="Times New Roman"/>
          <w:sz w:val="26"/>
          <w:szCs w:val="26"/>
          <w:lang w:val="ru-RU"/>
        </w:rPr>
      </w:pPr>
      <w:r w:rsidRPr="00BA1407">
        <w:rPr>
          <w:rFonts w:ascii="Times New Roman" w:hAnsi="Times New Roman"/>
          <w:sz w:val="26"/>
          <w:szCs w:val="26"/>
          <w:lang w:val="ru-RU"/>
        </w:rPr>
        <w:t xml:space="preserve">Таблица 11.3. Целевые показатели </w:t>
      </w:r>
      <w:r w:rsidRPr="00BA1407">
        <w:rPr>
          <w:rFonts w:ascii="Times New Roman" w:eastAsia="Calibri" w:hAnsi="Times New Roman"/>
          <w:sz w:val="26"/>
          <w:szCs w:val="26"/>
          <w:lang w:val="ru-RU"/>
        </w:rPr>
        <w:t>Стратегического приоритета 3.2. «Модернизация промышленности и точки роста реального сектора»</w:t>
      </w:r>
    </w:p>
    <w:tbl>
      <w:tblPr>
        <w:tblStyle w:val="-14"/>
        <w:tblW w:w="9223" w:type="dxa"/>
        <w:tblLayout w:type="fixed"/>
        <w:tblCellMar>
          <w:top w:w="28" w:type="dxa"/>
          <w:bottom w:w="28" w:type="dxa"/>
        </w:tblCellMar>
        <w:tblLook w:val="04A0" w:firstRow="1" w:lastRow="0" w:firstColumn="1" w:lastColumn="0" w:noHBand="0" w:noVBand="1"/>
      </w:tblPr>
      <w:tblGrid>
        <w:gridCol w:w="5778"/>
        <w:gridCol w:w="1275"/>
        <w:gridCol w:w="1085"/>
        <w:gridCol w:w="1085"/>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7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Целевой показатель</w:t>
            </w:r>
          </w:p>
        </w:tc>
        <w:tc>
          <w:tcPr>
            <w:tcW w:w="127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0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78"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Темп роста объема производства по виду экономической деятельности «Обрабатывающие производства» (в сопоставимых ценах, по отношению к 2020 году), %</w:t>
            </w:r>
          </w:p>
        </w:tc>
        <w:tc>
          <w:tcPr>
            <w:tcW w:w="127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125,20</w:t>
            </w:r>
          </w:p>
        </w:tc>
        <w:tc>
          <w:tcPr>
            <w:tcW w:w="10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142,50</w:t>
            </w:r>
          </w:p>
        </w:tc>
        <w:tc>
          <w:tcPr>
            <w:tcW w:w="10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177,10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778"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Индекс промышленного производства (к базовому году), %</w:t>
            </w:r>
          </w:p>
        </w:tc>
        <w:tc>
          <w:tcPr>
            <w:tcW w:w="127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(базовый год 2025)</w:t>
            </w:r>
          </w:p>
        </w:tc>
        <w:tc>
          <w:tcPr>
            <w:tcW w:w="10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110,60</w:t>
            </w:r>
          </w:p>
        </w:tc>
        <w:tc>
          <w:tcPr>
            <w:tcW w:w="10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126,40</w:t>
            </w:r>
          </w:p>
        </w:tc>
      </w:tr>
    </w:tbl>
    <w:p w:rsidR="00E618FE" w:rsidRPr="00535A4B" w:rsidRDefault="00E618FE"/>
    <w:p w:rsidR="00E618FE" w:rsidRPr="00535A4B" w:rsidRDefault="00800098">
      <w:pPr>
        <w:pStyle w:val="21"/>
        <w:rPr>
          <w:rFonts w:ascii="Times New Roman" w:eastAsia="Calibri" w:hAnsi="Times New Roman" w:cs="Times New Roman"/>
        </w:rPr>
      </w:pPr>
      <w:bookmarkStart w:id="151" w:name="_Toc235810156"/>
      <w:bookmarkStart w:id="152" w:name="_Toc238554544"/>
      <w:r w:rsidRPr="00535A4B">
        <w:rPr>
          <w:rFonts w:ascii="Times New Roman" w:eastAsia="Calibri" w:hAnsi="Times New Roman" w:cs="Times New Roman"/>
        </w:rPr>
        <w:t>Стратегический приоритет 3.3. «</w:t>
      </w:r>
      <w:r w:rsidRPr="00535A4B">
        <w:rPr>
          <w:rFonts w:ascii="Times New Roman" w:eastAsia="Times New Roman" w:hAnsi="Times New Roman" w:cs="Times New Roman"/>
          <w:szCs w:val="28"/>
          <w:lang w:eastAsia="ar-SA"/>
        </w:rPr>
        <w:t>Развитие предпринимательства: от</w:t>
      </w:r>
      <w:r w:rsidRPr="00535A4B">
        <w:rPr>
          <w:rFonts w:ascii="Times New Roman" w:eastAsia="Times New Roman" w:hAnsi="Times New Roman" w:cs="Times New Roman"/>
          <w:szCs w:val="28"/>
          <w:lang w:val="en-US" w:eastAsia="ar-SA"/>
        </w:rPr>
        <w:t> </w:t>
      </w:r>
      <w:r w:rsidRPr="00535A4B">
        <w:rPr>
          <w:rFonts w:ascii="Times New Roman" w:eastAsia="Times New Roman" w:hAnsi="Times New Roman" w:cs="Times New Roman"/>
          <w:szCs w:val="28"/>
          <w:lang w:eastAsia="ar-SA"/>
        </w:rPr>
        <w:t>стартапа до лидера рынка</w:t>
      </w:r>
      <w:r w:rsidRPr="00535A4B">
        <w:rPr>
          <w:rFonts w:ascii="Times New Roman" w:eastAsia="Calibri" w:hAnsi="Times New Roman" w:cs="Times New Roman"/>
        </w:rPr>
        <w:t>»</w:t>
      </w:r>
      <w:bookmarkEnd w:id="151"/>
      <w:bookmarkEnd w:id="152"/>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Стратегический приоритет направлен на формирование в Томской области единой экосистемы для старта, ведения и масштабирования малого и среднего предпринимательства, обеспечивающей рост числа устойчивых компаний, создание новых рабочих мест, развитие технологического, производственного, социального </w:t>
      </w:r>
      <w:r w:rsidR="00BA1407">
        <w:rPr>
          <w:rFonts w:ascii="Times New Roman" w:hAnsi="Times New Roman"/>
          <w:color w:val="auto"/>
          <w:sz w:val="26"/>
          <w:szCs w:val="26"/>
        </w:rPr>
        <w:br/>
      </w:r>
      <w:r w:rsidRPr="00BA1407">
        <w:rPr>
          <w:rFonts w:ascii="Times New Roman" w:hAnsi="Times New Roman"/>
          <w:color w:val="auto"/>
          <w:sz w:val="26"/>
          <w:szCs w:val="26"/>
        </w:rPr>
        <w:t xml:space="preserve">и молодежного предпринимательства, а также последовательный вывод зрелых предприятий на внешние рынки через специализированный «экспортный лифт». </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Реализация приоритета ориентирована на повышение вклада МСП </w:t>
      </w:r>
      <w:r w:rsidR="00BA1407">
        <w:rPr>
          <w:rFonts w:ascii="Times New Roman" w:hAnsi="Times New Roman"/>
          <w:color w:val="auto"/>
          <w:sz w:val="26"/>
          <w:szCs w:val="26"/>
        </w:rPr>
        <w:br/>
      </w:r>
      <w:r w:rsidRPr="00BA1407">
        <w:rPr>
          <w:rFonts w:ascii="Times New Roman" w:hAnsi="Times New Roman"/>
          <w:color w:val="auto"/>
          <w:sz w:val="26"/>
          <w:szCs w:val="26"/>
        </w:rPr>
        <w:t xml:space="preserve">в экономику Томской области, укрепление предпринимательской активности населения, расширение возможностей самореализации и занятости, а также закрепление человеческого капитала в регионе. </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К 2036 году реализация приоритета должна обеспечить достижение доли занятых в секторе малого и среднего предпринимательства не менее 45%, рост числа компаний, проходящих несколько стадий поддержки в рамках единой экосистемы, увеличение вклада МСП в налоговые поступления и несырьевой сектор экономики, а также расширение числа субъектов МСП, осуществляющих экспортную деятельность. Развитие приоритета должно способствовать укреплению позиций Томской области как одного из наиболее привлекательных регионов России </w:t>
      </w:r>
      <w:r w:rsidR="00BA1407">
        <w:rPr>
          <w:rFonts w:ascii="Times New Roman" w:hAnsi="Times New Roman"/>
          <w:color w:val="auto"/>
          <w:sz w:val="26"/>
          <w:szCs w:val="26"/>
        </w:rPr>
        <w:br/>
      </w:r>
      <w:r w:rsidRPr="00BA1407">
        <w:rPr>
          <w:rFonts w:ascii="Times New Roman" w:hAnsi="Times New Roman"/>
          <w:color w:val="auto"/>
          <w:sz w:val="26"/>
          <w:szCs w:val="26"/>
        </w:rPr>
        <w:t>для запуска и развития бизнеса.</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Финансирование мероприятий в рамках приоритета предусматривается </w:t>
      </w:r>
      <w:r w:rsidR="00BA1407">
        <w:rPr>
          <w:rFonts w:ascii="Times New Roman" w:hAnsi="Times New Roman"/>
          <w:color w:val="auto"/>
          <w:sz w:val="26"/>
          <w:szCs w:val="26"/>
        </w:rPr>
        <w:br/>
      </w:r>
      <w:r w:rsidRPr="00BA1407">
        <w:rPr>
          <w:rFonts w:ascii="Times New Roman" w:hAnsi="Times New Roman"/>
          <w:color w:val="auto"/>
          <w:sz w:val="26"/>
          <w:szCs w:val="26"/>
        </w:rPr>
        <w:t xml:space="preserve">за счет средств федерального, областного и местных бюджетов, включая субсидии, гранты, льготные кредитные программы и иные инструменты государственной </w:t>
      </w:r>
      <w:r w:rsidRPr="00BA1407">
        <w:rPr>
          <w:rFonts w:ascii="Times New Roman" w:hAnsi="Times New Roman"/>
          <w:color w:val="auto"/>
          <w:sz w:val="26"/>
          <w:szCs w:val="26"/>
        </w:rPr>
        <w:lastRenderedPageBreak/>
        <w:t>поддержки, а также за счет внебюджетных инвестиций, средств институтов развития и частных инвестиций предпринимателей.</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Опорными центрами реализации этого приоритета выступают:</w:t>
      </w:r>
    </w:p>
    <w:p w:rsidR="00E618FE" w:rsidRPr="00BA1407" w:rsidRDefault="00800098">
      <w:pPr>
        <w:pStyle w:val="a4"/>
        <w:rPr>
          <w:rFonts w:ascii="Times New Roman" w:eastAsia="Calibri" w:hAnsi="Times New Roman"/>
          <w:color w:val="auto"/>
          <w:sz w:val="26"/>
          <w:szCs w:val="26"/>
        </w:rPr>
      </w:pPr>
      <w:r w:rsidRPr="00BA1407">
        <w:rPr>
          <w:rFonts w:ascii="Times New Roman" w:eastAsia="Calibri" w:hAnsi="Times New Roman"/>
          <w:color w:val="auto"/>
          <w:sz w:val="26"/>
          <w:szCs w:val="26"/>
        </w:rPr>
        <w:t xml:space="preserve">— Центр «Мой бизнес», входящий в состав АНО «Агентство инвестиционного развития Томской области», </w:t>
      </w:r>
      <w:r w:rsidR="00BA1407">
        <w:rPr>
          <w:rFonts w:ascii="Times New Roman" w:eastAsia="Calibri" w:hAnsi="Times New Roman"/>
          <w:color w:val="auto"/>
          <w:sz w:val="26"/>
          <w:szCs w:val="26"/>
        </w:rPr>
        <w:t>–</w:t>
      </w:r>
      <w:r w:rsidRPr="00BA1407">
        <w:rPr>
          <w:rFonts w:ascii="Times New Roman" w:eastAsia="Calibri" w:hAnsi="Times New Roman"/>
          <w:color w:val="auto"/>
          <w:sz w:val="26"/>
          <w:szCs w:val="26"/>
        </w:rPr>
        <w:t xml:space="preserve"> базовая организация инфраструктуры поддержки предпринимательства;</w:t>
      </w:r>
    </w:p>
    <w:p w:rsidR="00E618FE" w:rsidRPr="00BA1407" w:rsidRDefault="00800098">
      <w:pPr>
        <w:pStyle w:val="a4"/>
        <w:rPr>
          <w:rFonts w:ascii="Times New Roman" w:eastAsia="Calibri" w:hAnsi="Times New Roman"/>
          <w:color w:val="auto"/>
          <w:sz w:val="26"/>
          <w:szCs w:val="26"/>
        </w:rPr>
      </w:pPr>
      <w:r w:rsidRPr="00BA1407">
        <w:rPr>
          <w:rFonts w:ascii="Times New Roman" w:eastAsia="Calibri" w:hAnsi="Times New Roman"/>
          <w:color w:val="auto"/>
          <w:sz w:val="26"/>
          <w:szCs w:val="26"/>
        </w:rPr>
        <w:t>— </w:t>
      </w:r>
      <w:r w:rsidRPr="00BA1407">
        <w:rPr>
          <w:rFonts w:ascii="Times New Roman" w:hAnsi="Times New Roman"/>
          <w:color w:val="auto"/>
          <w:sz w:val="26"/>
          <w:szCs w:val="26"/>
        </w:rPr>
        <w:t>региональные микрофинансовые и гарантийные организации</w:t>
      </w:r>
      <w:r w:rsidRPr="00BA1407">
        <w:rPr>
          <w:rFonts w:ascii="Times New Roman" w:eastAsia="Calibri" w:hAnsi="Times New Roman"/>
          <w:color w:val="auto"/>
          <w:sz w:val="26"/>
          <w:szCs w:val="26"/>
        </w:rPr>
        <w:t>;</w:t>
      </w:r>
    </w:p>
    <w:p w:rsidR="00E618FE" w:rsidRPr="00BA1407" w:rsidRDefault="00800098">
      <w:pPr>
        <w:pStyle w:val="a4"/>
        <w:rPr>
          <w:rFonts w:ascii="Times New Roman" w:hAnsi="Times New Roman"/>
          <w:color w:val="auto"/>
          <w:sz w:val="26"/>
          <w:szCs w:val="26"/>
        </w:rPr>
      </w:pPr>
      <w:r w:rsidRPr="00BA1407">
        <w:rPr>
          <w:rFonts w:ascii="Times New Roman" w:eastAsia="Calibri" w:hAnsi="Times New Roman"/>
          <w:color w:val="auto"/>
          <w:sz w:val="26"/>
          <w:szCs w:val="26"/>
        </w:rPr>
        <w:t>— </w:t>
      </w:r>
      <w:r w:rsidRPr="00BA1407">
        <w:rPr>
          <w:rFonts w:ascii="Times New Roman" w:hAnsi="Times New Roman"/>
          <w:color w:val="auto"/>
          <w:sz w:val="26"/>
          <w:szCs w:val="26"/>
        </w:rPr>
        <w:t>Союз «Торгово</w:t>
      </w:r>
      <w:r w:rsidRPr="00BA1407">
        <w:rPr>
          <w:rFonts w:ascii="MS Mincho" w:eastAsia="MS Mincho" w:hAnsi="MS Mincho" w:cs="MS Mincho" w:hint="eastAsia"/>
          <w:color w:val="auto"/>
          <w:sz w:val="26"/>
          <w:szCs w:val="26"/>
        </w:rPr>
        <w:t>‑</w:t>
      </w:r>
      <w:r w:rsidRPr="00BA1407">
        <w:rPr>
          <w:rFonts w:ascii="Times New Roman" w:hAnsi="Times New Roman"/>
          <w:color w:val="auto"/>
          <w:sz w:val="26"/>
          <w:szCs w:val="26"/>
        </w:rPr>
        <w:t>промышленная палата Томской области», Центр поддержки экспорта Томской области, АНО «Центр инжиниринга и инноваций Томской области», а также профильные исполнительные органы Томской области, отвечающие за инвестиционную, промышленную и внешнеэкономическую политику.</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Важнейшими участниками реализации приоритета являются ведущие университеты и профессиональные образовательные организации Томской области, АНО «Томский консорциум», Центр опережающей профессиональной подготовки, промышленные кластеры региона, а также Промышленный парк «Томск», ОЭЗ ТВТ «Томск», ТОР «Северск», сеть бизнес</w:t>
      </w:r>
      <w:r w:rsidRPr="00BA1407">
        <w:rPr>
          <w:rFonts w:ascii="MS Mincho" w:eastAsia="MS Mincho" w:hAnsi="MS Mincho" w:cs="MS Mincho" w:hint="eastAsia"/>
          <w:color w:val="auto"/>
          <w:sz w:val="26"/>
          <w:szCs w:val="26"/>
        </w:rPr>
        <w:t>‑</w:t>
      </w:r>
      <w:r w:rsidRPr="00BA1407">
        <w:rPr>
          <w:rFonts w:ascii="Times New Roman" w:hAnsi="Times New Roman"/>
          <w:color w:val="auto"/>
          <w:sz w:val="26"/>
          <w:szCs w:val="26"/>
        </w:rPr>
        <w:t>инкубаторов, коворкингов и «Точек кипения», формирующие инфраструктурную и компетентностную базу для запуска, сопровождения и масштабирования предпринимательских инициатив.</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Реализация приоритета опирается на сильные стороны Томской области </w:t>
      </w:r>
      <w:r w:rsidR="00BA1407">
        <w:rPr>
          <w:rFonts w:ascii="Times New Roman" w:hAnsi="Times New Roman"/>
          <w:color w:val="auto"/>
          <w:sz w:val="26"/>
          <w:szCs w:val="26"/>
        </w:rPr>
        <w:br/>
      </w:r>
      <w:r w:rsidRPr="00BA1407">
        <w:rPr>
          <w:rFonts w:ascii="Times New Roman" w:hAnsi="Times New Roman"/>
          <w:color w:val="auto"/>
          <w:sz w:val="26"/>
          <w:szCs w:val="26"/>
        </w:rPr>
        <w:t>как научно</w:t>
      </w:r>
      <w:r w:rsidRPr="00BA1407">
        <w:rPr>
          <w:rFonts w:ascii="MS Mincho" w:eastAsia="MS Mincho" w:hAnsi="MS Mincho" w:cs="MS Mincho" w:hint="eastAsia"/>
          <w:color w:val="auto"/>
          <w:sz w:val="26"/>
          <w:szCs w:val="26"/>
        </w:rPr>
        <w:t>‑</w:t>
      </w:r>
      <w:r w:rsidRPr="00BA1407">
        <w:rPr>
          <w:rFonts w:ascii="Times New Roman" w:hAnsi="Times New Roman"/>
          <w:color w:val="auto"/>
          <w:sz w:val="26"/>
          <w:szCs w:val="26"/>
        </w:rPr>
        <w:t xml:space="preserve">образовательного и технологического центра, наличие развитой инфраструктуры поддержки бизнеса, высокий потенциал молодежного </w:t>
      </w:r>
      <w:r w:rsidR="00BA1407">
        <w:rPr>
          <w:rFonts w:ascii="Times New Roman" w:hAnsi="Times New Roman"/>
          <w:color w:val="auto"/>
          <w:sz w:val="26"/>
          <w:szCs w:val="26"/>
        </w:rPr>
        <w:br/>
      </w:r>
      <w:r w:rsidRPr="00BA1407">
        <w:rPr>
          <w:rFonts w:ascii="Times New Roman" w:hAnsi="Times New Roman"/>
          <w:color w:val="auto"/>
          <w:sz w:val="26"/>
          <w:szCs w:val="26"/>
        </w:rPr>
        <w:t xml:space="preserve">и технологического предпринимательства, а также на формирование бесшовной цифровой экосистемы МСП, обеспечивающей сопровождение предпринимателя </w:t>
      </w:r>
      <w:r w:rsidR="00BA1407">
        <w:rPr>
          <w:rFonts w:ascii="Times New Roman" w:hAnsi="Times New Roman"/>
          <w:color w:val="auto"/>
          <w:sz w:val="26"/>
          <w:szCs w:val="26"/>
        </w:rPr>
        <w:br/>
      </w:r>
      <w:r w:rsidRPr="00BA1407">
        <w:rPr>
          <w:rFonts w:ascii="Times New Roman" w:hAnsi="Times New Roman"/>
          <w:color w:val="auto"/>
          <w:sz w:val="26"/>
          <w:szCs w:val="26"/>
        </w:rPr>
        <w:t>на всех стадиях жизненного цикла бизнеса.</w:t>
      </w:r>
    </w:p>
    <w:p w:rsidR="00E618FE" w:rsidRPr="00535A4B" w:rsidRDefault="00800098">
      <w:pPr>
        <w:pStyle w:val="41"/>
        <w:rPr>
          <w:rFonts w:ascii="Times New Roman" w:hAnsi="Times New Roman"/>
          <w:lang w:val="ru-RU"/>
        </w:rPr>
      </w:pPr>
      <w:r w:rsidRPr="00535A4B">
        <w:rPr>
          <w:rFonts w:ascii="Times New Roman" w:hAnsi="Times New Roman"/>
          <w:lang w:val="ru-RU"/>
        </w:rPr>
        <w:t>Задачи:</w:t>
      </w: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w:t>
      </w:r>
      <w:r w:rsidRPr="00535A4B">
        <w:rPr>
          <w:rFonts w:ascii="Times New Roman" w:eastAsia="Calibri" w:hAnsi="Times New Roman"/>
          <w:b/>
          <w:bCs/>
          <w:color w:val="auto"/>
        </w:rPr>
        <w:t>3.</w:t>
      </w:r>
      <w:r w:rsidRPr="00535A4B">
        <w:rPr>
          <w:rFonts w:ascii="Times New Roman" w:hAnsi="Times New Roman"/>
          <w:b/>
          <w:bCs/>
          <w:color w:val="auto"/>
        </w:rPr>
        <w:t xml:space="preserve">3.1. Обеспечить доступ субъектов малого и среднего предпринимательства к финансовым ресурсам и инструментам роста </w:t>
      </w:r>
      <w:r w:rsidRPr="00535A4B">
        <w:rPr>
          <w:rFonts w:ascii="Times New Roman" w:hAnsi="Times New Roman"/>
          <w:b/>
          <w:bCs/>
          <w:color w:val="auto"/>
        </w:rPr>
        <w:br/>
        <w:t>на всех стадиях развития бизнеса</w:t>
      </w:r>
      <w:r w:rsidRPr="00535A4B">
        <w:rPr>
          <w:rFonts w:ascii="Times New Roman" w:hAnsi="Times New Roman"/>
          <w:color w:val="auto"/>
        </w:rPr>
        <w:t>.</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Ключевые направления и механизмы реализации: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предоставление субъектам МСП микрозаймов, поручительств, грантов, льготных кредитов и иных инструментов финансовой поддержки, в том числе </w:t>
      </w:r>
      <w:r w:rsidR="00BA1407">
        <w:rPr>
          <w:rFonts w:ascii="Times New Roman" w:hAnsi="Times New Roman"/>
          <w:color w:val="auto"/>
          <w:sz w:val="26"/>
          <w:szCs w:val="26"/>
        </w:rPr>
        <w:br/>
      </w:r>
      <w:r w:rsidRPr="00BA1407">
        <w:rPr>
          <w:rFonts w:ascii="Times New Roman" w:hAnsi="Times New Roman"/>
          <w:color w:val="auto"/>
          <w:sz w:val="26"/>
          <w:szCs w:val="26"/>
        </w:rPr>
        <w:t>для начинающих, технологических, производственных, социальных и экспортно</w:t>
      </w:r>
      <w:r w:rsidRPr="00BA1407">
        <w:rPr>
          <w:rFonts w:ascii="MS Mincho" w:eastAsia="MS Mincho" w:hAnsi="MS Mincho" w:cs="MS Mincho" w:hint="eastAsia"/>
          <w:color w:val="auto"/>
          <w:sz w:val="26"/>
          <w:szCs w:val="26"/>
        </w:rPr>
        <w:t>‑</w:t>
      </w:r>
      <w:r w:rsidRPr="00BA1407">
        <w:rPr>
          <w:rFonts w:ascii="Times New Roman" w:hAnsi="Times New Roman"/>
          <w:color w:val="auto"/>
          <w:sz w:val="26"/>
          <w:szCs w:val="26"/>
        </w:rPr>
        <w:t>ориентированных компаний;</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развитие специализированных финансовых продуктов для предприятий </w:t>
      </w:r>
      <w:r w:rsidR="00BA1407">
        <w:rPr>
          <w:rFonts w:ascii="Times New Roman" w:hAnsi="Times New Roman"/>
          <w:color w:val="auto"/>
          <w:sz w:val="26"/>
          <w:szCs w:val="26"/>
        </w:rPr>
        <w:br/>
      </w:r>
      <w:r w:rsidRPr="00BA1407">
        <w:rPr>
          <w:rFonts w:ascii="Times New Roman" w:hAnsi="Times New Roman"/>
          <w:color w:val="auto"/>
          <w:sz w:val="26"/>
          <w:szCs w:val="26"/>
        </w:rPr>
        <w:t>на стадиях запуска, роста и масштабирования, включая комбинированные решения, сочетающие заемное финансирование, гарантийную поддержку и нефинансовые сервисы сопровождения, что соответствует лучшим практикам комплексной поддержки МСП;</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развитие механизмов снижения финансовых рисков предпринимателей через расширение гарантийной поддержки, субсидирование части затрат </w:t>
      </w:r>
      <w:r w:rsidR="00BA1407">
        <w:rPr>
          <w:rFonts w:ascii="Times New Roman" w:hAnsi="Times New Roman"/>
          <w:color w:val="auto"/>
          <w:sz w:val="26"/>
          <w:szCs w:val="26"/>
        </w:rPr>
        <w:br/>
      </w:r>
      <w:r w:rsidRPr="00BA1407">
        <w:rPr>
          <w:rFonts w:ascii="Times New Roman" w:hAnsi="Times New Roman"/>
          <w:color w:val="auto"/>
          <w:sz w:val="26"/>
          <w:szCs w:val="26"/>
        </w:rPr>
        <w:t>и формирование устойчивого взаимодействия с банковским сектором и институтами развития;</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приоритетная поддержка компаний, реализующих проекты </w:t>
      </w:r>
      <w:r w:rsidR="00BA1407">
        <w:rPr>
          <w:rFonts w:ascii="Times New Roman" w:hAnsi="Times New Roman"/>
          <w:color w:val="auto"/>
          <w:sz w:val="26"/>
          <w:szCs w:val="26"/>
        </w:rPr>
        <w:br/>
      </w:r>
      <w:r w:rsidRPr="00BA1407">
        <w:rPr>
          <w:rFonts w:ascii="Times New Roman" w:hAnsi="Times New Roman"/>
          <w:color w:val="auto"/>
          <w:sz w:val="26"/>
          <w:szCs w:val="26"/>
        </w:rPr>
        <w:t>в высокотехнологичных, производственных и иных секторах с высоким потенциалом создания добавленной стоимости и рабочих мест.</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lastRenderedPageBreak/>
        <w:t xml:space="preserve">Задача 3.3.2. Сформировать современную инфраструктуру </w:t>
      </w:r>
      <w:r w:rsidRPr="00535A4B">
        <w:rPr>
          <w:rFonts w:ascii="Times New Roman" w:hAnsi="Times New Roman"/>
          <w:b/>
          <w:bCs/>
          <w:color w:val="auto"/>
        </w:rPr>
        <w:br/>
        <w:t>и цифровую среду поддержки предпринимательства, обеспечивающие удобный доступ к услугам по принципу «одного окна».</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Ключевые направления и механизмы реализации: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обеспечение льготного доступа субъектов МСП к производственным </w:t>
      </w:r>
      <w:r w:rsidR="00BA1407">
        <w:rPr>
          <w:rFonts w:ascii="Times New Roman" w:hAnsi="Times New Roman"/>
          <w:color w:val="auto"/>
          <w:sz w:val="26"/>
          <w:szCs w:val="26"/>
        </w:rPr>
        <w:br/>
      </w:r>
      <w:r w:rsidRPr="00BA1407">
        <w:rPr>
          <w:rFonts w:ascii="Times New Roman" w:hAnsi="Times New Roman"/>
          <w:color w:val="auto"/>
          <w:sz w:val="26"/>
          <w:szCs w:val="26"/>
        </w:rPr>
        <w:t>и офисным помещениям в бизнес</w:t>
      </w:r>
      <w:r w:rsidRPr="00BA1407">
        <w:rPr>
          <w:rFonts w:ascii="Times New Roman" w:hAnsi="Times New Roman"/>
          <w:color w:val="auto"/>
          <w:sz w:val="26"/>
          <w:szCs w:val="26"/>
        </w:rPr>
        <w:noBreakHyphen/>
        <w:t xml:space="preserve">инкубаторах, Промышленном парке «Томск», </w:t>
      </w:r>
      <w:r w:rsidR="00BA1407">
        <w:rPr>
          <w:rFonts w:ascii="Times New Roman" w:hAnsi="Times New Roman"/>
          <w:color w:val="auto"/>
          <w:sz w:val="26"/>
          <w:szCs w:val="26"/>
        </w:rPr>
        <w:br/>
      </w:r>
      <w:r w:rsidRPr="00BA1407">
        <w:rPr>
          <w:rFonts w:ascii="Times New Roman" w:hAnsi="Times New Roman"/>
          <w:color w:val="auto"/>
          <w:sz w:val="26"/>
          <w:szCs w:val="26"/>
        </w:rPr>
        <w:t>ОЭЗ ТВТ «Томск», на площадках ТОР «Северск», а также в сети муниципальных центров, коворкингов и иных объектов инфраструктуры поддержки;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развитие в муниципальных образованиях Томской области сети точек входа в экосистему МСП, обеспечивающих базовые консультационные, образовательные и навигационные сервисы для предпринимателей;</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внедрение региональной цифровой платформы для предпринимателей, интегрированной с МФЦ и федеральными сервисами, обеспечивающей получение услуг по принципу «одного окна»;</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формирование единого цифрового профиля субъекта МСП и внедрение механизмов проактивного подбора мер поддержки с учетом стадии развития бизнеса, отрасли, масштаба деятельности и экспортного потенциала компании;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развитие сервисов инжиниринга, инновационной, промышленной </w:t>
      </w:r>
      <w:r w:rsidRPr="00BA1407">
        <w:rPr>
          <w:rFonts w:ascii="Times New Roman" w:hAnsi="Times New Roman"/>
          <w:color w:val="auto"/>
          <w:sz w:val="26"/>
          <w:szCs w:val="26"/>
        </w:rPr>
        <w:br/>
        <w:t>и технологической инфраструктуры, необходимых для перехода МСП к более высоким стадиям зрелости и конкурентоспособности.</w:t>
      </w:r>
    </w:p>
    <w:p w:rsidR="00BA1407" w:rsidRDefault="00BA1407">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3.3.3. Развивать человеческий капитал, предпринимательские компетенции и культуру предпринимательства </w:t>
      </w:r>
      <w:r w:rsidRPr="00535A4B">
        <w:rPr>
          <w:rFonts w:ascii="Times New Roman" w:hAnsi="Times New Roman"/>
          <w:b/>
          <w:bCs/>
          <w:color w:val="auto"/>
        </w:rPr>
        <w:br/>
        <w:t>в Томской области.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Ключевые направления и механизмы реализации: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реализация образовательных программ, акселераторов, инкубационных </w:t>
      </w:r>
      <w:r w:rsidR="00BA1407">
        <w:rPr>
          <w:rFonts w:ascii="Times New Roman" w:hAnsi="Times New Roman"/>
          <w:color w:val="auto"/>
          <w:sz w:val="26"/>
          <w:szCs w:val="26"/>
        </w:rPr>
        <w:br/>
      </w:r>
      <w:r w:rsidRPr="00BA1407">
        <w:rPr>
          <w:rFonts w:ascii="Times New Roman" w:hAnsi="Times New Roman"/>
          <w:color w:val="auto"/>
          <w:sz w:val="26"/>
          <w:szCs w:val="26"/>
        </w:rPr>
        <w:t>и практико</w:t>
      </w:r>
      <w:r w:rsidRPr="00BA1407">
        <w:rPr>
          <w:rFonts w:ascii="Times New Roman" w:hAnsi="Times New Roman"/>
          <w:color w:val="auto"/>
          <w:sz w:val="26"/>
          <w:szCs w:val="26"/>
        </w:rPr>
        <w:noBreakHyphen/>
        <w:t>ориентированных треков для начинающих и действующих предпринимателей с участием университетов, колледжей, АНО «Томский консорциум» и Центра опережающей профессиональной подготовки;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развитие программ молодежного, женского, технологического </w:t>
      </w:r>
      <w:r w:rsidR="00BA1407">
        <w:rPr>
          <w:rFonts w:ascii="Times New Roman" w:hAnsi="Times New Roman"/>
          <w:color w:val="auto"/>
          <w:sz w:val="26"/>
          <w:szCs w:val="26"/>
        </w:rPr>
        <w:br/>
      </w:r>
      <w:r w:rsidRPr="00BA1407">
        <w:rPr>
          <w:rFonts w:ascii="Times New Roman" w:hAnsi="Times New Roman"/>
          <w:color w:val="auto"/>
          <w:sz w:val="26"/>
          <w:szCs w:val="26"/>
        </w:rPr>
        <w:t>и социального предпринимательства, а также специализированных программ вовлечения в предпринимательскую деятельность участников СВО и граждан старшего возраста;</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поддержка предпринимательских сообществ, программ наставничества, деловых форумов, конкурсов, муниципальных мероприятий и иных форматов популяризации предпринимательской деятельности;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развитие системы акселерации и сопровождения предпринимательских проектов с применением лучших практик, наставничества и партнерства с бизнесом, доказавших результативность в развитии стартапов и экосистем предпринимательства;</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усиление роли образовательных организаций как центров генерации предпринимательских инициатив, прикладных решений и кадрового обеспечения сектора МСП.</w:t>
      </w:r>
    </w:p>
    <w:p w:rsidR="00BA1407" w:rsidRDefault="00BA1407">
      <w:pPr>
        <w:spacing w:after="160" w:line="259" w:lineRule="auto"/>
        <w:rPr>
          <w:b/>
          <w:bCs/>
          <w:sz w:val="28"/>
          <w:szCs w:val="28"/>
          <w:lang w:eastAsia="ar-SA"/>
        </w:rPr>
      </w:pPr>
      <w:r>
        <w:rPr>
          <w:b/>
          <w:bCs/>
        </w:rPr>
        <w:br w:type="page"/>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lastRenderedPageBreak/>
        <w:t>Задача 3.3.4. Сформировать «экспортный лифт» для субъектов малого и среднего предпринимательства как завершающую стадию региональной экосистемы поддержки бизнеса.</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Ключевые направления и механизмы реализации: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формирование единой системы поддержки выхода МСП на внешние рынки, включающей диагностику экспортной готовности, консультационное сопровождение, подготовку экспортной стратегии, помощь в сертификации </w:t>
      </w:r>
      <w:r w:rsidR="00630AA2">
        <w:rPr>
          <w:rFonts w:ascii="Times New Roman" w:hAnsi="Times New Roman"/>
          <w:color w:val="auto"/>
          <w:sz w:val="26"/>
          <w:szCs w:val="26"/>
        </w:rPr>
        <w:br/>
      </w:r>
      <w:r w:rsidRPr="00BA1407">
        <w:rPr>
          <w:rFonts w:ascii="Times New Roman" w:hAnsi="Times New Roman"/>
          <w:color w:val="auto"/>
          <w:sz w:val="26"/>
          <w:szCs w:val="26"/>
        </w:rPr>
        <w:t>и адаптации продукции к требованиям целевых рынков;</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реализация отраслевых экспортных акселераторов и специализированных треков для технологических, производственных и иных конкурентоспособных компаний, что соответствует лучшим практикам программ экспортного развития МСП;</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развитие сервисов Центра поддержки экспорта Томской области, логистических решений, правовой охраны результатов интеллектуальной деятельности и интеллектуальной собственности, цифрового сопровождения экспортных операций и участия субъектов МСП в международных выставках </w:t>
      </w:r>
      <w:r w:rsidR="00630AA2">
        <w:rPr>
          <w:rFonts w:ascii="Times New Roman" w:hAnsi="Times New Roman"/>
          <w:color w:val="auto"/>
          <w:sz w:val="26"/>
          <w:szCs w:val="26"/>
        </w:rPr>
        <w:br/>
      </w:r>
      <w:r w:rsidRPr="00BA1407">
        <w:rPr>
          <w:rFonts w:ascii="Times New Roman" w:hAnsi="Times New Roman"/>
          <w:color w:val="auto"/>
          <w:sz w:val="26"/>
          <w:szCs w:val="26"/>
        </w:rPr>
        <w:t>и бизнес</w:t>
      </w:r>
      <w:r w:rsidRPr="00BA1407">
        <w:rPr>
          <w:rFonts w:ascii="Times New Roman" w:hAnsi="Times New Roman"/>
          <w:color w:val="auto"/>
          <w:sz w:val="26"/>
          <w:szCs w:val="26"/>
        </w:rPr>
        <w:noBreakHyphen/>
        <w:t>миссиях;</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xml:space="preserve">— поддержка выхода субъектов МСП Томской области на рынки стран СНГ, Азии, Африки и Ближнего Востока, а также продвижение экспорта услуг </w:t>
      </w:r>
      <w:r w:rsidR="00630AA2">
        <w:rPr>
          <w:rFonts w:ascii="Times New Roman" w:hAnsi="Times New Roman"/>
          <w:color w:val="auto"/>
          <w:sz w:val="26"/>
          <w:szCs w:val="26"/>
        </w:rPr>
        <w:br/>
      </w:r>
      <w:r w:rsidRPr="00BA1407">
        <w:rPr>
          <w:rFonts w:ascii="Times New Roman" w:hAnsi="Times New Roman"/>
          <w:color w:val="auto"/>
          <w:sz w:val="26"/>
          <w:szCs w:val="26"/>
        </w:rPr>
        <w:t xml:space="preserve">и продукции несырьевого сектора под брендами «Сделано в России» и «Томск </w:t>
      </w:r>
      <w:r w:rsidR="00630AA2">
        <w:rPr>
          <w:rFonts w:ascii="Times New Roman" w:hAnsi="Times New Roman"/>
          <w:color w:val="auto"/>
          <w:sz w:val="26"/>
          <w:szCs w:val="26"/>
        </w:rPr>
        <w:t>–</w:t>
      </w:r>
      <w:r w:rsidRPr="00BA1407">
        <w:rPr>
          <w:rFonts w:ascii="Times New Roman" w:hAnsi="Times New Roman"/>
          <w:color w:val="auto"/>
          <w:sz w:val="26"/>
          <w:szCs w:val="26"/>
        </w:rPr>
        <w:t xml:space="preserve"> сердце Сибири»;</w:t>
      </w:r>
    </w:p>
    <w:p w:rsidR="00E618FE" w:rsidRPr="00BA1407" w:rsidRDefault="00800098">
      <w:pPr>
        <w:pStyle w:val="a4"/>
        <w:rPr>
          <w:rFonts w:ascii="Times New Roman" w:hAnsi="Times New Roman"/>
          <w:color w:val="auto"/>
          <w:sz w:val="26"/>
          <w:szCs w:val="26"/>
        </w:rPr>
      </w:pPr>
      <w:r w:rsidRPr="00BA1407">
        <w:rPr>
          <w:rFonts w:ascii="Times New Roman" w:hAnsi="Times New Roman"/>
          <w:color w:val="auto"/>
          <w:sz w:val="26"/>
          <w:szCs w:val="26"/>
        </w:rPr>
        <w:t>— приоритетное развитие экспорта ИТ</w:t>
      </w:r>
      <w:r w:rsidRPr="00BA1407">
        <w:rPr>
          <w:rFonts w:ascii="Times New Roman" w:hAnsi="Times New Roman"/>
          <w:color w:val="auto"/>
          <w:sz w:val="26"/>
          <w:szCs w:val="26"/>
        </w:rPr>
        <w:noBreakHyphen/>
        <w:t xml:space="preserve">услуг, образовательных </w:t>
      </w:r>
      <w:r w:rsidR="00630AA2">
        <w:rPr>
          <w:rFonts w:ascii="Times New Roman" w:hAnsi="Times New Roman"/>
          <w:color w:val="auto"/>
          <w:sz w:val="26"/>
          <w:szCs w:val="26"/>
        </w:rPr>
        <w:br/>
      </w:r>
      <w:r w:rsidRPr="00BA1407">
        <w:rPr>
          <w:rFonts w:ascii="Times New Roman" w:hAnsi="Times New Roman"/>
          <w:color w:val="auto"/>
          <w:sz w:val="26"/>
          <w:szCs w:val="26"/>
        </w:rPr>
        <w:t>и медицинских услуг, инженерных решений, а также продукции совместных кластерных проектов, ориентированных на внешние рынки.</w:t>
      </w:r>
    </w:p>
    <w:p w:rsidR="00E618FE" w:rsidRPr="00535A4B" w:rsidRDefault="00E618FE">
      <w:pPr>
        <w:pStyle w:val="a4"/>
        <w:rPr>
          <w:rFonts w:ascii="Times New Roman" w:hAnsi="Times New Roman"/>
          <w:color w:val="auto"/>
        </w:rPr>
      </w:pPr>
    </w:p>
    <w:p w:rsidR="00E618FE" w:rsidRPr="00535A4B" w:rsidRDefault="00800098">
      <w:pPr>
        <w:pStyle w:val="41"/>
        <w:rPr>
          <w:rFonts w:ascii="Times New Roman" w:eastAsia="Calibri" w:hAnsi="Times New Roman"/>
          <w:lang w:val="ru-RU"/>
        </w:rPr>
      </w:pPr>
      <w:r w:rsidRPr="00535A4B">
        <w:rPr>
          <w:rFonts w:ascii="Times New Roman" w:hAnsi="Times New Roman"/>
          <w:lang w:val="ru-RU"/>
        </w:rPr>
        <w:t>Целевые показатели:</w:t>
      </w:r>
      <w:r w:rsidRPr="00535A4B">
        <w:rPr>
          <w:rFonts w:ascii="Times New Roman" w:eastAsia="Calibri" w:hAnsi="Times New Roman"/>
          <w:lang w:val="ru-RU"/>
        </w:rPr>
        <w:t xml:space="preserve"> </w:t>
      </w:r>
    </w:p>
    <w:p w:rsidR="00E618FE" w:rsidRPr="00630AA2" w:rsidRDefault="00800098">
      <w:pPr>
        <w:pStyle w:val="aff"/>
        <w:rPr>
          <w:rFonts w:ascii="Times New Roman" w:eastAsia="Calibri" w:hAnsi="Times New Roman"/>
          <w:sz w:val="26"/>
          <w:szCs w:val="26"/>
          <w:lang w:val="ru-RU"/>
        </w:rPr>
      </w:pPr>
      <w:r w:rsidRPr="00630AA2">
        <w:rPr>
          <w:rFonts w:ascii="Times New Roman" w:hAnsi="Times New Roman"/>
          <w:sz w:val="26"/>
          <w:szCs w:val="26"/>
          <w:lang w:val="ru-RU"/>
        </w:rPr>
        <w:t xml:space="preserve">Таблица 11.4. Целевые показатели </w:t>
      </w:r>
      <w:r w:rsidRPr="00630AA2">
        <w:rPr>
          <w:rFonts w:ascii="Times New Roman" w:eastAsia="Calibri" w:hAnsi="Times New Roman"/>
          <w:sz w:val="26"/>
          <w:szCs w:val="26"/>
          <w:lang w:val="ru-RU"/>
        </w:rPr>
        <w:t>Стратегического приоритета 3.3. «</w:t>
      </w:r>
      <w:r w:rsidRPr="00630AA2">
        <w:rPr>
          <w:rFonts w:ascii="Times New Roman" w:hAnsi="Times New Roman"/>
          <w:sz w:val="26"/>
          <w:szCs w:val="26"/>
          <w:lang w:val="ru-RU"/>
        </w:rPr>
        <w:t>Развитие предпринимательства: от стартапа до лидера рынка</w:t>
      </w:r>
      <w:r w:rsidRPr="00630AA2">
        <w:rPr>
          <w:rFonts w:ascii="Times New Roman" w:eastAsia="Calibri" w:hAnsi="Times New Roman"/>
          <w:sz w:val="26"/>
          <w:szCs w:val="26"/>
          <w:lang w:val="ru-RU"/>
        </w:rPr>
        <w:t>»</w:t>
      </w:r>
    </w:p>
    <w:tbl>
      <w:tblPr>
        <w:tblStyle w:val="-14"/>
        <w:tblW w:w="9345" w:type="dxa"/>
        <w:tblLayout w:type="fixed"/>
        <w:tblCellMar>
          <w:top w:w="28" w:type="dxa"/>
          <w:bottom w:w="28" w:type="dxa"/>
        </w:tblCellMar>
        <w:tblLook w:val="04A0" w:firstRow="1" w:lastRow="0" w:firstColumn="1" w:lastColumn="0" w:noHBand="0" w:noVBand="1"/>
      </w:tblPr>
      <w:tblGrid>
        <w:gridCol w:w="4482"/>
        <w:gridCol w:w="1621"/>
        <w:gridCol w:w="1621"/>
        <w:gridCol w:w="1621"/>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8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Целевой показатель</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482"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Число субъектов МСП (включая ИП), тыс. ед.</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42,70</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45,90</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48,50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482"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 xml:space="preserve">Отношение среднемесячной заработной платы в малых и средних предприятиях </w:t>
            </w:r>
            <w:r w:rsidRPr="00535A4B">
              <w:rPr>
                <w:b w:val="0"/>
                <w:bCs w:val="0"/>
              </w:rPr>
              <w:br/>
              <w:t>к среднемесячной заработной плате в крупных и средних предприятиях, %</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64,5</w:t>
            </w:r>
            <w:r w:rsidRPr="00535A4B">
              <w:rPr>
                <w:lang w:val="en-US"/>
              </w:rPr>
              <w:t>0</w:t>
            </w:r>
            <w:r w:rsidRPr="00535A4B">
              <w:t xml:space="preserve"> (2024)</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68,00</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72,00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482"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b w:val="0"/>
                <w:bCs w:val="0"/>
              </w:rPr>
              <w:t>Темп роста дохода в расчете на одного работника субъекта малого и среднего предпринимательства,%</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128,10</w:t>
            </w:r>
          </w:p>
        </w:tc>
        <w:tc>
          <w:tcPr>
            <w:tcW w:w="16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140,00</w:t>
            </w:r>
          </w:p>
        </w:tc>
      </w:tr>
    </w:tbl>
    <w:p w:rsidR="00E618FE" w:rsidRPr="00535A4B" w:rsidRDefault="00E618FE">
      <w:pPr>
        <w:spacing w:after="160" w:line="259" w:lineRule="auto"/>
        <w:rPr>
          <w:rFonts w:eastAsia="Calibri"/>
          <w:b/>
          <w:bCs/>
          <w:sz w:val="28"/>
          <w:szCs w:val="26"/>
          <w:lang w:eastAsia="en-US" w:bidi="en-US"/>
        </w:rPr>
      </w:pPr>
      <w:bookmarkStart w:id="153" w:name="_Toc235810157"/>
    </w:p>
    <w:p w:rsidR="00E618FE" w:rsidRPr="00535A4B" w:rsidRDefault="00800098">
      <w:pPr>
        <w:pStyle w:val="21"/>
        <w:rPr>
          <w:rFonts w:ascii="Times New Roman" w:eastAsia="Calibri" w:hAnsi="Times New Roman" w:cs="Times New Roman"/>
        </w:rPr>
      </w:pPr>
      <w:bookmarkStart w:id="154" w:name="_Toc238554545"/>
      <w:r w:rsidRPr="00535A4B">
        <w:rPr>
          <w:rFonts w:ascii="Times New Roman" w:eastAsia="Calibri" w:hAnsi="Times New Roman" w:cs="Times New Roman"/>
        </w:rPr>
        <w:t>Стратегический приоритет 3.4. «</w:t>
      </w:r>
      <w:r w:rsidRPr="00535A4B">
        <w:rPr>
          <w:rFonts w:ascii="Times New Roman" w:eastAsia="Calibri" w:hAnsi="Times New Roman" w:cs="Times New Roman"/>
          <w:szCs w:val="28"/>
        </w:rPr>
        <w:t xml:space="preserve">Креативная экономика </w:t>
      </w:r>
      <w:r w:rsidRPr="00535A4B">
        <w:rPr>
          <w:rFonts w:ascii="Times New Roman" w:eastAsia="Calibri" w:hAnsi="Times New Roman" w:cs="Times New Roman"/>
          <w:szCs w:val="28"/>
        </w:rPr>
        <w:br/>
        <w:t>и индустрия гостеприимства Томской области</w:t>
      </w:r>
      <w:r w:rsidRPr="00535A4B">
        <w:rPr>
          <w:rFonts w:ascii="Times New Roman" w:eastAsia="Calibri" w:hAnsi="Times New Roman" w:cs="Times New Roman"/>
        </w:rPr>
        <w:t>»</w:t>
      </w:r>
      <w:bookmarkEnd w:id="153"/>
      <w:bookmarkEnd w:id="154"/>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xml:space="preserve">Стратегический приоритет направлен на превращение Томской области </w:t>
      </w:r>
      <w:r w:rsidR="00630AA2">
        <w:rPr>
          <w:rFonts w:ascii="Times New Roman" w:hAnsi="Times New Roman"/>
          <w:color w:val="auto"/>
          <w:sz w:val="26"/>
          <w:szCs w:val="26"/>
        </w:rPr>
        <w:br/>
      </w:r>
      <w:r w:rsidRPr="00630AA2">
        <w:rPr>
          <w:rFonts w:ascii="Times New Roman" w:hAnsi="Times New Roman"/>
          <w:color w:val="auto"/>
          <w:sz w:val="26"/>
          <w:szCs w:val="26"/>
        </w:rPr>
        <w:t xml:space="preserve">в один из ведущих центров креативной экономики и индустрии гостеприимства России, где университетский центр, городская среда и культурное наследие становятся источниками устойчивого экономического роста, занятости </w:t>
      </w:r>
      <w:r w:rsidR="00630AA2">
        <w:rPr>
          <w:rFonts w:ascii="Times New Roman" w:hAnsi="Times New Roman"/>
          <w:color w:val="auto"/>
          <w:sz w:val="26"/>
          <w:szCs w:val="26"/>
        </w:rPr>
        <w:br/>
      </w:r>
      <w:r w:rsidRPr="00630AA2">
        <w:rPr>
          <w:rFonts w:ascii="Times New Roman" w:hAnsi="Times New Roman"/>
          <w:color w:val="auto"/>
          <w:sz w:val="26"/>
          <w:szCs w:val="26"/>
        </w:rPr>
        <w:lastRenderedPageBreak/>
        <w:t xml:space="preserve">и повышения качества жизни. Томская область развивает «экономику впечатлений», в которой креативные индустрии (гастрономия, культурное наследие, отдых </w:t>
      </w:r>
      <w:r w:rsidR="00470C6C">
        <w:rPr>
          <w:rFonts w:ascii="Times New Roman" w:hAnsi="Times New Roman"/>
          <w:color w:val="auto"/>
          <w:sz w:val="26"/>
          <w:szCs w:val="26"/>
        </w:rPr>
        <w:br/>
      </w:r>
      <w:r w:rsidRPr="00630AA2">
        <w:rPr>
          <w:rFonts w:ascii="Times New Roman" w:hAnsi="Times New Roman"/>
          <w:color w:val="auto"/>
          <w:sz w:val="26"/>
          <w:szCs w:val="26"/>
        </w:rPr>
        <w:t>и развлечение и др.), туризм и события формируют современный образ региона, усиливают его привлекательность для жизни, работы, учебы и отдыха.</w:t>
      </w:r>
    </w:p>
    <w:p w:rsidR="00E618FE" w:rsidRPr="00630AA2" w:rsidRDefault="00800098">
      <w:pPr>
        <w:pStyle w:val="a4"/>
        <w:rPr>
          <w:rFonts w:ascii="Times New Roman" w:hAnsi="Times New Roman"/>
          <w:sz w:val="26"/>
          <w:szCs w:val="26"/>
        </w:rPr>
      </w:pPr>
      <w:r w:rsidRPr="00630AA2">
        <w:rPr>
          <w:rFonts w:ascii="Times New Roman" w:hAnsi="Times New Roman"/>
          <w:color w:val="auto"/>
          <w:sz w:val="26"/>
          <w:szCs w:val="26"/>
        </w:rPr>
        <w:t xml:space="preserve">Приоритет реализуется через участие региона в национальных проектах «Эффективная и конкурентная экономика» (креативная экономика, МСП), «Молодежь и дети» (самореализация, предпринимательство) и «Туризм </w:t>
      </w:r>
      <w:r w:rsidR="00630AA2">
        <w:rPr>
          <w:rFonts w:ascii="Times New Roman" w:hAnsi="Times New Roman"/>
          <w:color w:val="auto"/>
          <w:sz w:val="26"/>
          <w:szCs w:val="26"/>
        </w:rPr>
        <w:br/>
      </w:r>
      <w:r w:rsidRPr="00630AA2">
        <w:rPr>
          <w:rFonts w:ascii="Times New Roman" w:hAnsi="Times New Roman"/>
          <w:color w:val="auto"/>
          <w:sz w:val="26"/>
          <w:szCs w:val="26"/>
        </w:rPr>
        <w:t xml:space="preserve">и гостеприимство» (экономика впечатлений, событийный и гастрономический туризм). Приоритет опирается на положения Федерального закона от 08.08.2024 </w:t>
      </w:r>
      <w:r w:rsidR="00630AA2">
        <w:rPr>
          <w:rFonts w:ascii="Times New Roman" w:hAnsi="Times New Roman"/>
          <w:color w:val="auto"/>
          <w:sz w:val="26"/>
          <w:szCs w:val="26"/>
        </w:rPr>
        <w:br/>
      </w:r>
      <w:r w:rsidRPr="00630AA2">
        <w:rPr>
          <w:rFonts w:ascii="Times New Roman" w:hAnsi="Times New Roman"/>
          <w:color w:val="auto"/>
          <w:sz w:val="26"/>
          <w:szCs w:val="26"/>
        </w:rPr>
        <w:t xml:space="preserve">№ 330-ФЗ «О развитии креативных (творческих) индустрий в Российской Федерации» и распоряжение </w:t>
      </w:r>
      <w:r w:rsidR="00630AA2">
        <w:rPr>
          <w:rFonts w:ascii="Times New Roman" w:hAnsi="Times New Roman"/>
          <w:color w:val="auto"/>
          <w:sz w:val="26"/>
          <w:szCs w:val="26"/>
        </w:rPr>
        <w:t>Правительства РФ от 20.09.2021 №</w:t>
      </w:r>
      <w:r w:rsidRPr="00630AA2">
        <w:rPr>
          <w:rFonts w:ascii="Times New Roman" w:hAnsi="Times New Roman"/>
          <w:color w:val="auto"/>
          <w:sz w:val="26"/>
          <w:szCs w:val="26"/>
        </w:rPr>
        <w:t xml:space="preserve"> 2613-р </w:t>
      </w:r>
      <w:r w:rsidR="00630AA2">
        <w:rPr>
          <w:rFonts w:ascii="Times New Roman" w:hAnsi="Times New Roman"/>
          <w:color w:val="auto"/>
          <w:sz w:val="26"/>
          <w:szCs w:val="26"/>
        </w:rPr>
        <w:br/>
      </w:r>
      <w:r w:rsidRPr="00630AA2">
        <w:rPr>
          <w:rFonts w:ascii="Times New Roman" w:hAnsi="Times New Roman"/>
          <w:color w:val="auto"/>
          <w:sz w:val="26"/>
          <w:szCs w:val="26"/>
        </w:rPr>
        <w:t xml:space="preserve">«Об утверждении Концепции развития креативных (творческих) индустрий </w:t>
      </w:r>
      <w:r w:rsidR="00470C6C">
        <w:rPr>
          <w:rFonts w:ascii="Times New Roman" w:hAnsi="Times New Roman"/>
          <w:color w:val="auto"/>
          <w:sz w:val="26"/>
          <w:szCs w:val="26"/>
        </w:rPr>
        <w:br/>
      </w:r>
      <w:r w:rsidRPr="00630AA2">
        <w:rPr>
          <w:rFonts w:ascii="Times New Roman" w:hAnsi="Times New Roman"/>
          <w:color w:val="auto"/>
          <w:sz w:val="26"/>
          <w:szCs w:val="26"/>
        </w:rPr>
        <w:t>и механизмов осуществления их государственной поддержки до 2030 года».</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xml:space="preserve">Финансирование мероприятий в рамках приоритета обеспечивается за счет средств федерального, областного и местных бюджетов, инструментов поддержки субъектов МСП и креативных индустрий, программ институтов развития, а также внебюджетных инвестиций, в том числе частных инвестиций и партнерств </w:t>
      </w:r>
      <w:r w:rsidR="00470C6C">
        <w:rPr>
          <w:rFonts w:ascii="Times New Roman" w:hAnsi="Times New Roman"/>
          <w:color w:val="auto"/>
          <w:sz w:val="26"/>
          <w:szCs w:val="26"/>
        </w:rPr>
        <w:br/>
      </w:r>
      <w:r w:rsidRPr="00630AA2">
        <w:rPr>
          <w:rFonts w:ascii="Times New Roman" w:hAnsi="Times New Roman"/>
          <w:color w:val="auto"/>
          <w:sz w:val="26"/>
          <w:szCs w:val="26"/>
        </w:rPr>
        <w:t>с бизнесом в сфере креативной экономики, туризма и гостеприимства.</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Основания и опорные преимущества.</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xml:space="preserve">Томская область уже входит в число четырех ведущих креативных регионов России по рейтингу креативных регионов России НИУ ВШЭ в 2024 году. Креативный сектор региона включает около 2,4 тыс. хозяйствующих субъектов, </w:t>
      </w:r>
      <w:r w:rsidR="00470C6C">
        <w:rPr>
          <w:rFonts w:ascii="Times New Roman" w:hAnsi="Times New Roman"/>
          <w:color w:val="auto"/>
          <w:sz w:val="26"/>
          <w:szCs w:val="26"/>
        </w:rPr>
        <w:br/>
      </w:r>
      <w:r w:rsidRPr="00630AA2">
        <w:rPr>
          <w:rFonts w:ascii="Times New Roman" w:hAnsi="Times New Roman"/>
          <w:color w:val="auto"/>
          <w:sz w:val="26"/>
          <w:szCs w:val="26"/>
        </w:rPr>
        <w:t>13,7 тыс. работников и не менее 10 тыс. самозанятых, формируя 2,7% ВРП и более 1,8 млрд рублей налогов в 2024 году. Ключевыми креативными индустриями выступают программное обеспечение и видеоигры, архитектура и урбанистика, дизайн, мода (включая ювелирное дело), медиа и СМИ, реклама и пиар, культурное наследие, народные художественные промыслы и ремесла, и гастрономия.</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Опорными центрами реализации этого приоритета выступают:</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проектный офис «Креативные индустрии Томской области»;</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университетский и научно</w:t>
      </w:r>
      <w:r w:rsidRPr="00630AA2">
        <w:rPr>
          <w:rFonts w:ascii="Times New Roman" w:hAnsi="Times New Roman"/>
          <w:color w:val="auto"/>
          <w:sz w:val="26"/>
          <w:szCs w:val="26"/>
        </w:rPr>
        <w:noBreakHyphen/>
        <w:t>образовательный комплексы;</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креативные пространства и кластеры, арт</w:t>
      </w:r>
      <w:r w:rsidRPr="00630AA2">
        <w:rPr>
          <w:rFonts w:ascii="Times New Roman" w:hAnsi="Times New Roman"/>
          <w:color w:val="auto"/>
          <w:sz w:val="26"/>
          <w:szCs w:val="26"/>
        </w:rPr>
        <w:noBreakHyphen/>
        <w:t>резиденции и фестивальные площадки;</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лидеры туристской индустрии.</w:t>
      </w:r>
    </w:p>
    <w:p w:rsidR="00E618FE" w:rsidRPr="00630AA2" w:rsidRDefault="00800098">
      <w:pPr>
        <w:pStyle w:val="a4"/>
        <w:rPr>
          <w:rFonts w:ascii="Times New Roman" w:hAnsi="Times New Roman"/>
          <w:color w:val="auto"/>
          <w:sz w:val="26"/>
          <w:szCs w:val="26"/>
        </w:rPr>
      </w:pPr>
      <w:r w:rsidRPr="00630AA2">
        <w:rPr>
          <w:rFonts w:ascii="Times New Roman" w:hAnsi="Times New Roman"/>
          <w:color w:val="auto"/>
          <w:sz w:val="26"/>
          <w:szCs w:val="26"/>
        </w:rPr>
        <w:t xml:space="preserve">К 2036 году реализация Стратегического приоритета 3.4. должна обеспечить закрепление статуса Томской области как одного из ведущих центров креативной экономики России, не менее чем двукратный рост вклада креативных индустрий </w:t>
      </w:r>
      <w:r w:rsidR="00470C6C">
        <w:rPr>
          <w:rFonts w:ascii="Times New Roman" w:hAnsi="Times New Roman"/>
          <w:color w:val="auto"/>
          <w:sz w:val="26"/>
          <w:szCs w:val="26"/>
        </w:rPr>
        <w:br/>
      </w:r>
      <w:r w:rsidRPr="00630AA2">
        <w:rPr>
          <w:rFonts w:ascii="Times New Roman" w:hAnsi="Times New Roman"/>
          <w:color w:val="auto"/>
          <w:sz w:val="26"/>
          <w:szCs w:val="26"/>
        </w:rPr>
        <w:t>в ВРП, занятость и налоговую базу по сравнению с уровнем 2024 года, значительный рост числа креативных МСП и самозанятых, а также устойчивое увеличение турпотока за счет событийного, культурно</w:t>
      </w:r>
      <w:r w:rsidRPr="00630AA2">
        <w:rPr>
          <w:rFonts w:ascii="Times New Roman" w:hAnsi="Times New Roman"/>
          <w:color w:val="auto"/>
          <w:sz w:val="26"/>
          <w:szCs w:val="26"/>
        </w:rPr>
        <w:noBreakHyphen/>
        <w:t>познавательного, гастрономического, сельского, промышленного, экологического и научно</w:t>
      </w:r>
      <w:r w:rsidRPr="00630AA2">
        <w:rPr>
          <w:rFonts w:ascii="Times New Roman" w:hAnsi="Times New Roman"/>
          <w:color w:val="auto"/>
          <w:sz w:val="26"/>
          <w:szCs w:val="26"/>
        </w:rPr>
        <w:noBreakHyphen/>
        <w:t>популярного туризма. </w:t>
      </w:r>
    </w:p>
    <w:p w:rsidR="00E618FE" w:rsidRPr="00535A4B" w:rsidRDefault="00E618FE">
      <w:pPr>
        <w:pStyle w:val="a4"/>
        <w:rPr>
          <w:rFonts w:ascii="Times New Roman" w:hAnsi="Times New Roman"/>
          <w:color w:val="auto"/>
        </w:rPr>
      </w:pPr>
    </w:p>
    <w:tbl>
      <w:tblPr>
        <w:tblStyle w:val="-14"/>
        <w:tblW w:w="9489" w:type="dxa"/>
        <w:tblLayout w:type="fixed"/>
        <w:tblCellMar>
          <w:top w:w="28" w:type="dxa"/>
          <w:bottom w:w="28" w:type="dxa"/>
        </w:tblCellMar>
        <w:tblLook w:val="04A0" w:firstRow="1" w:lastRow="0" w:firstColumn="1" w:lastColumn="0" w:noHBand="0" w:noVBand="1"/>
      </w:tblPr>
      <w:tblGrid>
        <w:gridCol w:w="2376"/>
        <w:gridCol w:w="992"/>
        <w:gridCol w:w="992"/>
        <w:gridCol w:w="993"/>
        <w:gridCol w:w="992"/>
        <w:gridCol w:w="1134"/>
        <w:gridCol w:w="992"/>
        <w:gridCol w:w="1018"/>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Целевой показатель</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rPr>
              <w:t>2026 г.</w:t>
            </w:r>
          </w:p>
        </w:tc>
        <w:tc>
          <w:tcPr>
            <w:tcW w:w="9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rPr>
              <w:t>2027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rPr>
              <w:t>2028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2029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01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креативных индустрий в ВРП, %</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2,70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(2024)</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2,9</w:t>
            </w:r>
          </w:p>
        </w:tc>
        <w:tc>
          <w:tcPr>
            <w:tcW w:w="9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3,1</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3,3</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3,5</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3,8</w:t>
            </w:r>
          </w:p>
        </w:tc>
        <w:tc>
          <w:tcPr>
            <w:tcW w:w="101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w:t>
            </w:r>
          </w:p>
        </w:tc>
      </w:tr>
    </w:tbl>
    <w:p w:rsidR="00E618FE" w:rsidRPr="00535A4B" w:rsidRDefault="00800098">
      <w:pPr>
        <w:pStyle w:val="41"/>
        <w:rPr>
          <w:rFonts w:ascii="Times New Roman" w:hAnsi="Times New Roman"/>
          <w:lang w:val="ru-RU"/>
        </w:rPr>
      </w:pPr>
      <w:r w:rsidRPr="00535A4B">
        <w:rPr>
          <w:rFonts w:ascii="Times New Roman" w:hAnsi="Times New Roman"/>
          <w:lang w:val="ru-RU"/>
        </w:rPr>
        <w:lastRenderedPageBreak/>
        <w:t>Задачи:</w:t>
      </w: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3.4.1. Развивать сетевые механизмы поддержки креативного бизнеса в приоритетных сферах.</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 реализации: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программное обеспечение и видеоигры (ПО, геймдев, цифровой </w:t>
      </w:r>
      <w:r w:rsidR="00470C6C">
        <w:rPr>
          <w:rFonts w:ascii="Times New Roman" w:hAnsi="Times New Roman"/>
          <w:color w:val="auto"/>
          <w:sz w:val="26"/>
          <w:szCs w:val="26"/>
        </w:rPr>
        <w:br/>
      </w:r>
      <w:r w:rsidRPr="00470C6C">
        <w:rPr>
          <w:rFonts w:ascii="Times New Roman" w:hAnsi="Times New Roman"/>
          <w:color w:val="auto"/>
          <w:sz w:val="26"/>
          <w:szCs w:val="26"/>
        </w:rPr>
        <w:t>и мультимедийный контент, IT</w:t>
      </w:r>
      <w:r w:rsidRPr="00470C6C">
        <w:rPr>
          <w:rFonts w:ascii="Times New Roman" w:hAnsi="Times New Roman"/>
          <w:color w:val="auto"/>
          <w:sz w:val="26"/>
          <w:szCs w:val="26"/>
        </w:rPr>
        <w:noBreakHyphen/>
        <w:t>решения для креативного рынка);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архитектура и урбанистика, дизайн, (архитектура, ревитализация исторической застройки, средовой и промышленный дизайн);</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мода (включая ювелирное дело), графический и предметный дизайн (авторская мода, графдизайн, предметный дизайн, сувенирные и бренд</w:t>
      </w:r>
      <w:r w:rsidRPr="00470C6C">
        <w:rPr>
          <w:rFonts w:ascii="Times New Roman" w:hAnsi="Times New Roman"/>
          <w:color w:val="auto"/>
          <w:sz w:val="26"/>
          <w:szCs w:val="26"/>
        </w:rPr>
        <w:noBreakHyphen/>
        <w:t>продукты);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медиа и СМИ, реклама и пиар (видеопродакшн, анимация, новые медиа, брендинг, реклама, пиар, культурные и деловые события);</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гастрономия и локальные продукты (региональная кухня, гастрокварталы, фестивали еды, локальные фуд</w:t>
      </w:r>
      <w:r w:rsidRPr="00470C6C">
        <w:rPr>
          <w:rFonts w:ascii="Times New Roman" w:hAnsi="Times New Roman"/>
          <w:color w:val="auto"/>
          <w:sz w:val="26"/>
          <w:szCs w:val="26"/>
        </w:rPr>
        <w:noBreakHyphen/>
        <w:t>бренды);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народные художественные промыслы и ремесла, и культурное наследие (ремесла, промыслы, креативное использование наследия, культурные маршруты).</w:t>
      </w:r>
    </w:p>
    <w:p w:rsidR="00470C6C" w:rsidRDefault="00470C6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3.4.2. Создать устойчивую городскую инфраструктуру креативной экономики: сеть креативных пространств, исторических кварталов и общественных пространств, адаптированных </w:t>
      </w:r>
      <w:r w:rsidRPr="00535A4B">
        <w:rPr>
          <w:rFonts w:ascii="Times New Roman" w:hAnsi="Times New Roman"/>
          <w:b/>
          <w:bCs/>
          <w:color w:val="auto"/>
        </w:rPr>
        <w:br/>
        <w:t>под креативный бизнес и событийную деятельность.</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развитие городской сети креативных пространств («Пенаты», «Лампочка», университетские центры дизайна и креативных индустрий, арт</w:t>
      </w:r>
      <w:r w:rsidRPr="00470C6C">
        <w:rPr>
          <w:rFonts w:ascii="Times New Roman" w:hAnsi="Times New Roman"/>
          <w:color w:val="auto"/>
          <w:sz w:val="26"/>
          <w:szCs w:val="26"/>
        </w:rPr>
        <w:noBreakHyphen/>
        <w:t>пространство «Дом Культур» и другие площадки) как базовой инфраструктуры креативной экономики Томска;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формирование креативных кварталов на базе объектов культурного наследия и обще</w:t>
      </w:r>
      <w:r w:rsidR="00470C6C">
        <w:rPr>
          <w:rFonts w:ascii="Times New Roman" w:hAnsi="Times New Roman"/>
          <w:color w:val="auto"/>
          <w:sz w:val="26"/>
          <w:szCs w:val="26"/>
        </w:rPr>
        <w:t>ственных пространств г. Томска –</w:t>
      </w:r>
      <w:r w:rsidRPr="00470C6C">
        <w:rPr>
          <w:rFonts w:ascii="Times New Roman" w:hAnsi="Times New Roman"/>
          <w:color w:val="auto"/>
          <w:sz w:val="26"/>
          <w:szCs w:val="26"/>
        </w:rPr>
        <w:t xml:space="preserve"> модельного квартала </w:t>
      </w:r>
      <w:r w:rsidR="00470C6C">
        <w:rPr>
          <w:rFonts w:ascii="Times New Roman" w:hAnsi="Times New Roman"/>
          <w:color w:val="auto"/>
          <w:sz w:val="26"/>
          <w:szCs w:val="26"/>
        </w:rPr>
        <w:br/>
      </w:r>
      <w:r w:rsidRPr="00470C6C">
        <w:rPr>
          <w:rFonts w:ascii="Times New Roman" w:hAnsi="Times New Roman"/>
          <w:color w:val="auto"/>
          <w:sz w:val="26"/>
          <w:szCs w:val="26"/>
        </w:rPr>
        <w:t>с фэшн</w:t>
      </w:r>
      <w:r w:rsidRPr="00470C6C">
        <w:rPr>
          <w:rFonts w:ascii="Times New Roman" w:hAnsi="Times New Roman"/>
          <w:color w:val="auto"/>
          <w:sz w:val="26"/>
          <w:szCs w:val="26"/>
        </w:rPr>
        <w:noBreakHyphen/>
        <w:t>акселератором, гастрокварталом, ИТ</w:t>
      </w:r>
      <w:r w:rsidRPr="00470C6C">
        <w:rPr>
          <w:rFonts w:ascii="Times New Roman" w:hAnsi="Times New Roman"/>
          <w:color w:val="auto"/>
          <w:sz w:val="26"/>
          <w:szCs w:val="26"/>
        </w:rPr>
        <w:noBreakHyphen/>
        <w:t xml:space="preserve"> и медиа</w:t>
      </w:r>
      <w:r w:rsidRPr="00470C6C">
        <w:rPr>
          <w:rFonts w:ascii="Times New Roman" w:hAnsi="Times New Roman"/>
          <w:color w:val="auto"/>
          <w:sz w:val="26"/>
          <w:szCs w:val="26"/>
        </w:rPr>
        <w:noBreakHyphen/>
        <w:t>пространствами, арт</w:t>
      </w:r>
      <w:r w:rsidRPr="00470C6C">
        <w:rPr>
          <w:rFonts w:ascii="Times New Roman" w:hAnsi="Times New Roman"/>
          <w:color w:val="auto"/>
          <w:sz w:val="26"/>
          <w:szCs w:val="26"/>
        </w:rPr>
        <w:noBreakHyphen/>
        <w:t>резиденциями, ремесленными мастерскими и образовательными форматами;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развитие региональной сети молодежных центров нового формата («Дом молодежи», «ПроСтранство», «Гравитация», «Наше время») как точек входа </w:t>
      </w:r>
      <w:r w:rsidR="00470C6C">
        <w:rPr>
          <w:rFonts w:ascii="Times New Roman" w:hAnsi="Times New Roman"/>
          <w:color w:val="auto"/>
          <w:sz w:val="26"/>
          <w:szCs w:val="26"/>
        </w:rPr>
        <w:br/>
      </w:r>
      <w:r w:rsidRPr="00470C6C">
        <w:rPr>
          <w:rFonts w:ascii="Times New Roman" w:hAnsi="Times New Roman"/>
          <w:color w:val="auto"/>
          <w:sz w:val="26"/>
          <w:szCs w:val="26"/>
        </w:rPr>
        <w:t>для молодежи в креативные индустрии и событийные форматы;</w:t>
      </w:r>
    </w:p>
    <w:p w:rsidR="00E618FE" w:rsidRPr="00470C6C" w:rsidRDefault="00800098">
      <w:pPr>
        <w:pStyle w:val="a4"/>
        <w:rPr>
          <w:rFonts w:ascii="Times New Roman" w:hAnsi="Times New Roman"/>
          <w:b/>
          <w:bCs/>
          <w:color w:val="auto"/>
          <w:sz w:val="26"/>
          <w:szCs w:val="26"/>
        </w:rPr>
      </w:pPr>
      <w:r w:rsidRPr="00470C6C">
        <w:rPr>
          <w:rFonts w:ascii="Times New Roman" w:hAnsi="Times New Roman"/>
          <w:color w:val="auto"/>
          <w:sz w:val="26"/>
          <w:szCs w:val="26"/>
        </w:rPr>
        <w:t>— развитие школ креативных индустрий и центров цифрового образования детей «IT</w:t>
      </w:r>
      <w:r w:rsidRPr="00470C6C">
        <w:rPr>
          <w:rFonts w:ascii="Times New Roman" w:hAnsi="Times New Roman"/>
          <w:color w:val="auto"/>
          <w:sz w:val="26"/>
          <w:szCs w:val="26"/>
        </w:rPr>
        <w:noBreakHyphen/>
        <w:t>куб» как стартовой ступени для будущих участников креативной экономики.</w:t>
      </w:r>
    </w:p>
    <w:p w:rsidR="00470C6C" w:rsidRDefault="00470C6C">
      <w:pPr>
        <w:pStyle w:val="a4"/>
        <w:rPr>
          <w:rFonts w:ascii="Times New Roman" w:hAnsi="Times New Roman"/>
          <w:b/>
          <w:bCs/>
          <w:color w:val="auto"/>
        </w:rPr>
      </w:pPr>
    </w:p>
    <w:p w:rsidR="00E618FE" w:rsidRPr="00470C6C" w:rsidRDefault="00800098">
      <w:pPr>
        <w:pStyle w:val="a4"/>
        <w:rPr>
          <w:rFonts w:ascii="Times New Roman" w:hAnsi="Times New Roman"/>
          <w:color w:val="auto"/>
          <w:sz w:val="26"/>
          <w:szCs w:val="26"/>
        </w:rPr>
      </w:pPr>
      <w:r w:rsidRPr="00535A4B">
        <w:rPr>
          <w:rFonts w:ascii="Times New Roman" w:hAnsi="Times New Roman"/>
          <w:b/>
          <w:bCs/>
          <w:color w:val="auto"/>
        </w:rPr>
        <w:t>Задача 3.4.3. Обеспечить университетский контур креативной экономики и непрерывные «траектории роста» для молодежи</w:t>
      </w:r>
      <w:r w:rsidRPr="00535A4B">
        <w:rPr>
          <w:rFonts w:ascii="Times New Roman" w:hAnsi="Times New Roman"/>
          <w:color w:val="auto"/>
        </w:rPr>
        <w:t xml:space="preserve">: </w:t>
      </w:r>
      <w:r w:rsidRPr="00535A4B">
        <w:rPr>
          <w:rFonts w:ascii="Times New Roman" w:hAnsi="Times New Roman"/>
          <w:color w:val="auto"/>
        </w:rPr>
        <w:br/>
      </w:r>
      <w:r w:rsidRPr="00470C6C">
        <w:rPr>
          <w:rFonts w:ascii="Times New Roman" w:hAnsi="Times New Roman"/>
          <w:color w:val="auto"/>
          <w:sz w:val="26"/>
          <w:szCs w:val="26"/>
        </w:rPr>
        <w:t xml:space="preserve">«школа — СПО/вуз — проектная команда — резидент — предприниматель» </w:t>
      </w:r>
      <w:r w:rsidRPr="00470C6C">
        <w:rPr>
          <w:rFonts w:ascii="Times New Roman" w:hAnsi="Times New Roman"/>
          <w:color w:val="auto"/>
          <w:sz w:val="26"/>
          <w:szCs w:val="26"/>
        </w:rPr>
        <w:br/>
        <w:t>в креативных индустриях.</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реализация проекта Сибирского центра дизайна ТГУ, Школы креативных индустрий, «Фестиваля креативных индустрий» и других образовательных </w:t>
      </w:r>
      <w:r w:rsidR="00470C6C">
        <w:rPr>
          <w:rFonts w:ascii="Times New Roman" w:hAnsi="Times New Roman"/>
          <w:color w:val="auto"/>
          <w:sz w:val="26"/>
          <w:szCs w:val="26"/>
        </w:rPr>
        <w:br/>
      </w:r>
      <w:r w:rsidRPr="00470C6C">
        <w:rPr>
          <w:rFonts w:ascii="Times New Roman" w:hAnsi="Times New Roman"/>
          <w:color w:val="auto"/>
          <w:sz w:val="26"/>
          <w:szCs w:val="26"/>
        </w:rPr>
        <w:t>и проектных программ;</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развитие практико</w:t>
      </w:r>
      <w:r w:rsidRPr="00470C6C">
        <w:rPr>
          <w:rFonts w:ascii="Times New Roman" w:hAnsi="Times New Roman"/>
          <w:color w:val="auto"/>
          <w:sz w:val="26"/>
          <w:szCs w:val="26"/>
        </w:rPr>
        <w:noBreakHyphen/>
        <w:t xml:space="preserve">ориентированных образовательных маршрутов </w:t>
      </w:r>
      <w:r w:rsidR="00470C6C">
        <w:rPr>
          <w:rFonts w:ascii="Times New Roman" w:hAnsi="Times New Roman"/>
          <w:color w:val="auto"/>
          <w:sz w:val="26"/>
          <w:szCs w:val="26"/>
        </w:rPr>
        <w:br/>
      </w:r>
      <w:r w:rsidRPr="00470C6C">
        <w:rPr>
          <w:rFonts w:ascii="Times New Roman" w:hAnsi="Times New Roman"/>
          <w:color w:val="auto"/>
          <w:sz w:val="26"/>
          <w:szCs w:val="26"/>
        </w:rPr>
        <w:t xml:space="preserve">и проектных лабораторий, где студенты и школьники работают над реальными </w:t>
      </w:r>
      <w:r w:rsidRPr="00470C6C">
        <w:rPr>
          <w:rFonts w:ascii="Times New Roman" w:hAnsi="Times New Roman"/>
          <w:color w:val="auto"/>
          <w:sz w:val="26"/>
          <w:szCs w:val="26"/>
        </w:rPr>
        <w:lastRenderedPageBreak/>
        <w:t>заказами в сферах дизайна, медиа, архитектуры, гастрономии, ремесел и цифрового контента;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увязка выпускных проектов, студенческих студий и лабораторий </w:t>
      </w:r>
      <w:r w:rsidR="00470C6C">
        <w:rPr>
          <w:rFonts w:ascii="Times New Roman" w:hAnsi="Times New Roman"/>
          <w:color w:val="auto"/>
          <w:sz w:val="26"/>
          <w:szCs w:val="26"/>
        </w:rPr>
        <w:br/>
      </w:r>
      <w:r w:rsidRPr="00470C6C">
        <w:rPr>
          <w:rFonts w:ascii="Times New Roman" w:hAnsi="Times New Roman"/>
          <w:color w:val="auto"/>
          <w:sz w:val="26"/>
          <w:szCs w:val="26"/>
        </w:rPr>
        <w:t>с возможностью резидентства в креативных пространствах и получения поддержки через инфраструктуру МСП;</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реализация стратегическ</w:t>
      </w:r>
      <w:r w:rsidR="00470C6C">
        <w:rPr>
          <w:rFonts w:ascii="Times New Roman" w:hAnsi="Times New Roman"/>
          <w:color w:val="auto"/>
          <w:sz w:val="26"/>
          <w:szCs w:val="26"/>
        </w:rPr>
        <w:t>ой инициативы «Томская область –</w:t>
      </w:r>
      <w:r w:rsidRPr="00470C6C">
        <w:rPr>
          <w:rFonts w:ascii="Times New Roman" w:hAnsi="Times New Roman"/>
          <w:color w:val="auto"/>
          <w:sz w:val="26"/>
          <w:szCs w:val="26"/>
        </w:rPr>
        <w:t xml:space="preserve"> регион твоих возможностей» (цифровая платформа сервисов для молодежи: гранты на стартапы, субсидии на дополнительное образование, сертификаты на стажировки) с акцентом на креативные индустрии;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проведение регионального этапа чемпионата по профессиональному мастерству «Профессионалы» и иных конкурсов по компетенциям, востребованным в креативной экономике.</w:t>
      </w:r>
    </w:p>
    <w:p w:rsidR="00470C6C" w:rsidRDefault="00470C6C">
      <w:pPr>
        <w:pStyle w:val="a4"/>
        <w:ind w:firstLine="708"/>
        <w:rPr>
          <w:rFonts w:ascii="Times New Roman" w:hAnsi="Times New Roman"/>
          <w:b/>
          <w:bCs/>
          <w:color w:val="auto"/>
        </w:rPr>
      </w:pPr>
    </w:p>
    <w:p w:rsidR="00E618FE" w:rsidRPr="00535A4B" w:rsidRDefault="00800098">
      <w:pPr>
        <w:pStyle w:val="a4"/>
        <w:ind w:firstLine="708"/>
        <w:rPr>
          <w:rFonts w:ascii="Times New Roman" w:hAnsi="Times New Roman"/>
          <w:color w:val="auto"/>
        </w:rPr>
      </w:pPr>
      <w:r w:rsidRPr="00535A4B">
        <w:rPr>
          <w:rFonts w:ascii="Times New Roman" w:hAnsi="Times New Roman"/>
          <w:b/>
          <w:bCs/>
          <w:color w:val="auto"/>
        </w:rPr>
        <w:t>Задача 3.4.4. Поддерживать креативный сектор в сфере культуры.</w:t>
      </w:r>
    </w:p>
    <w:p w:rsidR="00E618FE" w:rsidRPr="00470C6C" w:rsidRDefault="00800098">
      <w:pPr>
        <w:pStyle w:val="a4"/>
        <w:ind w:firstLine="708"/>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 реализации:</w:t>
      </w:r>
    </w:p>
    <w:p w:rsidR="00E618FE" w:rsidRPr="00470C6C" w:rsidRDefault="00800098">
      <w:pPr>
        <w:pStyle w:val="a4"/>
        <w:ind w:firstLine="708"/>
        <w:rPr>
          <w:rFonts w:ascii="Times New Roman" w:hAnsi="Times New Roman"/>
          <w:color w:val="auto"/>
          <w:sz w:val="26"/>
          <w:szCs w:val="26"/>
        </w:rPr>
      </w:pPr>
      <w:r w:rsidRPr="00470C6C">
        <w:rPr>
          <w:rFonts w:ascii="Times New Roman" w:hAnsi="Times New Roman"/>
          <w:color w:val="auto"/>
          <w:sz w:val="26"/>
          <w:szCs w:val="26"/>
        </w:rPr>
        <w:t xml:space="preserve">— развитие функционирующих и создание новых школ креативных индустрий в регионе; </w:t>
      </w:r>
    </w:p>
    <w:p w:rsidR="00E618FE" w:rsidRPr="00470C6C" w:rsidRDefault="00800098">
      <w:pPr>
        <w:pStyle w:val="a4"/>
        <w:ind w:firstLine="708"/>
        <w:rPr>
          <w:rFonts w:ascii="Times New Roman" w:hAnsi="Times New Roman"/>
          <w:color w:val="auto"/>
          <w:sz w:val="26"/>
          <w:szCs w:val="26"/>
        </w:rPr>
      </w:pPr>
      <w:r w:rsidRPr="00470C6C">
        <w:rPr>
          <w:rFonts w:ascii="Times New Roman" w:hAnsi="Times New Roman"/>
          <w:color w:val="auto"/>
          <w:sz w:val="26"/>
          <w:szCs w:val="26"/>
        </w:rPr>
        <w:t xml:space="preserve">— проведение ежегодного Дня креативного лидерства и специализированных фестивалей для поддержки мастеров народно-художественных промыслов, творческих предпринимателей и демонстрации их достижений; </w:t>
      </w:r>
    </w:p>
    <w:p w:rsidR="00E618FE" w:rsidRPr="00470C6C" w:rsidRDefault="00800098">
      <w:pPr>
        <w:pStyle w:val="a4"/>
        <w:ind w:firstLine="708"/>
        <w:rPr>
          <w:rFonts w:ascii="Times New Roman" w:hAnsi="Times New Roman"/>
          <w:color w:val="auto"/>
          <w:sz w:val="26"/>
          <w:szCs w:val="26"/>
        </w:rPr>
      </w:pPr>
      <w:r w:rsidRPr="00470C6C">
        <w:rPr>
          <w:rFonts w:ascii="Times New Roman" w:hAnsi="Times New Roman"/>
          <w:color w:val="auto"/>
          <w:sz w:val="26"/>
          <w:szCs w:val="26"/>
        </w:rPr>
        <w:t xml:space="preserve">— создание и развитие сети детских культурно-просветительских центров </w:t>
      </w:r>
      <w:r w:rsidR="00470C6C">
        <w:rPr>
          <w:rFonts w:ascii="Times New Roman" w:hAnsi="Times New Roman"/>
          <w:color w:val="auto"/>
          <w:sz w:val="26"/>
          <w:szCs w:val="26"/>
        </w:rPr>
        <w:br/>
      </w:r>
      <w:r w:rsidRPr="00470C6C">
        <w:rPr>
          <w:rFonts w:ascii="Times New Roman" w:hAnsi="Times New Roman"/>
          <w:color w:val="auto"/>
          <w:sz w:val="26"/>
          <w:szCs w:val="26"/>
        </w:rPr>
        <w:t xml:space="preserve">на базе учреждений культуры как креативных пространств, формирующих среду </w:t>
      </w:r>
      <w:r w:rsidR="00470C6C">
        <w:rPr>
          <w:rFonts w:ascii="Times New Roman" w:hAnsi="Times New Roman"/>
          <w:color w:val="auto"/>
          <w:sz w:val="26"/>
          <w:szCs w:val="26"/>
        </w:rPr>
        <w:br/>
      </w:r>
      <w:r w:rsidRPr="00470C6C">
        <w:rPr>
          <w:rFonts w:ascii="Times New Roman" w:hAnsi="Times New Roman"/>
          <w:color w:val="auto"/>
          <w:sz w:val="26"/>
          <w:szCs w:val="26"/>
        </w:rPr>
        <w:t xml:space="preserve">для творческой деятельности. </w:t>
      </w:r>
    </w:p>
    <w:p w:rsidR="00470C6C" w:rsidRDefault="00470C6C">
      <w:pPr>
        <w:pStyle w:val="a4"/>
        <w:rPr>
          <w:rFonts w:ascii="Times New Roman" w:hAnsi="Times New Roman"/>
          <w:b/>
          <w:bCs/>
          <w:color w:val="auto"/>
        </w:rPr>
      </w:pPr>
    </w:p>
    <w:p w:rsidR="00E618FE" w:rsidRPr="00470C6C" w:rsidRDefault="00800098">
      <w:pPr>
        <w:pStyle w:val="a4"/>
        <w:rPr>
          <w:rFonts w:ascii="Times New Roman" w:hAnsi="Times New Roman"/>
          <w:color w:val="auto"/>
          <w:sz w:val="26"/>
          <w:szCs w:val="26"/>
        </w:rPr>
      </w:pPr>
      <w:r w:rsidRPr="00535A4B">
        <w:rPr>
          <w:rFonts w:ascii="Times New Roman" w:hAnsi="Times New Roman"/>
          <w:b/>
          <w:bCs/>
          <w:color w:val="auto"/>
        </w:rPr>
        <w:t>Задача 3.4.5. Расширить пакет финансовых и нефинансовых мер поддержки креативного бизнеса,</w:t>
      </w:r>
      <w:r w:rsidRPr="00535A4B">
        <w:rPr>
          <w:rFonts w:ascii="Times New Roman" w:hAnsi="Times New Roman"/>
          <w:color w:val="auto"/>
        </w:rPr>
        <w:t xml:space="preserve"> </w:t>
      </w:r>
      <w:r w:rsidRPr="00470C6C">
        <w:rPr>
          <w:rFonts w:ascii="Times New Roman" w:hAnsi="Times New Roman"/>
          <w:color w:val="auto"/>
          <w:sz w:val="26"/>
          <w:szCs w:val="26"/>
        </w:rPr>
        <w:t>обеспечить условия для запуска и роста креативного предпринимательства в регионе через специализированные меры поддержки.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расширение пакета финансовых мер: микрогранты на запуск креативных проектов, гранты на разработку и тестирование продуктов, субсидии на аренду </w:t>
      </w:r>
      <w:r w:rsidR="00470C6C">
        <w:rPr>
          <w:rFonts w:ascii="Times New Roman" w:hAnsi="Times New Roman"/>
          <w:color w:val="auto"/>
          <w:sz w:val="26"/>
          <w:szCs w:val="26"/>
        </w:rPr>
        <w:br/>
      </w:r>
      <w:r w:rsidRPr="00470C6C">
        <w:rPr>
          <w:rFonts w:ascii="Times New Roman" w:hAnsi="Times New Roman"/>
          <w:color w:val="auto"/>
          <w:sz w:val="26"/>
          <w:szCs w:val="26"/>
        </w:rPr>
        <w:t>и оборудование, льготный доступ к площадям креативных пространств и кварталов;</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запуск и развитие акселераторов и инкубаторов креативных индустрий, </w:t>
      </w:r>
      <w:r w:rsidR="00470C6C">
        <w:rPr>
          <w:rFonts w:ascii="Times New Roman" w:hAnsi="Times New Roman"/>
          <w:color w:val="auto"/>
          <w:sz w:val="26"/>
          <w:szCs w:val="26"/>
        </w:rPr>
        <w:br/>
      </w:r>
      <w:r w:rsidRPr="00470C6C">
        <w:rPr>
          <w:rFonts w:ascii="Times New Roman" w:hAnsi="Times New Roman"/>
          <w:color w:val="auto"/>
          <w:sz w:val="26"/>
          <w:szCs w:val="26"/>
        </w:rPr>
        <w:t>в том числе в форматах отраслевых треков (дизайн, медиа, гастрономия, народные художественные промыслы и ремесла);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интеграция креативного бизнеса в экосистему поддержки МСП (консалтинг, юридические и финансовые сервисы, экспортная поддержка, брендинг и маркетинг) с учетом специфики креативных проектов;</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поддержка экспорта и брендинга креативных продуктов: продвижение локальных брендов, участие в российских и международных фестивалях, ярмарках и выставках, использование цифровых платформ реализации креативной продукции.</w:t>
      </w:r>
    </w:p>
    <w:p w:rsidR="00470C6C" w:rsidRDefault="00470C6C">
      <w:pPr>
        <w:pStyle w:val="a4"/>
        <w:rPr>
          <w:rFonts w:ascii="Times New Roman" w:hAnsi="Times New Roman"/>
          <w:b/>
          <w:bCs/>
          <w:color w:val="auto"/>
        </w:rPr>
      </w:pPr>
    </w:p>
    <w:p w:rsidR="00E618FE" w:rsidRPr="00470C6C" w:rsidRDefault="00800098">
      <w:pPr>
        <w:pStyle w:val="a4"/>
        <w:rPr>
          <w:rFonts w:ascii="Times New Roman" w:hAnsi="Times New Roman"/>
          <w:color w:val="auto"/>
          <w:sz w:val="26"/>
          <w:szCs w:val="26"/>
        </w:rPr>
      </w:pPr>
      <w:r w:rsidRPr="00535A4B">
        <w:rPr>
          <w:rFonts w:ascii="Times New Roman" w:hAnsi="Times New Roman"/>
          <w:b/>
          <w:bCs/>
          <w:color w:val="auto"/>
        </w:rPr>
        <w:t xml:space="preserve">Задача 3.4.6. Сформировать событийный и нишевой туризм </w:t>
      </w:r>
      <w:r w:rsidRPr="00535A4B">
        <w:rPr>
          <w:rFonts w:ascii="Times New Roman" w:hAnsi="Times New Roman"/>
          <w:b/>
          <w:bCs/>
          <w:color w:val="auto"/>
        </w:rPr>
        <w:br/>
        <w:t>как основной рынок сбыта и витрину креативной экономики Томской области</w:t>
      </w:r>
      <w:r w:rsidRPr="00535A4B">
        <w:rPr>
          <w:rFonts w:ascii="Times New Roman" w:hAnsi="Times New Roman"/>
          <w:color w:val="auto"/>
        </w:rPr>
        <w:t xml:space="preserve">, </w:t>
      </w:r>
      <w:r w:rsidRPr="00470C6C">
        <w:rPr>
          <w:rFonts w:ascii="Times New Roman" w:hAnsi="Times New Roman"/>
          <w:color w:val="auto"/>
          <w:sz w:val="26"/>
          <w:szCs w:val="26"/>
        </w:rPr>
        <w:t xml:space="preserve">превращение Томской области в центр событийного туризма </w:t>
      </w:r>
      <w:r w:rsidRPr="00470C6C">
        <w:rPr>
          <w:rFonts w:ascii="Times New Roman" w:hAnsi="Times New Roman"/>
          <w:color w:val="auto"/>
          <w:sz w:val="26"/>
          <w:szCs w:val="26"/>
        </w:rPr>
        <w:br/>
        <w:t xml:space="preserve">с интенсивным календарем культурных, креативных и гастрономических </w:t>
      </w:r>
      <w:r w:rsidRPr="00470C6C">
        <w:rPr>
          <w:rFonts w:ascii="Times New Roman" w:hAnsi="Times New Roman"/>
          <w:color w:val="auto"/>
          <w:sz w:val="26"/>
          <w:szCs w:val="26"/>
        </w:rPr>
        <w:lastRenderedPageBreak/>
        <w:t>мероприятий, создающих устойчивый поток туристов и спрос на креативные продукты.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сборка единого календаря креативных событий под брендом «Фестивальный Томск», включающего Международный фестиваль народных ремесел «Праздник Топора», гастрофестиваль «Жимолость», фестиваль «Креативные сезоны», фестивали джаза и танца, события моды и дизайна и другие мероприятия;</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продвижение Национально</w:t>
      </w:r>
      <w:r w:rsidR="00470C6C">
        <w:rPr>
          <w:rFonts w:ascii="Times New Roman" w:hAnsi="Times New Roman"/>
          <w:color w:val="auto"/>
          <w:sz w:val="26"/>
          <w:szCs w:val="26"/>
        </w:rPr>
        <w:t>го туристского маршрута «Томск –</w:t>
      </w:r>
      <w:r w:rsidRPr="00470C6C">
        <w:rPr>
          <w:rFonts w:ascii="Times New Roman" w:hAnsi="Times New Roman"/>
          <w:color w:val="auto"/>
          <w:sz w:val="26"/>
          <w:szCs w:val="26"/>
        </w:rPr>
        <w:t xml:space="preserve"> сердце Сибири» и инклюзивной версии «Томск</w:t>
      </w:r>
      <w:r w:rsidR="00470C6C">
        <w:rPr>
          <w:rFonts w:ascii="Times New Roman" w:hAnsi="Times New Roman"/>
          <w:color w:val="auto"/>
          <w:sz w:val="26"/>
          <w:szCs w:val="26"/>
        </w:rPr>
        <w:t>–</w:t>
      </w:r>
      <w:r w:rsidRPr="00470C6C">
        <w:rPr>
          <w:rFonts w:ascii="Times New Roman" w:hAnsi="Times New Roman"/>
          <w:color w:val="auto"/>
          <w:sz w:val="26"/>
          <w:szCs w:val="26"/>
        </w:rPr>
        <w:t xml:space="preserve"> изумрудное сердце Сибири» с интеграцией ключевых креативных и гастрономических событий;</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организация инфотуров для туристического сообщества, участие </w:t>
      </w:r>
      <w:r w:rsidR="00470C6C">
        <w:rPr>
          <w:rFonts w:ascii="Times New Roman" w:hAnsi="Times New Roman"/>
          <w:color w:val="auto"/>
          <w:sz w:val="26"/>
          <w:szCs w:val="26"/>
        </w:rPr>
        <w:br/>
      </w:r>
      <w:r w:rsidRPr="00470C6C">
        <w:rPr>
          <w:rFonts w:ascii="Times New Roman" w:hAnsi="Times New Roman"/>
          <w:color w:val="auto"/>
          <w:sz w:val="26"/>
          <w:szCs w:val="26"/>
        </w:rPr>
        <w:t>в профильных выставках («Путешествуй!», «Дикоросы» и др.) для продвижения событийного и нишевого туризма Томской области;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развитие специализированных видов туризма: культурно</w:t>
      </w:r>
      <w:r w:rsidRPr="00470C6C">
        <w:rPr>
          <w:rFonts w:ascii="Times New Roman" w:hAnsi="Times New Roman"/>
          <w:color w:val="auto"/>
          <w:sz w:val="26"/>
          <w:szCs w:val="26"/>
        </w:rPr>
        <w:noBreakHyphen/>
        <w:t>познавательного (с фокусом на семейный туризм), сельского (с использованием грантов «Агротуризм»), промышленного (экскурсии на предприятия), экологического (экомаршруты и тропы на ООПТ), научно</w:t>
      </w:r>
      <w:r w:rsidRPr="00470C6C">
        <w:rPr>
          <w:rFonts w:ascii="Times New Roman" w:hAnsi="Times New Roman"/>
          <w:color w:val="auto"/>
          <w:sz w:val="26"/>
          <w:szCs w:val="26"/>
        </w:rPr>
        <w:noBreakHyphen/>
        <w:t xml:space="preserve">популярного (экскурсии в институты </w:t>
      </w:r>
      <w:r w:rsidR="00470C6C">
        <w:rPr>
          <w:rFonts w:ascii="Times New Roman" w:hAnsi="Times New Roman"/>
          <w:color w:val="auto"/>
          <w:sz w:val="26"/>
          <w:szCs w:val="26"/>
        </w:rPr>
        <w:br/>
      </w:r>
      <w:r w:rsidRPr="00470C6C">
        <w:rPr>
          <w:rFonts w:ascii="Times New Roman" w:hAnsi="Times New Roman"/>
          <w:color w:val="auto"/>
          <w:sz w:val="26"/>
          <w:szCs w:val="26"/>
        </w:rPr>
        <w:t>и лаборатории Томского научно</w:t>
      </w:r>
      <w:r w:rsidRPr="00470C6C">
        <w:rPr>
          <w:rFonts w:ascii="Times New Roman" w:hAnsi="Times New Roman"/>
          <w:color w:val="auto"/>
          <w:sz w:val="26"/>
          <w:szCs w:val="26"/>
        </w:rPr>
        <w:noBreakHyphen/>
        <w:t>образовательного комплекса);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реализация программы «Социальные путешествия» («Знакомство </w:t>
      </w:r>
      <w:r w:rsidR="00470C6C">
        <w:rPr>
          <w:rFonts w:ascii="Times New Roman" w:hAnsi="Times New Roman"/>
          <w:color w:val="auto"/>
          <w:sz w:val="26"/>
          <w:szCs w:val="26"/>
        </w:rPr>
        <w:br/>
      </w:r>
      <w:r w:rsidRPr="00470C6C">
        <w:rPr>
          <w:rFonts w:ascii="Times New Roman" w:hAnsi="Times New Roman"/>
          <w:color w:val="auto"/>
          <w:sz w:val="26"/>
          <w:szCs w:val="26"/>
        </w:rPr>
        <w:t xml:space="preserve">с родным краем») для детей, молодежи и людей с ОВЗ, повышение качества сервиса через классификацию средств размещения и аттестацию экскурсоводов </w:t>
      </w:r>
      <w:r w:rsidR="00470C6C">
        <w:rPr>
          <w:rFonts w:ascii="Times New Roman" w:hAnsi="Times New Roman"/>
          <w:color w:val="auto"/>
          <w:sz w:val="26"/>
          <w:szCs w:val="26"/>
        </w:rPr>
        <w:br/>
      </w:r>
      <w:r w:rsidRPr="00470C6C">
        <w:rPr>
          <w:rFonts w:ascii="Times New Roman" w:hAnsi="Times New Roman"/>
          <w:color w:val="auto"/>
          <w:sz w:val="26"/>
          <w:szCs w:val="26"/>
        </w:rPr>
        <w:t>и гидов</w:t>
      </w:r>
      <w:r w:rsidRPr="00470C6C">
        <w:rPr>
          <w:rFonts w:ascii="Times New Roman" w:hAnsi="Times New Roman"/>
          <w:color w:val="auto"/>
          <w:sz w:val="26"/>
          <w:szCs w:val="26"/>
        </w:rPr>
        <w:noBreakHyphen/>
        <w:t>переводчиков.</w:t>
      </w:r>
    </w:p>
    <w:p w:rsidR="00470C6C" w:rsidRDefault="00470C6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3.4.7. Использовать историческое наследие как ключевой актив креативной экономики и туризма.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использование исторического наследия (деревянное зодчество, усадьбы, музеи) как площадок для арт</w:t>
      </w:r>
      <w:r w:rsidRPr="00470C6C">
        <w:rPr>
          <w:rFonts w:ascii="Times New Roman" w:hAnsi="Times New Roman"/>
          <w:color w:val="auto"/>
          <w:sz w:val="26"/>
          <w:szCs w:val="26"/>
        </w:rPr>
        <w:noBreakHyphen/>
        <w:t>резиденций, ремесленных и художественных практик, перформансов, образовательных программ и туристско</w:t>
      </w:r>
      <w:r w:rsidRPr="00470C6C">
        <w:rPr>
          <w:rFonts w:ascii="Times New Roman" w:hAnsi="Times New Roman"/>
          <w:color w:val="auto"/>
          <w:sz w:val="26"/>
          <w:szCs w:val="26"/>
        </w:rPr>
        <w:noBreakHyphen/>
        <w:t>креативных маршрутов;</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 развитие гастрономической индустрии и локальных брендов: реализация гастрономического бренда «Губернская кухня», актуализация Гастрономической карты региона, проведение фестивалей «Жимолость», «Есть Фест», «Вкусно» </w:t>
      </w:r>
      <w:r w:rsidR="00470C6C">
        <w:rPr>
          <w:rFonts w:ascii="Times New Roman" w:hAnsi="Times New Roman"/>
          <w:color w:val="auto"/>
          <w:sz w:val="26"/>
          <w:szCs w:val="26"/>
        </w:rPr>
        <w:br/>
      </w:r>
      <w:r w:rsidRPr="00470C6C">
        <w:rPr>
          <w:rFonts w:ascii="Times New Roman" w:hAnsi="Times New Roman"/>
          <w:color w:val="auto"/>
          <w:sz w:val="26"/>
          <w:szCs w:val="26"/>
        </w:rPr>
        <w:t>и иных событий, отмеченных национальными наградами;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поддержка локальных сувенирных производств и народных художественных промыслов, ведение реестра мастеров и интеграция их продукции в туристские и событийные форматы;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создание тематических креативных маршрутов, соединяющих гастрономию, ремесла, архитектуру, медиа</w:t>
      </w:r>
      <w:r w:rsidRPr="00470C6C">
        <w:rPr>
          <w:rFonts w:ascii="Times New Roman" w:hAnsi="Times New Roman"/>
          <w:color w:val="auto"/>
          <w:sz w:val="26"/>
          <w:szCs w:val="26"/>
        </w:rPr>
        <w:noBreakHyphen/>
        <w:t>проекты и фестивали в целостные туристские и культурные продукты.</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 2036 году реализация задач 3.4.1 – 3.4.6 должна обеспечить устойчивое функционирование системы креативной экономики и индустрии гостеприимства, двукратный рост вклада креативных индустрий в ВРП, занятость и налоговую базу, а также устойчивый рост турпотока за счет событийного и нишевого туризма.</w:t>
      </w:r>
    </w:p>
    <w:p w:rsidR="00470C6C" w:rsidRDefault="00470C6C">
      <w:pPr>
        <w:spacing w:after="160" w:line="259" w:lineRule="auto"/>
        <w:rPr>
          <w:b/>
          <w:spacing w:val="24"/>
          <w:sz w:val="28"/>
          <w:szCs w:val="28"/>
          <w:lang w:eastAsia="en-US"/>
        </w:rPr>
      </w:pPr>
      <w:r>
        <w:br w:type="page"/>
      </w:r>
    </w:p>
    <w:p w:rsidR="00E618FE" w:rsidRPr="00535A4B" w:rsidRDefault="00800098">
      <w:pPr>
        <w:pStyle w:val="41"/>
        <w:rPr>
          <w:rFonts w:ascii="Times New Roman" w:eastAsia="Calibri" w:hAnsi="Times New Roman"/>
          <w:lang w:val="ru-RU"/>
        </w:rPr>
      </w:pPr>
      <w:r w:rsidRPr="00535A4B">
        <w:rPr>
          <w:rFonts w:ascii="Times New Roman" w:hAnsi="Times New Roman"/>
          <w:lang w:val="ru-RU"/>
        </w:rPr>
        <w:lastRenderedPageBreak/>
        <w:t>Целевые показатели:</w:t>
      </w:r>
      <w:r w:rsidRPr="00535A4B">
        <w:rPr>
          <w:rFonts w:ascii="Times New Roman" w:eastAsia="Calibri" w:hAnsi="Times New Roman"/>
          <w:lang w:val="ru-RU"/>
        </w:rPr>
        <w:t xml:space="preserve"> </w:t>
      </w:r>
    </w:p>
    <w:p w:rsidR="00E618FE" w:rsidRPr="00470C6C" w:rsidRDefault="00800098">
      <w:pPr>
        <w:pStyle w:val="aff"/>
        <w:rPr>
          <w:rFonts w:ascii="Times New Roman" w:hAnsi="Times New Roman"/>
          <w:sz w:val="26"/>
          <w:szCs w:val="26"/>
          <w:lang w:val="ru-RU"/>
        </w:rPr>
      </w:pPr>
      <w:r w:rsidRPr="00470C6C">
        <w:rPr>
          <w:rFonts w:ascii="Times New Roman" w:hAnsi="Times New Roman"/>
          <w:sz w:val="26"/>
          <w:szCs w:val="26"/>
          <w:lang w:val="ru-RU"/>
        </w:rPr>
        <w:t xml:space="preserve">Таблица 11.5. Целевые показатели </w:t>
      </w:r>
      <w:r w:rsidRPr="00470C6C">
        <w:rPr>
          <w:rFonts w:ascii="Times New Roman" w:eastAsia="Calibri" w:hAnsi="Times New Roman"/>
          <w:sz w:val="26"/>
          <w:szCs w:val="26"/>
          <w:lang w:val="ru-RU"/>
        </w:rPr>
        <w:t>Стратегического приоритета 3.4. «Креативная экономика и индустрия гостеприимства Томской области»</w:t>
      </w:r>
    </w:p>
    <w:tbl>
      <w:tblPr>
        <w:tblStyle w:val="-14"/>
        <w:tblW w:w="9345" w:type="dxa"/>
        <w:tblLayout w:type="fixed"/>
        <w:tblCellMar>
          <w:top w:w="28" w:type="dxa"/>
          <w:bottom w:w="28" w:type="dxa"/>
        </w:tblCellMar>
        <w:tblLook w:val="04A0" w:firstRow="1" w:lastRow="0" w:firstColumn="1" w:lastColumn="0" w:noHBand="0" w:noVBand="1"/>
      </w:tblPr>
      <w:tblGrid>
        <w:gridCol w:w="5807"/>
        <w:gridCol w:w="1179"/>
        <w:gridCol w:w="1179"/>
        <w:gridCol w:w="1180"/>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Целевой показатель</w:t>
            </w:r>
          </w:p>
        </w:tc>
        <w:tc>
          <w:tcPr>
            <w:tcW w:w="117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17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креативных индустрий в ВРП, %</w:t>
            </w:r>
          </w:p>
        </w:tc>
        <w:tc>
          <w:tcPr>
            <w:tcW w:w="117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2,70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(2024)</w:t>
            </w:r>
          </w:p>
        </w:tc>
        <w:tc>
          <w:tcPr>
            <w:tcW w:w="117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3,80</w:t>
            </w:r>
          </w:p>
        </w:tc>
        <w:tc>
          <w:tcPr>
            <w:tcW w:w="11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Количество туристических поездок по территории Российской Федерации, млн ед.</w:t>
            </w:r>
          </w:p>
        </w:tc>
        <w:tc>
          <w:tcPr>
            <w:tcW w:w="117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0,29</w:t>
            </w:r>
          </w:p>
        </w:tc>
        <w:tc>
          <w:tcPr>
            <w:tcW w:w="117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0,40</w:t>
            </w:r>
          </w:p>
        </w:tc>
        <w:tc>
          <w:tcPr>
            <w:tcW w:w="11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0,50</w:t>
            </w:r>
          </w:p>
        </w:tc>
      </w:tr>
    </w:tbl>
    <w:p w:rsidR="00470C6C" w:rsidRDefault="00470C6C">
      <w:pPr>
        <w:pStyle w:val="21"/>
        <w:rPr>
          <w:rFonts w:ascii="Times New Roman" w:eastAsia="Calibri" w:hAnsi="Times New Roman" w:cs="Times New Roman"/>
        </w:rPr>
      </w:pPr>
      <w:bookmarkStart w:id="155" w:name="_Toc235810158"/>
      <w:bookmarkStart w:id="156" w:name="_Toc238554546"/>
    </w:p>
    <w:p w:rsidR="00E618FE" w:rsidRPr="00535A4B" w:rsidRDefault="00800098">
      <w:pPr>
        <w:pStyle w:val="21"/>
        <w:rPr>
          <w:rFonts w:ascii="Times New Roman" w:eastAsia="Calibri" w:hAnsi="Times New Roman" w:cs="Times New Roman"/>
        </w:rPr>
      </w:pPr>
      <w:r w:rsidRPr="00535A4B">
        <w:rPr>
          <w:rFonts w:ascii="Times New Roman" w:eastAsia="Calibri" w:hAnsi="Times New Roman" w:cs="Times New Roman"/>
        </w:rPr>
        <w:t>Стратегический приоритет 3.5 «Инвестиционная привлекательность и внешняя открытость региона»</w:t>
      </w:r>
      <w:bookmarkEnd w:id="155"/>
      <w:bookmarkEnd w:id="156"/>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Стратегический приоритет «Инвестиционная привлекательность </w:t>
      </w:r>
      <w:r w:rsidRPr="00470C6C">
        <w:rPr>
          <w:rFonts w:ascii="Times New Roman" w:hAnsi="Times New Roman"/>
          <w:color w:val="auto"/>
          <w:sz w:val="26"/>
          <w:szCs w:val="26"/>
        </w:rPr>
        <w:br/>
        <w:t xml:space="preserve">и внешняя открытость региона» направлен на закрепление статуса Томской области как одной из наиболее инвестиционно-привлекательных и открытых территорий Сибири, обеспечение устойчивого роста объемов инвестиций в основной капитал </w:t>
      </w:r>
      <w:r w:rsidR="00470C6C">
        <w:rPr>
          <w:rFonts w:ascii="Times New Roman" w:hAnsi="Times New Roman"/>
          <w:color w:val="auto"/>
          <w:sz w:val="26"/>
          <w:szCs w:val="26"/>
        </w:rPr>
        <w:br/>
      </w:r>
      <w:r w:rsidRPr="00470C6C">
        <w:rPr>
          <w:rFonts w:ascii="Times New Roman" w:hAnsi="Times New Roman"/>
          <w:color w:val="auto"/>
          <w:sz w:val="26"/>
          <w:szCs w:val="26"/>
        </w:rPr>
        <w:t xml:space="preserve">(в первую очередь, в высокотехнологичные, промышленно-перерабатывающие </w:t>
      </w:r>
      <w:r w:rsidR="00470C6C">
        <w:rPr>
          <w:rFonts w:ascii="Times New Roman" w:hAnsi="Times New Roman"/>
          <w:color w:val="auto"/>
          <w:sz w:val="26"/>
          <w:szCs w:val="26"/>
        </w:rPr>
        <w:br/>
      </w:r>
      <w:r w:rsidRPr="00470C6C">
        <w:rPr>
          <w:rFonts w:ascii="Times New Roman" w:hAnsi="Times New Roman"/>
          <w:color w:val="auto"/>
          <w:sz w:val="26"/>
          <w:szCs w:val="26"/>
        </w:rPr>
        <w:t>и инфраструктурные проекты), увеличение объемов несырьевого экспорта и числа компаний-экспортеров, улучшение качества регуляторной среды и институтов поддержки инвесторов, а также расширение международной и межрегиональной кооперации.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Опорными центрами этого приоритета выступают:</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институты поддержки экспорта (</w:t>
      </w:r>
      <w:r w:rsidRPr="00470C6C">
        <w:rPr>
          <w:rFonts w:ascii="Times New Roman" w:eastAsia="Calibri" w:hAnsi="Times New Roman"/>
          <w:color w:val="auto"/>
          <w:sz w:val="26"/>
          <w:szCs w:val="26"/>
        </w:rPr>
        <w:t>Центр поддержки экспорта Томской области, Союз «Торгово-промышленная палата Томской области») и финансовые институты (Некоммерческая организация «Фонд развития пром</w:t>
      </w:r>
      <w:r w:rsidRPr="00470C6C">
        <w:rPr>
          <w:rFonts w:ascii="Times New Roman" w:hAnsi="Times New Roman"/>
          <w:color w:val="auto"/>
          <w:sz w:val="26"/>
          <w:szCs w:val="26"/>
        </w:rPr>
        <w:t>ышленности Томской области»);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действующие инвестиционные площадки и зоны преференциального развития (ОЭЗ ТВТ «Томск», ТОР «Северск», Промышленный парк «Томск»), обеспечивающие запуск новых производств и масштабирование проектов.</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Реализация приоритета опирается на Стратегию по обеспечению благоприятных условий для развития экспорта и внешних связей</w:t>
      </w:r>
      <w:r w:rsidR="00470C6C">
        <w:rPr>
          <w:rFonts w:ascii="Times New Roman" w:hAnsi="Times New Roman"/>
          <w:color w:val="auto"/>
          <w:sz w:val="26"/>
          <w:szCs w:val="26"/>
        </w:rPr>
        <w:t xml:space="preserve"> Томской области до 2030 года (р</w:t>
      </w:r>
      <w:r w:rsidRPr="00470C6C">
        <w:rPr>
          <w:rFonts w:ascii="Times New Roman" w:hAnsi="Times New Roman"/>
          <w:color w:val="auto"/>
          <w:sz w:val="26"/>
          <w:szCs w:val="26"/>
        </w:rPr>
        <w:t xml:space="preserve">аспоряжение Администрации Томской области </w:t>
      </w:r>
      <w:r w:rsidRPr="00470C6C">
        <w:rPr>
          <w:rFonts w:ascii="Times New Roman" w:hAnsi="Times New Roman"/>
          <w:color w:val="auto"/>
          <w:sz w:val="26"/>
          <w:szCs w:val="26"/>
        </w:rPr>
        <w:br/>
        <w:t>от 16 января 2024 года № 17-ра), внедрение лучших практик государственного управления, цифровых сервисов для инвестора (Инвестиционная карта, «одно окно»), механизмов комплексного развития территорий (КРТ), а также на развитие межрегиональной и международной кооперации, продвижение бренда «Tomsk Region» и участие в ключевых деловых мероприятиях.</w:t>
      </w:r>
    </w:p>
    <w:p w:rsidR="00E618FE" w:rsidRPr="00535A4B" w:rsidRDefault="00800098">
      <w:pPr>
        <w:pStyle w:val="41"/>
        <w:spacing w:after="0"/>
        <w:rPr>
          <w:rFonts w:ascii="Times New Roman" w:hAnsi="Times New Roman"/>
          <w:lang w:val="ru-RU"/>
        </w:rPr>
      </w:pPr>
      <w:r w:rsidRPr="00535A4B">
        <w:rPr>
          <w:rFonts w:ascii="Times New Roman" w:hAnsi="Times New Roman"/>
          <w:lang w:val="ru-RU"/>
        </w:rPr>
        <w:t>Задачи:</w:t>
      </w:r>
    </w:p>
    <w:p w:rsidR="00E618FE" w:rsidRPr="00535A4B" w:rsidRDefault="00800098">
      <w:pPr>
        <w:pStyle w:val="a4"/>
        <w:rPr>
          <w:rFonts w:ascii="Times New Roman" w:hAnsi="Times New Roman"/>
          <w:color w:val="auto"/>
        </w:rPr>
      </w:pPr>
      <w:r w:rsidRPr="00535A4B">
        <w:rPr>
          <w:rFonts w:ascii="Times New Roman" w:hAnsi="Times New Roman"/>
          <w:b/>
          <w:bCs/>
          <w:color w:val="auto"/>
        </w:rPr>
        <w:t xml:space="preserve">Задача </w:t>
      </w:r>
      <w:r w:rsidRPr="00535A4B">
        <w:rPr>
          <w:rFonts w:ascii="Times New Roman" w:eastAsia="Calibri" w:hAnsi="Times New Roman"/>
          <w:b/>
          <w:bCs/>
          <w:color w:val="auto"/>
        </w:rPr>
        <w:t>3.</w:t>
      </w:r>
      <w:r w:rsidRPr="00535A4B">
        <w:rPr>
          <w:rFonts w:ascii="Times New Roman" w:hAnsi="Times New Roman"/>
          <w:b/>
          <w:bCs/>
          <w:color w:val="auto"/>
        </w:rPr>
        <w:t xml:space="preserve">5.1. Обеспечить стабильный и предсказуемый инвестиционный климат, снизить административные барьеры </w:t>
      </w:r>
      <w:r w:rsidRPr="00535A4B">
        <w:rPr>
          <w:rFonts w:ascii="Times New Roman" w:hAnsi="Times New Roman"/>
          <w:b/>
          <w:bCs/>
          <w:color w:val="auto"/>
        </w:rPr>
        <w:br/>
        <w:t xml:space="preserve">и издержки инвесторов, улучшить качество регулирования, реализовать Концепцию инвестиционного развития Томской области </w:t>
      </w:r>
      <w:r w:rsidRPr="00535A4B">
        <w:rPr>
          <w:rFonts w:ascii="Times New Roman" w:hAnsi="Times New Roman"/>
          <w:b/>
          <w:bCs/>
          <w:color w:val="auto"/>
        </w:rPr>
        <w:br/>
        <w:t>и Региональный инвестиционный стандарт 3.0.</w:t>
      </w:r>
      <w:r w:rsidRPr="00535A4B">
        <w:rPr>
          <w:rFonts w:ascii="Times New Roman" w:hAnsi="Times New Roman"/>
          <w:color w:val="auto"/>
        </w:rPr>
        <w:t xml:space="preserve"> </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 реализации: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Региональный инвестиционный стандарт 3.0 (РИС 3.0)</w:t>
      </w:r>
      <w:r w:rsidRPr="00470C6C">
        <w:rPr>
          <w:rFonts w:ascii="Times New Roman" w:hAnsi="Times New Roman"/>
          <w:color w:val="auto"/>
          <w:sz w:val="26"/>
          <w:szCs w:val="26"/>
        </w:rPr>
        <w:t xml:space="preserve">: обеспечение полного и эффективного внедрения всех элементов РИС 3.0: Инвестиционной </w:t>
      </w:r>
      <w:r w:rsidRPr="00470C6C">
        <w:rPr>
          <w:rFonts w:ascii="Times New Roman" w:hAnsi="Times New Roman"/>
          <w:color w:val="auto"/>
          <w:sz w:val="26"/>
          <w:szCs w:val="26"/>
        </w:rPr>
        <w:lastRenderedPageBreak/>
        <w:t>декларации, Инвестиционного комитета, Инвестиционной карты, Свода инвестиционных правил, работы Агентства развития; регулярной актуализации Инвестиционной декларации и карты в соответствии с изменениями экономической политики и потребностями бизнеса;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Совершенствование регуляторной и контрольной (надзорной) деятельности</w:t>
      </w:r>
      <w:r w:rsidRPr="00470C6C">
        <w:rPr>
          <w:rFonts w:ascii="Times New Roman" w:hAnsi="Times New Roman"/>
          <w:color w:val="auto"/>
          <w:sz w:val="26"/>
          <w:szCs w:val="26"/>
        </w:rPr>
        <w:t xml:space="preserve">: полный переход на рискориентированный подход при проведении проверок бизнеса, увеличение доли профилактических мероприятий (профилактические визиты, консультирование); цифровизация контрольно-надзорной деятельности, внедрение дистанционных форм контроля и индикаторов риска; поддержание высокого качества предоставления государственных услуг </w:t>
      </w:r>
      <w:r w:rsidR="00470C6C">
        <w:rPr>
          <w:rFonts w:ascii="Times New Roman" w:hAnsi="Times New Roman"/>
          <w:color w:val="auto"/>
          <w:sz w:val="26"/>
          <w:szCs w:val="26"/>
        </w:rPr>
        <w:br/>
      </w:r>
      <w:r w:rsidRPr="00470C6C">
        <w:rPr>
          <w:rFonts w:ascii="Times New Roman" w:hAnsi="Times New Roman"/>
          <w:color w:val="auto"/>
          <w:sz w:val="26"/>
          <w:szCs w:val="26"/>
        </w:rPr>
        <w:t>в сфере лицензирования, сокращение сроков и количества требуемых документов.</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Налоговое и финансовое стимулирование</w:t>
      </w:r>
      <w:r w:rsidRPr="00470C6C">
        <w:rPr>
          <w:rFonts w:ascii="Times New Roman" w:hAnsi="Times New Roman"/>
          <w:color w:val="auto"/>
          <w:sz w:val="26"/>
          <w:szCs w:val="26"/>
        </w:rPr>
        <w:t xml:space="preserve">: предоставление налоговых льгот субъектам инвестиционной деятельности, реализующим приоритетные проекты, </w:t>
      </w:r>
      <w:r w:rsidR="00470C6C">
        <w:rPr>
          <w:rFonts w:ascii="Times New Roman" w:hAnsi="Times New Roman"/>
          <w:color w:val="auto"/>
          <w:sz w:val="26"/>
          <w:szCs w:val="26"/>
        </w:rPr>
        <w:br/>
      </w:r>
      <w:r w:rsidRPr="00470C6C">
        <w:rPr>
          <w:rFonts w:ascii="Times New Roman" w:hAnsi="Times New Roman"/>
          <w:color w:val="auto"/>
          <w:sz w:val="26"/>
          <w:szCs w:val="26"/>
        </w:rPr>
        <w:t xml:space="preserve">а также резидентам ОЭЗ, ТОР и промышленных кластеров; обеспечение доступа </w:t>
      </w:r>
      <w:r w:rsidR="00470C6C">
        <w:rPr>
          <w:rFonts w:ascii="Times New Roman" w:hAnsi="Times New Roman"/>
          <w:color w:val="auto"/>
          <w:sz w:val="26"/>
          <w:szCs w:val="26"/>
        </w:rPr>
        <w:br/>
      </w:r>
      <w:r w:rsidRPr="00470C6C">
        <w:rPr>
          <w:rFonts w:ascii="Times New Roman" w:hAnsi="Times New Roman"/>
          <w:color w:val="auto"/>
          <w:sz w:val="26"/>
          <w:szCs w:val="26"/>
        </w:rPr>
        <w:t>к льготным займам через докапитализацию некоммерческой организации «Фонд развития промышленности Томской области».</w:t>
      </w:r>
    </w:p>
    <w:p w:rsidR="00470C6C" w:rsidRDefault="00470C6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w:t>
      </w:r>
      <w:r w:rsidRPr="00535A4B">
        <w:rPr>
          <w:rFonts w:ascii="Times New Roman" w:eastAsia="Calibri" w:hAnsi="Times New Roman"/>
          <w:b/>
          <w:bCs/>
          <w:color w:val="auto"/>
        </w:rPr>
        <w:t>3.</w:t>
      </w:r>
      <w:r w:rsidRPr="00535A4B">
        <w:rPr>
          <w:rFonts w:ascii="Times New Roman" w:hAnsi="Times New Roman"/>
          <w:b/>
          <w:bCs/>
          <w:color w:val="auto"/>
        </w:rPr>
        <w:t>5.2. Ускорить развитие современной инвестиционной инфраструктуры и сервисов поддержки инвесторов, обеспечивающих сокращение сроков и снижение рисков реализации проектов.</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Ключевые направления и механизмы реализации: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Развитие ключевых инвестиционных площадок</w:t>
      </w:r>
      <w:r w:rsidRPr="00470C6C">
        <w:rPr>
          <w:rFonts w:ascii="Times New Roman" w:hAnsi="Times New Roman"/>
          <w:color w:val="auto"/>
          <w:sz w:val="26"/>
          <w:szCs w:val="26"/>
        </w:rPr>
        <w:t xml:space="preserve">: ОЭЗ ТВТ «Томск»: строительство лабораторного корпуса Инжинирингового центра (6,9 тыс. кв. м), расширение границ зоны (включение участка 16,5 га), создание инфраструктуры для новых резидентов, в том числе в сфере химии и СВЧ-электроники; ТОР «Северск»: создание необходимой инфраструктуры для привлечения не менее 30 резидентов </w:t>
      </w:r>
      <w:r w:rsidR="00470C6C">
        <w:rPr>
          <w:rFonts w:ascii="Times New Roman" w:hAnsi="Times New Roman"/>
          <w:color w:val="auto"/>
          <w:sz w:val="26"/>
          <w:szCs w:val="26"/>
        </w:rPr>
        <w:br/>
      </w:r>
      <w:r w:rsidRPr="00470C6C">
        <w:rPr>
          <w:rFonts w:ascii="Times New Roman" w:hAnsi="Times New Roman"/>
          <w:color w:val="auto"/>
          <w:sz w:val="26"/>
          <w:szCs w:val="26"/>
        </w:rPr>
        <w:t xml:space="preserve">до 2030 года, развитие фторидных технологий, ядерной медицины и новых материалов на базе АО «СХК»; Промышленный парк «Томск»: увеличение числа резидентов, развитие инженерной и транспортной доступности, интеграция </w:t>
      </w:r>
      <w:r w:rsidRPr="00470C6C">
        <w:rPr>
          <w:rFonts w:ascii="Times New Roman" w:hAnsi="Times New Roman"/>
          <w:color w:val="auto"/>
          <w:sz w:val="26"/>
          <w:szCs w:val="26"/>
        </w:rPr>
        <w:br/>
        <w:t>в высокотехнологичные производственные кластеры региона.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Создание новой промышленной географии</w:t>
      </w:r>
      <w:r w:rsidRPr="00470C6C">
        <w:rPr>
          <w:rFonts w:ascii="Times New Roman" w:hAnsi="Times New Roman"/>
          <w:color w:val="auto"/>
          <w:sz w:val="26"/>
          <w:szCs w:val="26"/>
        </w:rPr>
        <w:t xml:space="preserve">: формирование специализированных промышленных зон, совмещенных с логистической инфраструктурой; обеспечение подготовленными земельными участками </w:t>
      </w:r>
      <w:r w:rsidR="00470C6C">
        <w:rPr>
          <w:rFonts w:ascii="Times New Roman" w:hAnsi="Times New Roman"/>
          <w:color w:val="auto"/>
          <w:sz w:val="26"/>
          <w:szCs w:val="26"/>
        </w:rPr>
        <w:br/>
      </w:r>
      <w:r w:rsidRPr="00470C6C">
        <w:rPr>
          <w:rFonts w:ascii="Times New Roman" w:hAnsi="Times New Roman"/>
          <w:color w:val="auto"/>
          <w:sz w:val="26"/>
          <w:szCs w:val="26"/>
        </w:rPr>
        <w:t xml:space="preserve">с инженерной инфраструктурой для запуска новых инвестиционных проектов; реализация механизма комплексного развития территорий для вовлечения в оборот депрессивных и неэффективно используемых земель под жилищное </w:t>
      </w:r>
      <w:r w:rsidR="00470C6C">
        <w:rPr>
          <w:rFonts w:ascii="Times New Roman" w:hAnsi="Times New Roman"/>
          <w:color w:val="auto"/>
          <w:sz w:val="26"/>
          <w:szCs w:val="26"/>
        </w:rPr>
        <w:br/>
      </w:r>
      <w:r w:rsidRPr="00470C6C">
        <w:rPr>
          <w:rFonts w:ascii="Times New Roman" w:hAnsi="Times New Roman"/>
          <w:color w:val="auto"/>
          <w:sz w:val="26"/>
          <w:szCs w:val="26"/>
        </w:rPr>
        <w:t>и промышленное строительство.</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Повышение доступности финансовых ресурсов для бизнеса</w:t>
      </w:r>
      <w:r w:rsidRPr="00470C6C">
        <w:rPr>
          <w:rFonts w:ascii="Times New Roman" w:hAnsi="Times New Roman"/>
          <w:color w:val="auto"/>
          <w:sz w:val="26"/>
          <w:szCs w:val="26"/>
        </w:rPr>
        <w:t>: обеспечение (повышение) привлекательности инструментов долевого финансирования (финансирование через публичный рынок акций) как альтернативного источника финансирования региональных компаний.</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Цифровые сервисы для инвестора</w:t>
      </w:r>
      <w:r w:rsidRPr="00470C6C">
        <w:rPr>
          <w:rFonts w:ascii="Times New Roman" w:hAnsi="Times New Roman"/>
          <w:color w:val="auto"/>
          <w:sz w:val="26"/>
          <w:szCs w:val="26"/>
        </w:rPr>
        <w:t xml:space="preserve">: полнофункциональная работа Инвестиционной карты Томской области с данными о свободных земельных участках, инфраструктуре, тарифах; сопровождение инвестиционных проектов </w:t>
      </w:r>
      <w:r w:rsidR="00470C6C">
        <w:rPr>
          <w:rFonts w:ascii="Times New Roman" w:hAnsi="Times New Roman"/>
          <w:color w:val="auto"/>
          <w:sz w:val="26"/>
          <w:szCs w:val="26"/>
        </w:rPr>
        <w:br/>
      </w:r>
      <w:r w:rsidRPr="00470C6C">
        <w:rPr>
          <w:rFonts w:ascii="Times New Roman" w:hAnsi="Times New Roman"/>
          <w:color w:val="auto"/>
          <w:sz w:val="26"/>
          <w:szCs w:val="26"/>
        </w:rPr>
        <w:t>по принципу «одного окна»; создание и внедрение цифровых сервисов для онлайн-мониторинга реализации инвестиционных проектов.</w:t>
      </w:r>
    </w:p>
    <w:p w:rsidR="00E618FE" w:rsidRPr="00470C6C" w:rsidRDefault="00800098">
      <w:pPr>
        <w:pStyle w:val="a4"/>
        <w:rPr>
          <w:rFonts w:ascii="Times New Roman" w:hAnsi="Times New Roman"/>
          <w:color w:val="auto"/>
          <w:sz w:val="26"/>
          <w:szCs w:val="26"/>
        </w:rPr>
      </w:pPr>
      <w:r w:rsidRPr="00535A4B">
        <w:rPr>
          <w:rFonts w:ascii="Times New Roman" w:hAnsi="Times New Roman"/>
          <w:b/>
          <w:bCs/>
          <w:color w:val="auto"/>
        </w:rPr>
        <w:lastRenderedPageBreak/>
        <w:t xml:space="preserve">Задача </w:t>
      </w:r>
      <w:r w:rsidRPr="00535A4B">
        <w:rPr>
          <w:rFonts w:ascii="Times New Roman" w:eastAsia="Calibri" w:hAnsi="Times New Roman"/>
          <w:b/>
          <w:bCs/>
          <w:color w:val="auto"/>
        </w:rPr>
        <w:t>3.5</w:t>
      </w:r>
      <w:r w:rsidRPr="00535A4B">
        <w:rPr>
          <w:rFonts w:ascii="Times New Roman" w:hAnsi="Times New Roman"/>
          <w:b/>
          <w:bCs/>
          <w:color w:val="auto"/>
        </w:rPr>
        <w:t>.3. Обеспечить рост несырьевого экспорта и внешней кооперации, расширить географию внешнеэкономических связей</w:t>
      </w:r>
      <w:r w:rsidRPr="00535A4B">
        <w:rPr>
          <w:rFonts w:ascii="Times New Roman" w:hAnsi="Times New Roman"/>
          <w:color w:val="auto"/>
        </w:rPr>
        <w:t xml:space="preserve">, </w:t>
      </w:r>
      <w:r w:rsidRPr="00470C6C">
        <w:rPr>
          <w:rFonts w:ascii="Times New Roman" w:hAnsi="Times New Roman"/>
          <w:color w:val="auto"/>
          <w:sz w:val="26"/>
          <w:szCs w:val="26"/>
        </w:rPr>
        <w:t xml:space="preserve">в том числе в рамках национального проекта «Международная кооперация </w:t>
      </w:r>
      <w:r w:rsidRPr="00470C6C">
        <w:rPr>
          <w:rFonts w:ascii="Times New Roman" w:hAnsi="Times New Roman"/>
          <w:color w:val="auto"/>
          <w:sz w:val="26"/>
          <w:szCs w:val="26"/>
        </w:rPr>
        <w:br/>
        <w:t>и экспорт», через поддержку экспортеров, участие в международных выставках, развитие логистики и продвижение региональных брендов.</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Ключевые направления и механизмы реализации: </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Системные меры поддержки экспорта</w:t>
      </w:r>
      <w:r w:rsidRPr="00470C6C">
        <w:rPr>
          <w:rFonts w:ascii="Times New Roman" w:hAnsi="Times New Roman"/>
          <w:color w:val="auto"/>
          <w:sz w:val="26"/>
          <w:szCs w:val="26"/>
        </w:rPr>
        <w:t>: внедрение Регионального экспортного стандарта 3.0 как ключевого элемента поддержки внешнеэкономической деятельности; реализация региональной программы «Развитие экспорта в Томской области до 2030 года и на перспективу до 2036 года»; расширение пакета услуг Центра поддержки экспорта (ЦПЭ) Томской области: поиск иностранных партнеров, организация бизнес-миссий и выставок, содействие в сертификации и декларировании товаров, продвижение на международных маркетплейсах.</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Продвижение продукции на внешние рынки</w:t>
      </w:r>
      <w:r w:rsidRPr="00470C6C">
        <w:rPr>
          <w:rFonts w:ascii="Times New Roman" w:hAnsi="Times New Roman"/>
          <w:color w:val="auto"/>
          <w:sz w:val="26"/>
          <w:szCs w:val="26"/>
        </w:rPr>
        <w:t xml:space="preserve">: организация коллективных стендов Томской области на крупнейших международных выставках (включая «Сделано в России») и зарубежных бизнес-миссий в страны СНГ, </w:t>
      </w:r>
      <w:bookmarkStart w:id="157" w:name="_Hlk231315235"/>
      <w:r w:rsidRPr="00470C6C">
        <w:rPr>
          <w:rFonts w:ascii="Times New Roman" w:hAnsi="Times New Roman"/>
          <w:color w:val="auto"/>
          <w:sz w:val="26"/>
          <w:szCs w:val="26"/>
        </w:rPr>
        <w:t>Северо-Восточной и</w:t>
      </w:r>
      <w:bookmarkEnd w:id="157"/>
      <w:r w:rsidRPr="00470C6C">
        <w:rPr>
          <w:rFonts w:ascii="Times New Roman" w:hAnsi="Times New Roman"/>
          <w:color w:val="auto"/>
          <w:sz w:val="26"/>
          <w:szCs w:val="26"/>
        </w:rPr>
        <w:t xml:space="preserve"> Юго-Восточной Азии, Ближнего Востока и Африки; реверсные бизнес-миссиях для иностранных покупателей из приоритетных стран: Китай, Казахстан, Узбекистан, Беларусь, Индия, Вьетнам.</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Развитие экспортной кооперации научно-образовательного комплекса</w:t>
      </w:r>
      <w:r w:rsidRPr="00470C6C">
        <w:rPr>
          <w:rFonts w:ascii="Times New Roman" w:hAnsi="Times New Roman"/>
          <w:color w:val="auto"/>
          <w:sz w:val="26"/>
          <w:szCs w:val="26"/>
        </w:rPr>
        <w:t xml:space="preserve">: продвижение на международный рынок образовательных услуг (сохранение высоких позиций в Российской Федерации по доле иностранных студентов) </w:t>
      </w:r>
      <w:r w:rsidR="00470C6C">
        <w:rPr>
          <w:rFonts w:ascii="Times New Roman" w:hAnsi="Times New Roman"/>
          <w:color w:val="auto"/>
          <w:sz w:val="26"/>
          <w:szCs w:val="26"/>
        </w:rPr>
        <w:br/>
      </w:r>
      <w:r w:rsidRPr="00470C6C">
        <w:rPr>
          <w:rFonts w:ascii="Times New Roman" w:hAnsi="Times New Roman"/>
          <w:color w:val="auto"/>
          <w:sz w:val="26"/>
          <w:szCs w:val="26"/>
        </w:rPr>
        <w:t xml:space="preserve">и технологического экспорта (на основе результатов интеллектуальной деятельности и интеллектуальной собственности); реализация совместных проектов в области промышленной микроэлектроники, БАС и ядерной медицины </w:t>
      </w:r>
      <w:r w:rsidR="00470C6C">
        <w:rPr>
          <w:rFonts w:ascii="Times New Roman" w:hAnsi="Times New Roman"/>
          <w:color w:val="auto"/>
          <w:sz w:val="26"/>
          <w:szCs w:val="26"/>
        </w:rPr>
        <w:br/>
      </w:r>
      <w:r w:rsidRPr="00470C6C">
        <w:rPr>
          <w:rFonts w:ascii="Times New Roman" w:hAnsi="Times New Roman"/>
          <w:color w:val="auto"/>
          <w:sz w:val="26"/>
          <w:szCs w:val="26"/>
        </w:rPr>
        <w:t>с партнерами из Беларуси, Казахстана, Узбекистана, Индонезии; внедрение единых технических стандартов (СВЧ и силовая электроника) на пространстве ЕАЭС.</w:t>
      </w:r>
    </w:p>
    <w:p w:rsidR="00470C6C" w:rsidRDefault="00470C6C">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w:t>
      </w:r>
      <w:r w:rsidRPr="00535A4B">
        <w:rPr>
          <w:rFonts w:ascii="Times New Roman" w:eastAsia="Calibri" w:hAnsi="Times New Roman"/>
          <w:b/>
          <w:bCs/>
          <w:color w:val="auto"/>
        </w:rPr>
        <w:t>3.5</w:t>
      </w:r>
      <w:r w:rsidRPr="00535A4B">
        <w:rPr>
          <w:rFonts w:ascii="Times New Roman" w:hAnsi="Times New Roman"/>
          <w:b/>
          <w:bCs/>
          <w:color w:val="auto"/>
        </w:rPr>
        <w:t xml:space="preserve">.4. Повысить узнаваемость имиджа региона </w:t>
      </w:r>
      <w:r w:rsidRPr="00535A4B">
        <w:rPr>
          <w:rFonts w:ascii="Times New Roman" w:hAnsi="Times New Roman"/>
          <w:b/>
          <w:bCs/>
          <w:color w:val="auto"/>
        </w:rPr>
        <w:br/>
        <w:t>для инвесторов и партнеров, сформировать устойчивый образ Томской области как надежной инвестиционной юрисдикции, университетско</w:t>
      </w:r>
      <w:r w:rsidRPr="00535A4B">
        <w:rPr>
          <w:rFonts w:ascii="Times New Roman" w:hAnsi="Times New Roman"/>
          <w:b/>
          <w:bCs/>
          <w:color w:val="auto"/>
        </w:rPr>
        <w:noBreakHyphen/>
        <w:t>технологического и промышленного центра.</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xml:space="preserve">Ключевые направления и механизмы реализации: </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Коммуникационная стратегия и работа с брендом</w:t>
      </w:r>
      <w:r w:rsidRPr="00470C6C">
        <w:rPr>
          <w:rFonts w:ascii="Times New Roman" w:hAnsi="Times New Roman"/>
          <w:color w:val="auto"/>
          <w:sz w:val="26"/>
          <w:szCs w:val="26"/>
        </w:rPr>
        <w:t>: позиционирование Томской области как территории инноваций, технологического лидерства и качества жизни; проведение и участие в ключевых инвестиционных и деловых мероприятиях: Петербургский международный экономический форум (ПМЭФ), Восточный экономический форум (ВЭФ), выставка «ИННОПРОМ», форум U-NOVUS; публикация и тиражирование успешных инвестиционных кейсов и практик импортозамещения в федеральных и зарубежных СМИ.</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t>— </w:t>
      </w:r>
      <w:r w:rsidRPr="00470C6C">
        <w:rPr>
          <w:rFonts w:ascii="Times New Roman" w:hAnsi="Times New Roman"/>
          <w:i/>
          <w:iCs/>
          <w:color w:val="auto"/>
          <w:sz w:val="26"/>
          <w:szCs w:val="26"/>
        </w:rPr>
        <w:t>Развитие межрегионального сотрудничества</w:t>
      </w:r>
      <w:r w:rsidRPr="00470C6C">
        <w:rPr>
          <w:rFonts w:ascii="Times New Roman" w:hAnsi="Times New Roman"/>
          <w:color w:val="auto"/>
          <w:sz w:val="26"/>
          <w:szCs w:val="26"/>
        </w:rPr>
        <w:t xml:space="preserve">: реализация действующих </w:t>
      </w:r>
      <w:r w:rsidR="00470C6C">
        <w:rPr>
          <w:rFonts w:ascii="Times New Roman" w:hAnsi="Times New Roman"/>
          <w:color w:val="auto"/>
          <w:sz w:val="26"/>
          <w:szCs w:val="26"/>
        </w:rPr>
        <w:br/>
      </w:r>
      <w:r w:rsidRPr="00470C6C">
        <w:rPr>
          <w:rFonts w:ascii="Times New Roman" w:hAnsi="Times New Roman"/>
          <w:color w:val="auto"/>
          <w:sz w:val="26"/>
          <w:szCs w:val="26"/>
        </w:rPr>
        <w:t xml:space="preserve">и заключение новых соглашений о торгово-экономическом, научно-техническом </w:t>
      </w:r>
      <w:r w:rsidR="00470C6C">
        <w:rPr>
          <w:rFonts w:ascii="Times New Roman" w:hAnsi="Times New Roman"/>
          <w:color w:val="auto"/>
          <w:sz w:val="26"/>
          <w:szCs w:val="26"/>
        </w:rPr>
        <w:br/>
      </w:r>
      <w:r w:rsidRPr="00470C6C">
        <w:rPr>
          <w:rFonts w:ascii="Times New Roman" w:hAnsi="Times New Roman"/>
          <w:color w:val="auto"/>
          <w:sz w:val="26"/>
          <w:szCs w:val="26"/>
        </w:rPr>
        <w:t xml:space="preserve">и социальном сотрудничестве с субъектами Российской Федерации (особое внимание — регионам Сибири, Дальнего Востока и Урала); интеграция </w:t>
      </w:r>
      <w:r w:rsidR="00470C6C">
        <w:rPr>
          <w:rFonts w:ascii="Times New Roman" w:hAnsi="Times New Roman"/>
          <w:color w:val="auto"/>
          <w:sz w:val="26"/>
          <w:szCs w:val="26"/>
        </w:rPr>
        <w:br/>
      </w:r>
      <w:r w:rsidRPr="00470C6C">
        <w:rPr>
          <w:rFonts w:ascii="Times New Roman" w:hAnsi="Times New Roman"/>
          <w:color w:val="auto"/>
          <w:sz w:val="26"/>
          <w:szCs w:val="26"/>
        </w:rPr>
        <w:t>в межрегиональные промышленные кластеры и логистические коридоры (включая проекты с ПАО «Газпром», ОАО «РЖД»).</w:t>
      </w:r>
    </w:p>
    <w:p w:rsidR="00E618FE" w:rsidRPr="00470C6C" w:rsidRDefault="00800098">
      <w:pPr>
        <w:pStyle w:val="a4"/>
        <w:rPr>
          <w:rFonts w:ascii="Times New Roman" w:hAnsi="Times New Roman"/>
          <w:color w:val="auto"/>
          <w:sz w:val="26"/>
          <w:szCs w:val="26"/>
        </w:rPr>
      </w:pPr>
      <w:r w:rsidRPr="00470C6C">
        <w:rPr>
          <w:rFonts w:ascii="Times New Roman" w:hAnsi="Times New Roman"/>
          <w:color w:val="auto"/>
          <w:sz w:val="26"/>
          <w:szCs w:val="26"/>
        </w:rPr>
        <w:lastRenderedPageBreak/>
        <w:t>— </w:t>
      </w:r>
      <w:r w:rsidRPr="00470C6C">
        <w:rPr>
          <w:rFonts w:ascii="Times New Roman" w:hAnsi="Times New Roman"/>
          <w:i/>
          <w:iCs/>
          <w:color w:val="auto"/>
          <w:sz w:val="26"/>
          <w:szCs w:val="26"/>
        </w:rPr>
        <w:t>Повышение качества позиционирования региона</w:t>
      </w:r>
      <w:r w:rsidRPr="00470C6C">
        <w:rPr>
          <w:rFonts w:ascii="Times New Roman" w:hAnsi="Times New Roman"/>
          <w:color w:val="auto"/>
          <w:sz w:val="26"/>
          <w:szCs w:val="26"/>
        </w:rPr>
        <w:t>: участие в национальных рейтингах: Национальный рейтинг состояния инвестиционного климата, рейтинг инновационного развития субъектов Российской Федерации, рейтинг научно-технологического развития; развитие официального портала Правительства Томской области и инвестиционного портала в сети «Интернет» как ключевых витрин для инвесторов.</w:t>
      </w:r>
    </w:p>
    <w:p w:rsidR="00470C6C" w:rsidRDefault="00470C6C">
      <w:pPr>
        <w:pStyle w:val="41"/>
        <w:spacing w:before="0"/>
        <w:rPr>
          <w:rFonts w:ascii="Times New Roman" w:eastAsia="Calibri" w:hAnsi="Times New Roman"/>
          <w:lang w:val="ru-RU"/>
        </w:rPr>
      </w:pPr>
    </w:p>
    <w:p w:rsidR="00E618FE" w:rsidRPr="00535A4B" w:rsidRDefault="00800098">
      <w:pPr>
        <w:pStyle w:val="41"/>
        <w:spacing w:before="0"/>
        <w:rPr>
          <w:rFonts w:ascii="Times New Roman" w:eastAsia="Calibri" w:hAnsi="Times New Roman"/>
          <w:lang w:val="ru-RU"/>
        </w:rPr>
      </w:pPr>
      <w:r w:rsidRPr="00535A4B">
        <w:rPr>
          <w:rFonts w:ascii="Times New Roman" w:eastAsia="Calibri" w:hAnsi="Times New Roman"/>
          <w:lang w:val="ru-RU"/>
        </w:rPr>
        <w:t>Целевые показатели:</w:t>
      </w:r>
    </w:p>
    <w:p w:rsidR="00E618FE" w:rsidRPr="00470C6C" w:rsidRDefault="00800098">
      <w:pPr>
        <w:pStyle w:val="aff"/>
        <w:spacing w:before="0"/>
        <w:rPr>
          <w:rFonts w:ascii="Times New Roman" w:hAnsi="Times New Roman"/>
          <w:sz w:val="26"/>
          <w:szCs w:val="26"/>
          <w:lang w:val="ru-RU"/>
        </w:rPr>
      </w:pPr>
      <w:r w:rsidRPr="00470C6C">
        <w:rPr>
          <w:rFonts w:ascii="Times New Roman" w:hAnsi="Times New Roman"/>
          <w:sz w:val="26"/>
          <w:szCs w:val="26"/>
          <w:lang w:val="ru-RU"/>
        </w:rPr>
        <w:t xml:space="preserve">Таблица 11.6  Целевые показатели </w:t>
      </w:r>
      <w:r w:rsidRPr="00470C6C">
        <w:rPr>
          <w:rFonts w:ascii="Times New Roman" w:eastAsia="Calibri" w:hAnsi="Times New Roman"/>
          <w:sz w:val="26"/>
          <w:szCs w:val="26"/>
          <w:lang w:val="ru-RU"/>
        </w:rPr>
        <w:t>Стратегического приоритета 3.5. «Инвестиционная привлекательность и внешняя открытость региона»</w:t>
      </w:r>
    </w:p>
    <w:tbl>
      <w:tblPr>
        <w:tblStyle w:val="-14"/>
        <w:tblW w:w="9599" w:type="dxa"/>
        <w:tblLayout w:type="fixed"/>
        <w:tblCellMar>
          <w:top w:w="28" w:type="dxa"/>
          <w:bottom w:w="28" w:type="dxa"/>
        </w:tblCellMar>
        <w:tblLook w:val="04A0" w:firstRow="1" w:lastRow="0" w:firstColumn="1" w:lastColumn="0" w:noHBand="0" w:noVBand="1"/>
      </w:tblPr>
      <w:tblGrid>
        <w:gridCol w:w="6345"/>
        <w:gridCol w:w="1276"/>
        <w:gridCol w:w="992"/>
        <w:gridCol w:w="986"/>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Целевой показатель</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98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 % к базовому году</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132,29</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(базовый год 2020)</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165,00</w:t>
            </w:r>
          </w:p>
        </w:tc>
        <w:tc>
          <w:tcPr>
            <w:tcW w:w="98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180,</w:t>
            </w:r>
            <w:r w:rsidRPr="00535A4B">
              <w:rPr>
                <w:lang w:val="en-US"/>
              </w:rPr>
              <w:t>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34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Объем несырьевого неэнергетического экспорта, </w:t>
            </w:r>
            <w:r w:rsidRPr="00535A4B">
              <w:rPr>
                <w:b w:val="0"/>
                <w:bCs w:val="0"/>
              </w:rPr>
              <w:br/>
              <w:t>млрд долл. США</w:t>
            </w:r>
          </w:p>
        </w:tc>
        <w:tc>
          <w:tcPr>
            <w:tcW w:w="127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0,60</w:t>
            </w:r>
          </w:p>
        </w:tc>
        <w:tc>
          <w:tcPr>
            <w:tcW w:w="98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0,64</w:t>
            </w:r>
          </w:p>
        </w:tc>
      </w:tr>
    </w:tbl>
    <w:p w:rsidR="00E618FE" w:rsidRPr="00535A4B" w:rsidRDefault="00E618FE">
      <w:pPr>
        <w:pStyle w:val="afe"/>
        <w:rPr>
          <w:rFonts w:ascii="Times New Roman" w:eastAsia="Calibri" w:hAnsi="Times New Roman"/>
          <w:b/>
          <w:bCs/>
          <w:color w:val="auto"/>
          <w:spacing w:val="24"/>
          <w:sz w:val="28"/>
          <w:lang w:eastAsia="en-US"/>
        </w:rPr>
      </w:pPr>
    </w:p>
    <w:p w:rsidR="00E618FE" w:rsidRPr="00535A4B" w:rsidRDefault="00800098">
      <w:pPr>
        <w:pStyle w:val="afe"/>
        <w:rPr>
          <w:rFonts w:ascii="Times New Roman" w:eastAsia="Calibri" w:hAnsi="Times New Roman"/>
          <w:b/>
          <w:bCs/>
          <w:color w:val="auto"/>
          <w:spacing w:val="24"/>
          <w:sz w:val="28"/>
          <w:lang w:eastAsia="en-US"/>
        </w:rPr>
      </w:pPr>
      <w:r w:rsidRPr="00535A4B">
        <w:rPr>
          <w:rFonts w:ascii="Times New Roman" w:eastAsia="PT Astra Serif" w:hAnsi="Times New Roman"/>
          <w:color w:val="auto"/>
          <w:sz w:val="22"/>
          <w:szCs w:val="22"/>
          <w:lang w:bidi="en-US"/>
        </w:rPr>
        <w:t>*2025, 2030 годы — данные из отчета Губернатора Томской области, 2036 год — возможно изменение методического подхода.</w:t>
      </w:r>
      <w:bookmarkEnd w:id="137"/>
    </w:p>
    <w:p w:rsidR="00E618FE" w:rsidRPr="00535A4B" w:rsidRDefault="00800098">
      <w:pPr>
        <w:pStyle w:val="41"/>
        <w:rPr>
          <w:rFonts w:ascii="Times New Roman" w:eastAsia="Calibri" w:hAnsi="Times New Roman"/>
          <w:lang w:val="ru-RU"/>
        </w:rPr>
      </w:pPr>
      <w:r w:rsidRPr="00535A4B">
        <w:rPr>
          <w:rFonts w:ascii="Times New Roman" w:eastAsia="Calibri" w:hAnsi="Times New Roman"/>
          <w:lang w:val="ru-RU"/>
        </w:rPr>
        <w:t>Флагманские инициативы:</w:t>
      </w:r>
    </w:p>
    <w:p w:rsidR="00E618FE" w:rsidRPr="00470C6C" w:rsidRDefault="00800098">
      <w:pPr>
        <w:pStyle w:val="a4"/>
        <w:rPr>
          <w:rFonts w:ascii="Times New Roman" w:eastAsia="Calibri" w:hAnsi="Times New Roman"/>
          <w:color w:val="auto"/>
          <w:sz w:val="26"/>
          <w:szCs w:val="26"/>
        </w:rPr>
      </w:pPr>
      <w:r w:rsidRPr="00470C6C">
        <w:rPr>
          <w:rFonts w:ascii="Times New Roman" w:eastAsia="Calibri" w:hAnsi="Times New Roman"/>
          <w:color w:val="auto"/>
          <w:sz w:val="26"/>
          <w:szCs w:val="26"/>
        </w:rPr>
        <w:t xml:space="preserve">Достижению данной цели содействуют три комплексные флагманские инициативы, объединяющие девять флагманских инициатив. </w:t>
      </w:r>
    </w:p>
    <w:p w:rsidR="00E618FE" w:rsidRPr="00470C6C" w:rsidRDefault="00800098">
      <w:pPr>
        <w:pStyle w:val="a4"/>
        <w:rPr>
          <w:rFonts w:ascii="Times New Roman" w:eastAsia="Calibri" w:hAnsi="Times New Roman"/>
          <w:color w:val="auto"/>
          <w:sz w:val="26"/>
          <w:szCs w:val="26"/>
        </w:rPr>
      </w:pPr>
      <w:r w:rsidRPr="00470C6C">
        <w:rPr>
          <w:rFonts w:ascii="Times New Roman" w:eastAsia="Calibri" w:hAnsi="Times New Roman"/>
          <w:color w:val="auto"/>
          <w:sz w:val="26"/>
          <w:szCs w:val="26"/>
        </w:rPr>
        <w:t>1. Комплексная флагманская инициатива «Технологическое лидерство»:</w:t>
      </w:r>
    </w:p>
    <w:p w:rsidR="00E618FE" w:rsidRPr="00470C6C" w:rsidRDefault="00800098">
      <w:pPr>
        <w:pStyle w:val="a4"/>
        <w:ind w:left="1069" w:firstLine="0"/>
        <w:rPr>
          <w:rFonts w:ascii="Times New Roman" w:eastAsia="Calibri" w:hAnsi="Times New Roman"/>
          <w:color w:val="auto"/>
          <w:sz w:val="26"/>
          <w:szCs w:val="26"/>
        </w:rPr>
      </w:pPr>
      <w:r w:rsidRPr="00470C6C">
        <w:rPr>
          <w:rFonts w:ascii="Times New Roman" w:eastAsia="Calibri" w:hAnsi="Times New Roman"/>
          <w:color w:val="auto"/>
          <w:sz w:val="26"/>
          <w:szCs w:val="26"/>
        </w:rPr>
        <w:t>— «Прорыв в энергетике и атомных технологиях»;</w:t>
      </w:r>
    </w:p>
    <w:p w:rsidR="00E618FE" w:rsidRPr="00470C6C" w:rsidRDefault="00800098">
      <w:pPr>
        <w:pStyle w:val="a4"/>
        <w:ind w:left="1069" w:firstLine="0"/>
        <w:rPr>
          <w:rFonts w:ascii="Times New Roman" w:hAnsi="Times New Roman"/>
          <w:color w:val="auto"/>
          <w:sz w:val="26"/>
          <w:szCs w:val="26"/>
        </w:rPr>
      </w:pPr>
      <w:r w:rsidRPr="00470C6C">
        <w:rPr>
          <w:rFonts w:ascii="Times New Roman" w:eastAsia="Calibri" w:hAnsi="Times New Roman"/>
          <w:color w:val="auto"/>
          <w:sz w:val="26"/>
          <w:szCs w:val="26"/>
        </w:rPr>
        <w:t>— «Современный м</w:t>
      </w:r>
      <w:r w:rsidRPr="00470C6C">
        <w:rPr>
          <w:rFonts w:ascii="Times New Roman" w:hAnsi="Times New Roman"/>
          <w:color w:val="auto"/>
          <w:sz w:val="26"/>
          <w:szCs w:val="26"/>
        </w:rPr>
        <w:t xml:space="preserve">ежвузовский кампус в г. Томске </w:t>
      </w:r>
      <w:r w:rsidR="00470C6C">
        <w:rPr>
          <w:rFonts w:ascii="Times New Roman" w:hAnsi="Times New Roman"/>
          <w:color w:val="auto"/>
          <w:sz w:val="26"/>
          <w:szCs w:val="26"/>
        </w:rPr>
        <w:t>–</w:t>
      </w:r>
      <w:r w:rsidRPr="00470C6C">
        <w:rPr>
          <w:rFonts w:ascii="Times New Roman" w:hAnsi="Times New Roman"/>
          <w:color w:val="auto"/>
          <w:sz w:val="26"/>
          <w:szCs w:val="26"/>
        </w:rPr>
        <w:t xml:space="preserve"> платформа технологического лидерства и среда самореализации молодежи».</w:t>
      </w:r>
    </w:p>
    <w:p w:rsidR="00E618FE" w:rsidRPr="00470C6C" w:rsidRDefault="00800098">
      <w:pPr>
        <w:pStyle w:val="a4"/>
        <w:rPr>
          <w:rFonts w:ascii="Times New Roman" w:eastAsia="Calibri" w:hAnsi="Times New Roman"/>
          <w:color w:val="auto"/>
          <w:sz w:val="26"/>
          <w:szCs w:val="26"/>
        </w:rPr>
      </w:pPr>
      <w:r w:rsidRPr="00470C6C">
        <w:rPr>
          <w:rFonts w:ascii="Times New Roman" w:hAnsi="Times New Roman"/>
          <w:color w:val="auto"/>
          <w:sz w:val="26"/>
          <w:szCs w:val="26"/>
        </w:rPr>
        <w:t>2. </w:t>
      </w:r>
      <w:r w:rsidRPr="00470C6C">
        <w:rPr>
          <w:rFonts w:ascii="Times New Roman" w:eastAsia="Calibri" w:hAnsi="Times New Roman"/>
          <w:color w:val="auto"/>
          <w:sz w:val="26"/>
          <w:szCs w:val="26"/>
        </w:rPr>
        <w:t>Комплексная флагманская инициатива «Технологический суверенитет»:</w:t>
      </w:r>
    </w:p>
    <w:p w:rsidR="00E618FE" w:rsidRPr="00470C6C" w:rsidRDefault="00800098">
      <w:pPr>
        <w:pStyle w:val="a4"/>
        <w:ind w:left="1069" w:firstLine="0"/>
        <w:rPr>
          <w:rFonts w:ascii="Times New Roman" w:eastAsia="Calibri" w:hAnsi="Times New Roman"/>
          <w:color w:val="auto"/>
          <w:sz w:val="26"/>
          <w:szCs w:val="26"/>
        </w:rPr>
      </w:pPr>
      <w:r w:rsidRPr="00470C6C">
        <w:rPr>
          <w:rFonts w:ascii="Times New Roman" w:eastAsia="Calibri" w:hAnsi="Times New Roman"/>
          <w:color w:val="auto"/>
          <w:sz w:val="26"/>
          <w:szCs w:val="26"/>
        </w:rPr>
        <w:t>— «Промышленный кластер «Кластер электроники и беспилотных технологий на территории Томской области»;</w:t>
      </w:r>
    </w:p>
    <w:p w:rsidR="00E618FE" w:rsidRPr="00470C6C" w:rsidRDefault="00800098">
      <w:pPr>
        <w:pStyle w:val="a4"/>
        <w:ind w:left="1069" w:firstLine="0"/>
        <w:rPr>
          <w:rFonts w:ascii="Times New Roman" w:eastAsia="Calibri" w:hAnsi="Times New Roman"/>
          <w:color w:val="auto"/>
          <w:sz w:val="26"/>
          <w:szCs w:val="26"/>
        </w:rPr>
      </w:pPr>
      <w:r w:rsidRPr="00470C6C">
        <w:rPr>
          <w:rFonts w:ascii="Times New Roman" w:eastAsia="Calibri" w:hAnsi="Times New Roman"/>
          <w:color w:val="auto"/>
          <w:sz w:val="26"/>
          <w:szCs w:val="26"/>
        </w:rPr>
        <w:t xml:space="preserve">— «Промышленный кластер «Цветные и редкоземельные металлы»; </w:t>
      </w:r>
    </w:p>
    <w:p w:rsidR="00E618FE" w:rsidRPr="00470C6C" w:rsidRDefault="00800098">
      <w:pPr>
        <w:pStyle w:val="a4"/>
        <w:ind w:left="1069" w:firstLine="0"/>
        <w:rPr>
          <w:rFonts w:ascii="Times New Roman" w:eastAsia="Calibri" w:hAnsi="Times New Roman"/>
          <w:color w:val="auto"/>
          <w:sz w:val="26"/>
          <w:szCs w:val="26"/>
        </w:rPr>
      </w:pPr>
      <w:r w:rsidRPr="00470C6C">
        <w:rPr>
          <w:rFonts w:ascii="Times New Roman" w:eastAsia="Calibri" w:hAnsi="Times New Roman"/>
          <w:color w:val="auto"/>
          <w:sz w:val="26"/>
          <w:szCs w:val="26"/>
        </w:rPr>
        <w:t>— «Химический кластер»;</w:t>
      </w:r>
    </w:p>
    <w:p w:rsidR="00E618FE" w:rsidRPr="00470C6C" w:rsidRDefault="00800098">
      <w:pPr>
        <w:pStyle w:val="a4"/>
        <w:ind w:left="1069" w:firstLine="0"/>
        <w:rPr>
          <w:rFonts w:ascii="Times New Roman" w:hAnsi="Times New Roman"/>
          <w:color w:val="auto"/>
          <w:sz w:val="26"/>
          <w:szCs w:val="26"/>
        </w:rPr>
      </w:pPr>
      <w:r w:rsidRPr="00470C6C">
        <w:rPr>
          <w:rFonts w:ascii="Times New Roman" w:eastAsia="Calibri" w:hAnsi="Times New Roman"/>
          <w:color w:val="auto"/>
          <w:sz w:val="26"/>
          <w:szCs w:val="26"/>
        </w:rPr>
        <w:t>— «Промышленный кластер «Лес, лесопереработка и лесохимия»);</w:t>
      </w:r>
    </w:p>
    <w:p w:rsidR="00E618FE" w:rsidRPr="00470C6C" w:rsidRDefault="00800098">
      <w:pPr>
        <w:pStyle w:val="a4"/>
        <w:ind w:left="1069" w:firstLine="0"/>
        <w:rPr>
          <w:rFonts w:ascii="Times New Roman" w:hAnsi="Times New Roman"/>
          <w:color w:val="auto"/>
          <w:sz w:val="26"/>
          <w:szCs w:val="26"/>
        </w:rPr>
      </w:pPr>
      <w:r w:rsidRPr="00470C6C">
        <w:rPr>
          <w:rFonts w:ascii="Times New Roman" w:eastAsia="Calibri" w:hAnsi="Times New Roman"/>
          <w:color w:val="auto"/>
          <w:sz w:val="26"/>
          <w:szCs w:val="26"/>
        </w:rPr>
        <w:t xml:space="preserve">— «Томская область </w:t>
      </w:r>
      <w:r w:rsidR="00470C6C">
        <w:rPr>
          <w:rFonts w:ascii="Times New Roman" w:eastAsia="Calibri" w:hAnsi="Times New Roman"/>
          <w:color w:val="auto"/>
          <w:sz w:val="26"/>
          <w:szCs w:val="26"/>
        </w:rPr>
        <w:t>–</w:t>
      </w:r>
      <w:r w:rsidRPr="00470C6C">
        <w:rPr>
          <w:rFonts w:ascii="Times New Roman" w:eastAsia="Calibri" w:hAnsi="Times New Roman"/>
          <w:color w:val="auto"/>
          <w:sz w:val="26"/>
          <w:szCs w:val="26"/>
        </w:rPr>
        <w:t xml:space="preserve"> территория доверия инвесторов».</w:t>
      </w:r>
    </w:p>
    <w:p w:rsidR="00E618FE" w:rsidRPr="00470C6C" w:rsidRDefault="00800098">
      <w:pPr>
        <w:pStyle w:val="a4"/>
        <w:rPr>
          <w:rFonts w:ascii="Times New Roman" w:eastAsia="Calibri" w:hAnsi="Times New Roman"/>
          <w:color w:val="auto"/>
          <w:sz w:val="26"/>
          <w:szCs w:val="26"/>
        </w:rPr>
      </w:pPr>
      <w:r w:rsidRPr="00470C6C">
        <w:rPr>
          <w:rFonts w:ascii="Times New Roman" w:eastAsia="Calibri" w:hAnsi="Times New Roman"/>
          <w:color w:val="auto"/>
          <w:sz w:val="26"/>
          <w:szCs w:val="26"/>
        </w:rPr>
        <w:t xml:space="preserve">3. Комплексная флагманская инициатива «Индустрия творчества </w:t>
      </w:r>
      <w:r w:rsidRPr="00470C6C">
        <w:rPr>
          <w:rFonts w:ascii="Times New Roman" w:eastAsia="Calibri" w:hAnsi="Times New Roman"/>
          <w:color w:val="auto"/>
          <w:sz w:val="26"/>
          <w:szCs w:val="26"/>
        </w:rPr>
        <w:br/>
        <w:t>и туризм»:</w:t>
      </w:r>
    </w:p>
    <w:p w:rsidR="00E618FE" w:rsidRPr="00470C6C" w:rsidRDefault="00800098">
      <w:pPr>
        <w:pStyle w:val="a4"/>
        <w:ind w:left="1069" w:firstLine="0"/>
        <w:rPr>
          <w:rFonts w:ascii="Times New Roman" w:eastAsia="Calibri" w:hAnsi="Times New Roman"/>
          <w:color w:val="auto"/>
          <w:sz w:val="26"/>
          <w:szCs w:val="26"/>
        </w:rPr>
      </w:pPr>
      <w:r w:rsidRPr="00470C6C">
        <w:rPr>
          <w:rFonts w:ascii="Times New Roman" w:eastAsia="Calibri" w:hAnsi="Times New Roman"/>
          <w:color w:val="auto"/>
          <w:sz w:val="26"/>
          <w:szCs w:val="26"/>
        </w:rPr>
        <w:t>—  Креати</w:t>
      </w:r>
      <w:r w:rsidR="00470C6C">
        <w:rPr>
          <w:rFonts w:ascii="Times New Roman" w:eastAsia="Calibri" w:hAnsi="Times New Roman"/>
          <w:color w:val="auto"/>
          <w:sz w:val="26"/>
          <w:szCs w:val="26"/>
        </w:rPr>
        <w:t>вная экономика Томской области –</w:t>
      </w:r>
      <w:r w:rsidRPr="00470C6C">
        <w:rPr>
          <w:rFonts w:ascii="Times New Roman" w:eastAsia="Calibri" w:hAnsi="Times New Roman"/>
          <w:color w:val="auto"/>
          <w:sz w:val="26"/>
          <w:szCs w:val="26"/>
        </w:rPr>
        <w:t xml:space="preserve"> формула роста»;</w:t>
      </w:r>
    </w:p>
    <w:p w:rsidR="00E618FE" w:rsidRPr="00470C6C" w:rsidRDefault="00800098">
      <w:pPr>
        <w:pStyle w:val="a4"/>
        <w:ind w:left="1069" w:firstLine="0"/>
        <w:rPr>
          <w:rFonts w:ascii="Times New Roman" w:eastAsia="Calibri" w:hAnsi="Times New Roman"/>
          <w:color w:val="auto"/>
          <w:sz w:val="26"/>
          <w:szCs w:val="26"/>
        </w:rPr>
      </w:pPr>
      <w:r w:rsidRPr="00470C6C">
        <w:rPr>
          <w:rFonts w:ascii="Times New Roman" w:eastAsia="Calibri" w:hAnsi="Times New Roman"/>
          <w:color w:val="auto"/>
          <w:sz w:val="26"/>
          <w:szCs w:val="26"/>
        </w:rPr>
        <w:t xml:space="preserve">— «Инфраструктура гостеприимной Сибири для путешествий </w:t>
      </w:r>
      <w:r w:rsidR="00470C6C">
        <w:rPr>
          <w:rFonts w:ascii="Times New Roman" w:eastAsia="Calibri" w:hAnsi="Times New Roman"/>
          <w:color w:val="auto"/>
          <w:sz w:val="26"/>
          <w:szCs w:val="26"/>
        </w:rPr>
        <w:br/>
      </w:r>
      <w:r w:rsidRPr="00470C6C">
        <w:rPr>
          <w:rFonts w:ascii="Times New Roman" w:eastAsia="Calibri" w:hAnsi="Times New Roman"/>
          <w:color w:val="auto"/>
          <w:sz w:val="26"/>
          <w:szCs w:val="26"/>
        </w:rPr>
        <w:t>и экономики впечатлений».</w:t>
      </w:r>
    </w:p>
    <w:p w:rsidR="00E618FE" w:rsidRPr="00470C6C" w:rsidRDefault="00800098">
      <w:pPr>
        <w:pStyle w:val="a4"/>
        <w:rPr>
          <w:rFonts w:ascii="Times New Roman" w:eastAsia="Calibri" w:hAnsi="Times New Roman"/>
          <w:color w:val="auto"/>
          <w:sz w:val="26"/>
          <w:szCs w:val="26"/>
        </w:rPr>
      </w:pPr>
      <w:r w:rsidRPr="00470C6C">
        <w:rPr>
          <w:rFonts w:ascii="Times New Roman" w:eastAsia="Calibri" w:hAnsi="Times New Roman"/>
          <w:color w:val="auto"/>
          <w:sz w:val="26"/>
          <w:szCs w:val="26"/>
        </w:rPr>
        <w:t xml:space="preserve">Информация по всем флагманским инициативам представлена </w:t>
      </w:r>
      <w:r w:rsidRPr="00470C6C">
        <w:rPr>
          <w:rFonts w:ascii="Times New Roman" w:eastAsia="Calibri" w:hAnsi="Times New Roman"/>
          <w:color w:val="auto"/>
          <w:sz w:val="26"/>
          <w:szCs w:val="26"/>
        </w:rPr>
        <w:br/>
        <w:t>в приложении Д.</w:t>
      </w:r>
    </w:p>
    <w:p w:rsidR="00E618FE" w:rsidRPr="00535A4B" w:rsidRDefault="00800098">
      <w:pPr>
        <w:spacing w:after="160" w:line="259" w:lineRule="auto"/>
        <w:rPr>
          <w:rFonts w:eastAsia="PT Astra Serif"/>
          <w:b/>
          <w:caps/>
          <w:sz w:val="28"/>
          <w:szCs w:val="32"/>
          <w:lang w:eastAsia="en-US" w:bidi="en-US"/>
        </w:rPr>
      </w:pPr>
      <w:r w:rsidRPr="00535A4B">
        <w:rPr>
          <w:rFonts w:eastAsia="PT Astra Serif"/>
        </w:rPr>
        <w:br w:type="page" w:clear="all"/>
      </w:r>
    </w:p>
    <w:p w:rsidR="00E618FE" w:rsidRPr="00535A4B" w:rsidRDefault="00800098">
      <w:pPr>
        <w:pStyle w:val="10"/>
        <w:rPr>
          <w:rFonts w:ascii="Times New Roman" w:eastAsia="PT Astra Serif" w:hAnsi="Times New Roman" w:cs="Times New Roman"/>
          <w:lang w:val="ru-RU"/>
        </w:rPr>
      </w:pPr>
      <w:bookmarkStart w:id="158" w:name="_Toc235810159"/>
      <w:bookmarkStart w:id="159" w:name="_Toc238554547"/>
      <w:r w:rsidRPr="00535A4B">
        <w:rPr>
          <w:rFonts w:ascii="Times New Roman" w:eastAsia="PT Astra Serif" w:hAnsi="Times New Roman" w:cs="Times New Roman"/>
          <w:lang w:val="ru-RU"/>
        </w:rPr>
        <w:lastRenderedPageBreak/>
        <w:t>12. Региональная цель 4 «Сбалансированное пространственное развитие, улучшение качества инфраструктуры»</w:t>
      </w:r>
      <w:bookmarkEnd w:id="158"/>
      <w:bookmarkEnd w:id="159"/>
    </w:p>
    <w:p w:rsidR="00E618FE" w:rsidRPr="00535A4B" w:rsidRDefault="00E618FE">
      <w:pPr>
        <w:pStyle w:val="a4"/>
        <w:rPr>
          <w:rFonts w:ascii="Times New Roman" w:hAnsi="Times New Roman"/>
          <w:color w:val="auto"/>
        </w:rPr>
      </w:pPr>
    </w:p>
    <w:p w:rsidR="00E618FE" w:rsidRPr="00470C6C" w:rsidRDefault="00800098">
      <w:pPr>
        <w:ind w:firstLine="709"/>
        <w:jc w:val="both"/>
        <w:rPr>
          <w:sz w:val="26"/>
          <w:szCs w:val="26"/>
        </w:rPr>
      </w:pPr>
      <w:r w:rsidRPr="00470C6C">
        <w:rPr>
          <w:sz w:val="26"/>
          <w:szCs w:val="26"/>
        </w:rPr>
        <w:t xml:space="preserve">Ключевой тенденцией пространственного развития области является </w:t>
      </w:r>
      <w:r w:rsidR="0041352B">
        <w:rPr>
          <w:sz w:val="26"/>
          <w:szCs w:val="26"/>
        </w:rPr>
        <w:br/>
      </w:r>
      <w:r w:rsidRPr="00470C6C">
        <w:rPr>
          <w:sz w:val="26"/>
          <w:szCs w:val="26"/>
        </w:rPr>
        <w:t xml:space="preserve">ее поляризация на концентрирующую основную часть социально-экономического потенциала региона Томскую агломерацию и недостаточно развитую периферию. Данная тенденция сформировалась под влиянием как исторически сложившегося характера расселения и размещения производительных сил, так и постсоветской концентрации инвестиционной активности в крупнейших хозяйственных </w:t>
      </w:r>
      <w:r w:rsidR="0041352B">
        <w:rPr>
          <w:sz w:val="26"/>
          <w:szCs w:val="26"/>
        </w:rPr>
        <w:br/>
      </w:r>
      <w:r w:rsidRPr="00470C6C">
        <w:rPr>
          <w:sz w:val="26"/>
          <w:szCs w:val="26"/>
        </w:rPr>
        <w:t xml:space="preserve">и инфраструктурных узлах. Основным социально-экономическим фактором, усугубляющим поляризацию системы расселения, является депопуляция </w:t>
      </w:r>
      <w:r w:rsidR="0041352B">
        <w:rPr>
          <w:sz w:val="26"/>
          <w:szCs w:val="26"/>
        </w:rPr>
        <w:br/>
      </w:r>
      <w:r w:rsidRPr="00470C6C">
        <w:rPr>
          <w:sz w:val="26"/>
          <w:szCs w:val="26"/>
        </w:rPr>
        <w:t>и внутренняя миграция по иерархии населенных пунктов (из меньших в большие).</w:t>
      </w:r>
    </w:p>
    <w:p w:rsidR="00E618FE" w:rsidRPr="00470C6C" w:rsidRDefault="00800098">
      <w:pPr>
        <w:ind w:firstLine="709"/>
        <w:jc w:val="both"/>
        <w:rPr>
          <w:sz w:val="26"/>
          <w:szCs w:val="26"/>
        </w:rPr>
      </w:pPr>
      <w:r w:rsidRPr="00470C6C">
        <w:rPr>
          <w:sz w:val="26"/>
          <w:szCs w:val="26"/>
        </w:rPr>
        <w:t>Пространственная политика области должна способствовать функциональному развитию Томской агломерации. Одновременно необходимо замедлить темпы сокращения численности населения периферии, чтобы избежать разрушения производства в первичном секторе экономики (сельское и лесное хозяйство) и деградации коммуникационных инфраструктур, что резко негативно скажется на обеспечении сырьем перерабатывающих предприятий.</w:t>
      </w:r>
    </w:p>
    <w:p w:rsidR="00E618FE" w:rsidRPr="00470C6C" w:rsidRDefault="00800098">
      <w:pPr>
        <w:ind w:firstLine="709"/>
        <w:jc w:val="both"/>
        <w:rPr>
          <w:sz w:val="26"/>
          <w:szCs w:val="26"/>
          <w:lang w:bidi="en-US"/>
        </w:rPr>
      </w:pPr>
      <w:r w:rsidRPr="00470C6C">
        <w:rPr>
          <w:sz w:val="26"/>
          <w:szCs w:val="26"/>
          <w:lang w:bidi="en-US"/>
        </w:rPr>
        <w:t>Соответственно, требуется проведение мероприятий по переходу к стратегии стабилизационного развития, включающих задачи по оптимизации системы расселения, коммуникационных и социальных инфраструктур, эффективной пространственной организации хозяйственной деятельности.</w:t>
      </w:r>
    </w:p>
    <w:p w:rsidR="00E618FE" w:rsidRPr="00470C6C" w:rsidRDefault="00800098">
      <w:pPr>
        <w:ind w:firstLine="709"/>
        <w:jc w:val="both"/>
        <w:rPr>
          <w:sz w:val="26"/>
          <w:szCs w:val="26"/>
          <w:lang w:bidi="en-US"/>
        </w:rPr>
      </w:pPr>
      <w:r w:rsidRPr="00470C6C">
        <w:rPr>
          <w:sz w:val="26"/>
          <w:szCs w:val="26"/>
          <w:lang w:bidi="en-US"/>
        </w:rPr>
        <w:t xml:space="preserve">С учетом положений Стратегии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года </w:t>
      </w:r>
      <w:r w:rsidR="0041352B">
        <w:rPr>
          <w:sz w:val="26"/>
          <w:szCs w:val="26"/>
          <w:lang w:bidi="en-US"/>
        </w:rPr>
        <w:br/>
      </w:r>
      <w:r w:rsidRPr="00470C6C">
        <w:rPr>
          <w:sz w:val="26"/>
          <w:szCs w:val="26"/>
          <w:lang w:bidi="en-US"/>
        </w:rPr>
        <w:t xml:space="preserve">№ 4146-р, </w:t>
      </w:r>
      <w:r w:rsidRPr="00470C6C">
        <w:rPr>
          <w:b/>
          <w:sz w:val="26"/>
          <w:szCs w:val="26"/>
          <w:lang w:bidi="en-US"/>
        </w:rPr>
        <w:t xml:space="preserve">основные задачи пространственного развития Томской области </w:t>
      </w:r>
      <w:r w:rsidRPr="00470C6C">
        <w:rPr>
          <w:sz w:val="26"/>
          <w:szCs w:val="26"/>
          <w:lang w:bidi="en-US"/>
        </w:rPr>
        <w:t>следующие:</w:t>
      </w:r>
    </w:p>
    <w:p w:rsidR="00E618FE" w:rsidRPr="00470C6C" w:rsidRDefault="00800098">
      <w:pPr>
        <w:ind w:firstLine="709"/>
        <w:jc w:val="both"/>
        <w:rPr>
          <w:sz w:val="26"/>
          <w:szCs w:val="26"/>
        </w:rPr>
      </w:pPr>
      <w:r w:rsidRPr="00470C6C">
        <w:rPr>
          <w:sz w:val="26"/>
          <w:szCs w:val="26"/>
        </w:rPr>
        <w:t>1. Формирование сбалансированной территориальной организации экономики за счет:</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обеспечения научно-технологического и инновационного развития Томской агломерации, в том числе посредством развития необходимых транспортной, энергетической и социальной инфраструктур, а также поддержки высокотехнологических и наукоемких отраслей производства товаров и услуг;</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обеспечения опережающего развития транспортной и энергетической инфраструктуры в опорных населенных пунктах, в которых реализуются новые инвестиционные проекты, существенно влияющие на экономику территории;</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xml:space="preserve"> обеспечения консервативного (поддерживающего) развития социальной </w:t>
      </w:r>
      <w:r w:rsidR="0041352B">
        <w:rPr>
          <w:sz w:val="26"/>
          <w:szCs w:val="26"/>
        </w:rPr>
        <w:br/>
      </w:r>
      <w:r w:rsidRPr="00470C6C">
        <w:rPr>
          <w:sz w:val="26"/>
          <w:szCs w:val="26"/>
        </w:rPr>
        <w:t>и коммуникационной инфраструктуры в сравнительно крупных и демографически стабильных населенных пунктах, не имеющих перспектив существенного инвестиционного развития.</w:t>
      </w:r>
    </w:p>
    <w:p w:rsidR="00E618FE" w:rsidRPr="00470C6C" w:rsidRDefault="00800098">
      <w:pPr>
        <w:ind w:firstLine="709"/>
        <w:jc w:val="both"/>
        <w:rPr>
          <w:sz w:val="26"/>
          <w:szCs w:val="26"/>
        </w:rPr>
      </w:pPr>
      <w:r w:rsidRPr="00470C6C">
        <w:rPr>
          <w:sz w:val="26"/>
          <w:szCs w:val="26"/>
        </w:rPr>
        <w:t>2. Создание условий для роста численности населения и рождаемости за счет:</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повышения доступности для населения медицинской помощи, общего образования и среднего профессионального образования, услуг организаций культуры и физкультурно-спортивных организаций;</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развития разнообразного и сбалансированного рынка труда, обеспечения занятости жителей всех районов области;</w:t>
      </w:r>
    </w:p>
    <w:p w:rsidR="00E618FE" w:rsidRPr="00470C6C" w:rsidRDefault="00800098">
      <w:pPr>
        <w:ind w:firstLine="709"/>
        <w:jc w:val="both"/>
        <w:rPr>
          <w:sz w:val="26"/>
          <w:szCs w:val="26"/>
        </w:rPr>
      </w:pPr>
      <w:r w:rsidRPr="00470C6C">
        <w:rPr>
          <w:rFonts w:eastAsia="Aptos"/>
          <w:sz w:val="26"/>
          <w:szCs w:val="26"/>
          <w:lang w:eastAsia="en-US"/>
          <w14:ligatures w14:val="standardContextual"/>
        </w:rPr>
        <w:lastRenderedPageBreak/>
        <w:t>—</w:t>
      </w:r>
      <w:r w:rsidRPr="00470C6C">
        <w:rPr>
          <w:sz w:val="26"/>
          <w:szCs w:val="26"/>
        </w:rPr>
        <w:t xml:space="preserve"> стимулирования малоэтажного и индивидуального жилищного строительства в пригородной зоне Томской агломерации, а также в малых городах </w:t>
      </w:r>
      <w:r w:rsidR="0041352B">
        <w:rPr>
          <w:sz w:val="26"/>
          <w:szCs w:val="26"/>
        </w:rPr>
        <w:br/>
      </w:r>
      <w:r w:rsidRPr="00470C6C">
        <w:rPr>
          <w:sz w:val="26"/>
          <w:szCs w:val="26"/>
        </w:rPr>
        <w:t>и сельских населенных пунктах.</w:t>
      </w:r>
    </w:p>
    <w:p w:rsidR="00E618FE" w:rsidRPr="00470C6C" w:rsidRDefault="00800098">
      <w:pPr>
        <w:ind w:firstLine="709"/>
        <w:jc w:val="both"/>
        <w:rPr>
          <w:sz w:val="26"/>
          <w:szCs w:val="26"/>
        </w:rPr>
      </w:pPr>
      <w:r w:rsidRPr="00470C6C">
        <w:rPr>
          <w:sz w:val="26"/>
          <w:szCs w:val="26"/>
        </w:rPr>
        <w:t xml:space="preserve">3. Создание условий для обеспечения устойчивости системы расселения </w:t>
      </w:r>
      <w:r w:rsidR="0041352B">
        <w:rPr>
          <w:sz w:val="26"/>
          <w:szCs w:val="26"/>
        </w:rPr>
        <w:br/>
      </w:r>
      <w:r w:rsidRPr="00470C6C">
        <w:rPr>
          <w:sz w:val="26"/>
          <w:szCs w:val="26"/>
        </w:rPr>
        <w:t>за счет:</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xml:space="preserve"> выявления узлов и площадок перспективного инвестиционного развития </w:t>
      </w:r>
      <w:r w:rsidR="0041352B">
        <w:rPr>
          <w:sz w:val="26"/>
          <w:szCs w:val="26"/>
        </w:rPr>
        <w:br/>
      </w:r>
      <w:r w:rsidRPr="00470C6C">
        <w:rPr>
          <w:sz w:val="26"/>
          <w:szCs w:val="26"/>
        </w:rPr>
        <w:t>на периферии области в целях снижения социально-экономических диспропорций частей региона;</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xml:space="preserve"> обеспечения транспортной связности трудоизбыточных территорий </w:t>
      </w:r>
      <w:r w:rsidR="0041352B">
        <w:rPr>
          <w:sz w:val="26"/>
          <w:szCs w:val="26"/>
        </w:rPr>
        <w:br/>
      </w:r>
      <w:r w:rsidRPr="00470C6C">
        <w:rPr>
          <w:sz w:val="26"/>
          <w:szCs w:val="26"/>
        </w:rPr>
        <w:t>с значимыми хозяйственными центрами в целях формирования общего рынка труда;</w:t>
      </w:r>
    </w:p>
    <w:p w:rsidR="00E618FE" w:rsidRPr="00470C6C" w:rsidRDefault="00800098">
      <w:pPr>
        <w:ind w:firstLine="709"/>
        <w:jc w:val="both"/>
        <w:rPr>
          <w:sz w:val="26"/>
          <w:szCs w:val="26"/>
        </w:rPr>
      </w:pPr>
      <w:r w:rsidRPr="00470C6C">
        <w:rPr>
          <w:rFonts w:eastAsia="Aptos"/>
          <w:sz w:val="26"/>
          <w:szCs w:val="26"/>
          <w:lang w:eastAsia="en-US"/>
          <w14:ligatures w14:val="standardContextual"/>
        </w:rPr>
        <w:t>—</w:t>
      </w:r>
      <w:r w:rsidRPr="00470C6C">
        <w:rPr>
          <w:sz w:val="26"/>
          <w:szCs w:val="26"/>
        </w:rPr>
        <w:t> создания благоприятной среды проживания, благоустройства населенных пунктов.</w:t>
      </w:r>
    </w:p>
    <w:p w:rsidR="00E618FE" w:rsidRPr="00470C6C" w:rsidRDefault="00800098">
      <w:pPr>
        <w:ind w:firstLine="709"/>
        <w:jc w:val="both"/>
        <w:rPr>
          <w:sz w:val="26"/>
          <w:szCs w:val="26"/>
          <w:lang w:eastAsia="ar-SA"/>
        </w:rPr>
      </w:pPr>
      <w:r w:rsidRPr="00470C6C">
        <w:rPr>
          <w:sz w:val="26"/>
          <w:szCs w:val="26"/>
          <w:lang w:eastAsia="ar-SA"/>
        </w:rPr>
        <w:t xml:space="preserve">Сбалансированное пространственное развитие предполагает реализацию мероприятий, направленных на снижение внутрирегиональных диспропорций </w:t>
      </w:r>
      <w:r w:rsidR="0041352B">
        <w:rPr>
          <w:sz w:val="26"/>
          <w:szCs w:val="26"/>
          <w:lang w:eastAsia="ar-SA"/>
        </w:rPr>
        <w:br/>
      </w:r>
      <w:r w:rsidRPr="00470C6C">
        <w:rPr>
          <w:sz w:val="26"/>
          <w:szCs w:val="26"/>
          <w:lang w:eastAsia="ar-SA"/>
        </w:rPr>
        <w:t>в сфере инфраструктурного обеспечения территории, в уровне развития рынка труда, реальных доходов и качества жизни населения.</w:t>
      </w:r>
    </w:p>
    <w:p w:rsidR="00E618FE" w:rsidRPr="00470C6C" w:rsidRDefault="00800098">
      <w:pPr>
        <w:ind w:firstLine="709"/>
        <w:jc w:val="both"/>
        <w:rPr>
          <w:rFonts w:eastAsia="Calibri"/>
          <w:sz w:val="26"/>
          <w:szCs w:val="26"/>
          <w:lang w:eastAsia="ar-SA"/>
        </w:rPr>
      </w:pPr>
      <w:r w:rsidRPr="00470C6C">
        <w:rPr>
          <w:rFonts w:eastAsia="Calibri"/>
          <w:sz w:val="26"/>
          <w:szCs w:val="26"/>
          <w:lang w:eastAsia="ar-SA"/>
        </w:rPr>
        <w:t>Достижение Региональной цели «</w:t>
      </w:r>
      <w:r w:rsidRPr="00470C6C">
        <w:rPr>
          <w:rFonts w:eastAsia="PT Astra Serif"/>
          <w:sz w:val="26"/>
          <w:szCs w:val="26"/>
          <w:lang w:eastAsia="ar-SA"/>
        </w:rPr>
        <w:t>Сбалансированное пространственное развитие, улучшение качества инфраструктуры</w:t>
      </w:r>
      <w:r w:rsidRPr="00470C6C">
        <w:rPr>
          <w:rFonts w:eastAsia="Calibri"/>
          <w:sz w:val="26"/>
          <w:szCs w:val="26"/>
          <w:lang w:eastAsia="ar-SA"/>
        </w:rPr>
        <w:t xml:space="preserve">» обеспечивается реализацией </w:t>
      </w:r>
      <w:r w:rsidRPr="00470C6C">
        <w:rPr>
          <w:rFonts w:eastAsia="Calibri"/>
          <w:b/>
          <w:bCs/>
          <w:sz w:val="26"/>
          <w:szCs w:val="26"/>
          <w:lang w:eastAsia="ar-SA"/>
        </w:rPr>
        <w:t>шести взаимосвязанных стратегических приоритетов</w:t>
      </w:r>
      <w:r w:rsidRPr="00470C6C">
        <w:rPr>
          <w:rFonts w:eastAsia="Calibri"/>
          <w:sz w:val="26"/>
          <w:szCs w:val="26"/>
          <w:lang w:eastAsia="ar-SA"/>
        </w:rPr>
        <w:t>:</w:t>
      </w:r>
    </w:p>
    <w:p w:rsidR="00E618FE" w:rsidRPr="00470C6C" w:rsidRDefault="00800098">
      <w:pPr>
        <w:ind w:firstLine="709"/>
        <w:jc w:val="both"/>
        <w:rPr>
          <w:sz w:val="26"/>
          <w:szCs w:val="26"/>
          <w:lang w:eastAsia="ar-SA"/>
        </w:rPr>
      </w:pPr>
      <w:r w:rsidRPr="00470C6C">
        <w:rPr>
          <w:sz w:val="26"/>
          <w:szCs w:val="26"/>
          <w:lang w:eastAsia="ar-SA"/>
        </w:rPr>
        <w:t>— стратегический приоритет 4.1. «Устойчивое экономическое развитие муниципальных образований Томской области»;</w:t>
      </w:r>
    </w:p>
    <w:p w:rsidR="00E618FE" w:rsidRPr="00470C6C" w:rsidRDefault="00800098">
      <w:pPr>
        <w:ind w:firstLine="709"/>
        <w:jc w:val="both"/>
        <w:rPr>
          <w:sz w:val="26"/>
          <w:szCs w:val="26"/>
          <w:lang w:eastAsia="ar-SA"/>
        </w:rPr>
      </w:pPr>
      <w:r w:rsidRPr="00470C6C">
        <w:rPr>
          <w:sz w:val="26"/>
          <w:szCs w:val="26"/>
          <w:lang w:eastAsia="ar-SA"/>
        </w:rPr>
        <w:t>— стратегический приоритет 4.2. «Сбалансированное развитие системы расселения Томской области;</w:t>
      </w:r>
    </w:p>
    <w:p w:rsidR="00E618FE" w:rsidRPr="00470C6C" w:rsidRDefault="00800098">
      <w:pPr>
        <w:ind w:firstLine="709"/>
        <w:jc w:val="both"/>
        <w:rPr>
          <w:sz w:val="26"/>
          <w:szCs w:val="26"/>
          <w:lang w:eastAsia="ar-SA"/>
        </w:rPr>
      </w:pPr>
      <w:r w:rsidRPr="00470C6C">
        <w:rPr>
          <w:sz w:val="26"/>
          <w:szCs w:val="26"/>
          <w:lang w:eastAsia="ar-SA"/>
        </w:rPr>
        <w:t>— стратегический приоритет 4.3. «Повышение эффективности транспортной и информационно-коммуникационной инфраструктуры»;</w:t>
      </w:r>
    </w:p>
    <w:p w:rsidR="00E618FE" w:rsidRPr="00470C6C" w:rsidRDefault="00800098">
      <w:pPr>
        <w:ind w:firstLine="709"/>
        <w:jc w:val="both"/>
        <w:rPr>
          <w:sz w:val="26"/>
          <w:szCs w:val="26"/>
          <w:lang w:eastAsia="ar-SA"/>
        </w:rPr>
      </w:pPr>
      <w:r w:rsidRPr="00470C6C">
        <w:rPr>
          <w:sz w:val="26"/>
          <w:szCs w:val="26"/>
          <w:lang w:eastAsia="ar-SA"/>
        </w:rPr>
        <w:t xml:space="preserve">— стратегический приоритет 4.4. «Модернизация и развитие жилищной </w:t>
      </w:r>
      <w:r w:rsidR="0041352B">
        <w:rPr>
          <w:sz w:val="26"/>
          <w:szCs w:val="26"/>
          <w:lang w:eastAsia="ar-SA"/>
        </w:rPr>
        <w:br/>
      </w:r>
      <w:r w:rsidRPr="00470C6C">
        <w:rPr>
          <w:sz w:val="26"/>
          <w:szCs w:val="26"/>
          <w:lang w:eastAsia="ar-SA"/>
        </w:rPr>
        <w:t>и коммунальной инфраструктуры, повышение энергоэффективности»;</w:t>
      </w:r>
    </w:p>
    <w:p w:rsidR="00E618FE" w:rsidRPr="00470C6C" w:rsidRDefault="00800098">
      <w:pPr>
        <w:ind w:firstLine="709"/>
        <w:jc w:val="both"/>
        <w:rPr>
          <w:sz w:val="26"/>
          <w:szCs w:val="26"/>
          <w:lang w:eastAsia="ar-SA"/>
        </w:rPr>
      </w:pPr>
      <w:r w:rsidRPr="00470C6C">
        <w:rPr>
          <w:sz w:val="26"/>
          <w:szCs w:val="26"/>
          <w:lang w:eastAsia="ar-SA"/>
        </w:rPr>
        <w:t xml:space="preserve">— стратегический приоритет 4.5. «Развитие комфортной среды жизнедеятельности в населенных пунктах региона»; </w:t>
      </w:r>
    </w:p>
    <w:p w:rsidR="00E618FE" w:rsidRPr="00470C6C" w:rsidRDefault="00800098">
      <w:pPr>
        <w:ind w:firstLine="709"/>
        <w:jc w:val="both"/>
        <w:rPr>
          <w:sz w:val="26"/>
          <w:szCs w:val="26"/>
          <w:lang w:eastAsia="ar-SA"/>
        </w:rPr>
      </w:pPr>
      <w:r w:rsidRPr="00470C6C">
        <w:rPr>
          <w:sz w:val="26"/>
          <w:szCs w:val="26"/>
          <w:lang w:eastAsia="ar-SA"/>
        </w:rPr>
        <w:t>— стратегический приоритет 4.6. «Обеспечение безопасности жизнедеятельности».</w:t>
      </w:r>
    </w:p>
    <w:p w:rsidR="00E618FE" w:rsidRPr="00470C6C" w:rsidRDefault="00E618FE">
      <w:pPr>
        <w:ind w:firstLine="709"/>
        <w:jc w:val="both"/>
        <w:rPr>
          <w:sz w:val="26"/>
          <w:szCs w:val="26"/>
          <w:lang w:eastAsia="ar-SA"/>
        </w:rPr>
      </w:pPr>
    </w:p>
    <w:p w:rsidR="00E618FE" w:rsidRPr="00535A4B" w:rsidRDefault="00800098">
      <w:pPr>
        <w:keepNext/>
        <w:keepLines/>
        <w:ind w:firstLine="709"/>
        <w:jc w:val="both"/>
        <w:outlineLvl w:val="1"/>
        <w:rPr>
          <w:rFonts w:eastAsiaTheme="majorEastAsia"/>
          <w:b/>
          <w:bCs/>
          <w:sz w:val="28"/>
          <w:szCs w:val="26"/>
          <w:lang w:eastAsia="en-US" w:bidi="en-US"/>
        </w:rPr>
      </w:pPr>
      <w:bookmarkStart w:id="160" w:name="_Toc229484485"/>
      <w:bookmarkStart w:id="161" w:name="_Toc229962279"/>
      <w:bookmarkStart w:id="162" w:name="_Toc235810160"/>
      <w:bookmarkStart w:id="163" w:name="_Toc238554548"/>
      <w:r w:rsidRPr="00535A4B">
        <w:rPr>
          <w:rFonts w:eastAsiaTheme="majorEastAsia"/>
          <w:b/>
          <w:bCs/>
          <w:sz w:val="28"/>
          <w:szCs w:val="26"/>
          <w:lang w:eastAsia="en-US" w:bidi="en-US"/>
        </w:rPr>
        <w:t>Стратегический приоритет 4.1. «Устойчивое экономическое развитие муниципальных образований Томской области»</w:t>
      </w:r>
      <w:bookmarkEnd w:id="160"/>
      <w:bookmarkEnd w:id="161"/>
      <w:bookmarkEnd w:id="162"/>
      <w:bookmarkEnd w:id="163"/>
    </w:p>
    <w:p w:rsidR="00E618FE" w:rsidRPr="0041352B" w:rsidRDefault="00800098">
      <w:pPr>
        <w:ind w:firstLine="709"/>
        <w:jc w:val="both"/>
        <w:rPr>
          <w:sz w:val="26"/>
          <w:szCs w:val="26"/>
          <w:lang w:eastAsia="ar-SA"/>
        </w:rPr>
      </w:pPr>
      <w:r w:rsidRPr="0041352B">
        <w:rPr>
          <w:sz w:val="26"/>
          <w:szCs w:val="26"/>
          <w:lang w:eastAsia="ar-SA"/>
        </w:rPr>
        <w:t xml:space="preserve">В фокусе региональной политики находится формирование условий </w:t>
      </w:r>
      <w:r w:rsidR="0041352B">
        <w:rPr>
          <w:sz w:val="26"/>
          <w:szCs w:val="26"/>
          <w:lang w:eastAsia="ar-SA"/>
        </w:rPr>
        <w:br/>
      </w:r>
      <w:r w:rsidRPr="0041352B">
        <w:rPr>
          <w:sz w:val="26"/>
          <w:szCs w:val="26"/>
          <w:lang w:eastAsia="ar-SA"/>
        </w:rPr>
        <w:t xml:space="preserve">для развития устойчивого хозяйственного комплекса муниципальных образований </w:t>
      </w:r>
      <w:r w:rsidR="0041352B">
        <w:rPr>
          <w:sz w:val="26"/>
          <w:szCs w:val="26"/>
          <w:lang w:eastAsia="ar-SA"/>
        </w:rPr>
        <w:br/>
      </w:r>
      <w:r w:rsidRPr="0041352B">
        <w:rPr>
          <w:sz w:val="26"/>
          <w:szCs w:val="26"/>
          <w:lang w:eastAsia="ar-SA"/>
        </w:rPr>
        <w:t xml:space="preserve">с учетом их текущего уровня развития и потенциала. </w:t>
      </w:r>
    </w:p>
    <w:p w:rsidR="00E618FE" w:rsidRPr="0041352B" w:rsidRDefault="00800098">
      <w:pPr>
        <w:ind w:firstLine="709"/>
        <w:jc w:val="both"/>
        <w:rPr>
          <w:sz w:val="26"/>
          <w:szCs w:val="26"/>
          <w:lang w:eastAsia="ar-SA"/>
        </w:rPr>
      </w:pPr>
      <w:r w:rsidRPr="0041352B">
        <w:rPr>
          <w:sz w:val="26"/>
          <w:szCs w:val="26"/>
          <w:lang w:eastAsia="ar-SA"/>
        </w:rPr>
        <w:t xml:space="preserve">Неоднородное распределение производственных мощностей, природных ресурсов, населения и коммуникационных связей по территории региона способствуют усилению поляризации региона на высокоразвитую Томскую агломерацию, инерционно развивающиеся районы севера и юга области </w:t>
      </w:r>
      <w:r w:rsidR="0041352B">
        <w:rPr>
          <w:sz w:val="26"/>
          <w:szCs w:val="26"/>
          <w:lang w:eastAsia="ar-SA"/>
        </w:rPr>
        <w:br/>
      </w:r>
      <w:r w:rsidRPr="0041352B">
        <w:rPr>
          <w:sz w:val="26"/>
          <w:szCs w:val="26"/>
          <w:lang w:eastAsia="ar-SA"/>
        </w:rPr>
        <w:t xml:space="preserve">и центральную часть с ограниченными темпами экономического роста. </w:t>
      </w:r>
    </w:p>
    <w:p w:rsidR="00E618FE" w:rsidRPr="0041352B" w:rsidRDefault="00800098">
      <w:pPr>
        <w:ind w:firstLine="709"/>
        <w:jc w:val="both"/>
        <w:rPr>
          <w:sz w:val="26"/>
          <w:szCs w:val="26"/>
          <w:lang w:eastAsia="ar-SA"/>
        </w:rPr>
      </w:pPr>
      <w:r w:rsidRPr="0041352B">
        <w:rPr>
          <w:sz w:val="26"/>
          <w:szCs w:val="26"/>
          <w:lang w:eastAsia="ar-SA"/>
        </w:rPr>
        <w:t>Определены следующие приоритеты хозяйственного развития муниципальных образований Томской области (рисунок 12.1):</w:t>
      </w:r>
    </w:p>
    <w:p w:rsidR="00E618FE" w:rsidRPr="0041352B" w:rsidRDefault="00800098">
      <w:pPr>
        <w:ind w:firstLine="709"/>
        <w:jc w:val="both"/>
        <w:rPr>
          <w:sz w:val="26"/>
          <w:szCs w:val="26"/>
          <w:lang w:eastAsia="ar-SA"/>
        </w:rPr>
      </w:pPr>
      <w:r w:rsidRPr="0041352B">
        <w:rPr>
          <w:sz w:val="26"/>
          <w:szCs w:val="26"/>
          <w:lang w:eastAsia="ar-SA"/>
        </w:rPr>
        <w:t>— зона опережающего развития хозяйственного и инфраструктурного комплекса (Томская агломерация);</w:t>
      </w:r>
    </w:p>
    <w:p w:rsidR="00E618FE" w:rsidRPr="0041352B" w:rsidRDefault="00800098">
      <w:pPr>
        <w:ind w:firstLine="709"/>
        <w:jc w:val="both"/>
        <w:rPr>
          <w:sz w:val="26"/>
          <w:szCs w:val="26"/>
          <w:lang w:eastAsia="ar-SA"/>
        </w:rPr>
      </w:pPr>
      <w:r w:rsidRPr="0041352B">
        <w:rPr>
          <w:sz w:val="26"/>
          <w:szCs w:val="26"/>
          <w:lang w:eastAsia="ar-SA"/>
        </w:rPr>
        <w:t>— зона приоритетной интенсификации агропромышленной деятельности;</w:t>
      </w:r>
    </w:p>
    <w:p w:rsidR="00E618FE" w:rsidRPr="0041352B" w:rsidRDefault="00800098">
      <w:pPr>
        <w:ind w:firstLine="709"/>
        <w:jc w:val="both"/>
        <w:rPr>
          <w:sz w:val="26"/>
          <w:szCs w:val="26"/>
          <w:lang w:eastAsia="ar-SA"/>
        </w:rPr>
      </w:pPr>
      <w:r w:rsidRPr="0041352B">
        <w:rPr>
          <w:sz w:val="26"/>
          <w:szCs w:val="26"/>
          <w:lang w:eastAsia="ar-SA"/>
        </w:rPr>
        <w:t>— зона приоритетной интенсификации лесопромышленной деятельности;</w:t>
      </w:r>
    </w:p>
    <w:p w:rsidR="00E618FE" w:rsidRPr="0041352B" w:rsidRDefault="00800098">
      <w:pPr>
        <w:ind w:firstLine="709"/>
        <w:jc w:val="both"/>
        <w:rPr>
          <w:sz w:val="26"/>
          <w:szCs w:val="26"/>
          <w:lang w:eastAsia="ar-SA"/>
        </w:rPr>
      </w:pPr>
      <w:r w:rsidRPr="0041352B">
        <w:rPr>
          <w:sz w:val="26"/>
          <w:szCs w:val="26"/>
          <w:lang w:eastAsia="ar-SA"/>
        </w:rPr>
        <w:lastRenderedPageBreak/>
        <w:t>— зона локального развития сельскохозяйственной деятельности, переработки дикоросов и рыбной отрасли;</w:t>
      </w:r>
    </w:p>
    <w:p w:rsidR="00E618FE" w:rsidRPr="0041352B" w:rsidRDefault="00800098">
      <w:pPr>
        <w:ind w:firstLine="709"/>
        <w:jc w:val="both"/>
        <w:rPr>
          <w:sz w:val="26"/>
          <w:szCs w:val="26"/>
          <w:lang w:eastAsia="ar-SA"/>
        </w:rPr>
      </w:pPr>
      <w:r w:rsidRPr="0041352B">
        <w:rPr>
          <w:sz w:val="26"/>
          <w:szCs w:val="26"/>
          <w:lang w:eastAsia="ar-SA"/>
        </w:rPr>
        <w:t>— зона развития нефтегазодобывающей отрасли.</w:t>
      </w:r>
    </w:p>
    <w:p w:rsidR="00E618FE" w:rsidRPr="0041352B" w:rsidRDefault="00800098">
      <w:pPr>
        <w:ind w:firstLine="709"/>
        <w:jc w:val="both"/>
        <w:rPr>
          <w:sz w:val="26"/>
          <w:szCs w:val="26"/>
          <w:lang w:eastAsia="ar-SA"/>
        </w:rPr>
      </w:pPr>
      <w:r w:rsidRPr="0041352B">
        <w:rPr>
          <w:sz w:val="26"/>
          <w:szCs w:val="26"/>
          <w:lang w:eastAsia="ar-SA"/>
        </w:rPr>
        <w:t xml:space="preserve">Ключевые проекты хозяйственного развития региона концентрируются </w:t>
      </w:r>
      <w:r w:rsidR="0041352B">
        <w:rPr>
          <w:sz w:val="26"/>
          <w:szCs w:val="26"/>
          <w:lang w:eastAsia="ar-SA"/>
        </w:rPr>
        <w:br/>
      </w:r>
      <w:r w:rsidRPr="0041352B">
        <w:rPr>
          <w:sz w:val="26"/>
          <w:szCs w:val="26"/>
          <w:lang w:eastAsia="ar-SA"/>
        </w:rPr>
        <w:t>в Томской агломерации и предусматривают размещение крупных объектов атомной отрасли, энергетики, химических и машиностроительных производств, АПК, строительной индустрии и жилищного строительства, научно-образовательного и транспортно-логистического комплексов.</w:t>
      </w:r>
    </w:p>
    <w:p w:rsidR="00E618FE" w:rsidRPr="0041352B" w:rsidRDefault="00800098">
      <w:pPr>
        <w:ind w:firstLine="709"/>
        <w:jc w:val="both"/>
        <w:rPr>
          <w:sz w:val="26"/>
          <w:szCs w:val="26"/>
          <w:lang w:eastAsia="ar-SA"/>
        </w:rPr>
      </w:pPr>
      <w:r w:rsidRPr="0041352B">
        <w:rPr>
          <w:sz w:val="26"/>
          <w:szCs w:val="26"/>
          <w:lang w:eastAsia="ar-SA"/>
        </w:rPr>
        <w:t>К потенциальным направлениям хозяйственного развития региона относятся крупные проекты, реализуемые при наличии соответствующих ресурсных и инвестиционных предпосылок. Они включают освоение нефтегазовых месторождений правобережья реки Обь, Бакчарского месторождения железных руд и формирование Верхнекетского лесопромышленного комплекса.</w:t>
      </w:r>
    </w:p>
    <w:p w:rsidR="00E618FE" w:rsidRPr="0041352B" w:rsidRDefault="00E618FE">
      <w:pPr>
        <w:suppressLineNumbers/>
        <w:spacing w:before="180" w:after="120"/>
        <w:outlineLvl w:val="8"/>
        <w:rPr>
          <w:sz w:val="26"/>
          <w:szCs w:val="26"/>
          <w:lang w:eastAsia="ar-SA"/>
        </w:rPr>
      </w:pPr>
    </w:p>
    <w:p w:rsidR="00E618FE" w:rsidRPr="00535A4B" w:rsidRDefault="00E618FE">
      <w:pPr>
        <w:suppressLineNumbers/>
        <w:spacing w:before="180" w:after="120"/>
        <w:outlineLvl w:val="8"/>
        <w:rPr>
          <w:sz w:val="28"/>
          <w:szCs w:val="28"/>
          <w:lang w:eastAsia="ar-SA"/>
        </w:rPr>
      </w:pPr>
    </w:p>
    <w:p w:rsidR="00E618FE" w:rsidRPr="00535A4B" w:rsidRDefault="00E618FE">
      <w:pPr>
        <w:suppressLineNumbers/>
        <w:spacing w:before="180" w:after="120"/>
        <w:outlineLvl w:val="8"/>
        <w:rPr>
          <w:sz w:val="28"/>
          <w:szCs w:val="28"/>
          <w:lang w:eastAsia="ar-SA"/>
        </w:rPr>
      </w:pPr>
    </w:p>
    <w:p w:rsidR="00E618FE" w:rsidRPr="00535A4B" w:rsidRDefault="00E618FE">
      <w:pPr>
        <w:suppressLineNumbers/>
        <w:spacing w:before="180" w:after="120"/>
        <w:outlineLvl w:val="8"/>
        <w:rPr>
          <w:sz w:val="28"/>
          <w:szCs w:val="28"/>
          <w:lang w:eastAsia="ar-SA"/>
        </w:rPr>
      </w:pPr>
    </w:p>
    <w:p w:rsidR="00E618FE" w:rsidRPr="00535A4B" w:rsidRDefault="00E618FE">
      <w:pPr>
        <w:suppressLineNumbers/>
        <w:spacing w:before="180" w:after="120"/>
        <w:outlineLvl w:val="8"/>
        <w:rPr>
          <w:sz w:val="28"/>
          <w:szCs w:val="28"/>
          <w:lang w:eastAsia="ar-SA"/>
        </w:rPr>
      </w:pPr>
    </w:p>
    <w:p w:rsidR="00E618FE" w:rsidRPr="00535A4B" w:rsidRDefault="00E618FE">
      <w:pPr>
        <w:suppressLineNumbers/>
        <w:spacing w:before="180" w:after="120"/>
        <w:outlineLvl w:val="8"/>
        <w:rPr>
          <w:sz w:val="28"/>
          <w:szCs w:val="28"/>
          <w:lang w:eastAsia="ar-SA"/>
        </w:rPr>
      </w:pPr>
    </w:p>
    <w:p w:rsidR="00E618FE" w:rsidRPr="00535A4B" w:rsidRDefault="00E618FE">
      <w:pPr>
        <w:suppressLineNumbers/>
        <w:spacing w:before="180" w:after="120"/>
        <w:outlineLvl w:val="8"/>
        <w:rPr>
          <w:sz w:val="28"/>
          <w:szCs w:val="28"/>
          <w:lang w:eastAsia="ar-SA"/>
        </w:rPr>
      </w:pPr>
    </w:p>
    <w:p w:rsidR="00E618FE" w:rsidRPr="00535A4B" w:rsidRDefault="00800098">
      <w:pPr>
        <w:suppressLineNumbers/>
        <w:spacing w:before="180" w:after="120"/>
        <w:outlineLvl w:val="8"/>
        <w:rPr>
          <w:sz w:val="28"/>
          <w:szCs w:val="28"/>
          <w:lang w:eastAsia="ar-SA"/>
        </w:rPr>
      </w:pPr>
      <w:r w:rsidRPr="00535A4B">
        <w:rPr>
          <w:noProof/>
          <w:sz w:val="28"/>
          <w:szCs w:val="28"/>
        </w:rPr>
        <w:lastRenderedPageBreak/>
        <w:drawing>
          <wp:inline distT="0" distB="0" distL="0" distR="0">
            <wp:extent cx="5539740" cy="86182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4"/>
                    <a:stretch/>
                  </pic:blipFill>
                  <pic:spPr bwMode="auto">
                    <a:xfrm>
                      <a:off x="0" y="0"/>
                      <a:ext cx="5539740" cy="8618220"/>
                    </a:xfrm>
                    <a:prstGeom prst="rect">
                      <a:avLst/>
                    </a:prstGeom>
                  </pic:spPr>
                </pic:pic>
              </a:graphicData>
            </a:graphic>
          </wp:inline>
        </w:drawing>
      </w:r>
    </w:p>
    <w:p w:rsidR="00E618FE" w:rsidRPr="0041352B" w:rsidRDefault="00800098">
      <w:pPr>
        <w:suppressLineNumbers/>
        <w:spacing w:before="180" w:after="120"/>
        <w:jc w:val="center"/>
        <w:outlineLvl w:val="8"/>
        <w:rPr>
          <w:sz w:val="26"/>
          <w:szCs w:val="26"/>
          <w:lang w:eastAsia="ar-SA"/>
        </w:rPr>
      </w:pPr>
      <w:r w:rsidRPr="0041352B">
        <w:rPr>
          <w:bCs/>
          <w:sz w:val="26"/>
          <w:szCs w:val="26"/>
          <w:lang w:eastAsia="ar-SA"/>
        </w:rPr>
        <w:t xml:space="preserve">Рисунок 12.1. Приоритеты развития муниципальных образований </w:t>
      </w:r>
      <w:r w:rsidRPr="0041352B">
        <w:rPr>
          <w:bCs/>
          <w:sz w:val="26"/>
          <w:szCs w:val="26"/>
          <w:lang w:eastAsia="ar-SA"/>
        </w:rPr>
        <w:br/>
        <w:t>Томской области</w:t>
      </w:r>
    </w:p>
    <w:p w:rsidR="00E618FE" w:rsidRPr="005238E0" w:rsidRDefault="00800098">
      <w:pPr>
        <w:ind w:firstLine="720"/>
        <w:jc w:val="both"/>
        <w:rPr>
          <w:sz w:val="26"/>
          <w:szCs w:val="26"/>
        </w:rPr>
      </w:pPr>
      <w:r w:rsidRPr="005238E0">
        <w:rPr>
          <w:sz w:val="26"/>
          <w:szCs w:val="26"/>
        </w:rPr>
        <w:lastRenderedPageBreak/>
        <w:t xml:space="preserve">Функциональное развитие муниципальных образований Томской области рассмотрено в разрезе выделенных территориально-производственных зон, характеризующихся сходным типом расселения, хозяйственной специализации </w:t>
      </w:r>
      <w:r w:rsidR="005238E0">
        <w:rPr>
          <w:sz w:val="26"/>
          <w:szCs w:val="26"/>
        </w:rPr>
        <w:br/>
      </w:r>
      <w:r w:rsidRPr="005238E0">
        <w:rPr>
          <w:sz w:val="26"/>
          <w:szCs w:val="26"/>
        </w:rPr>
        <w:t>и территориальной общностью.</w:t>
      </w:r>
    </w:p>
    <w:p w:rsidR="00E618FE" w:rsidRPr="005238E0" w:rsidRDefault="00E618FE">
      <w:pPr>
        <w:ind w:firstLine="709"/>
        <w:jc w:val="both"/>
        <w:rPr>
          <w:sz w:val="26"/>
          <w:szCs w:val="26"/>
          <w:lang w:eastAsia="ar-SA"/>
        </w:rPr>
      </w:pPr>
    </w:p>
    <w:p w:rsidR="00E618FE" w:rsidRPr="005238E0" w:rsidRDefault="00800098">
      <w:pPr>
        <w:ind w:firstLine="709"/>
        <w:jc w:val="both"/>
        <w:rPr>
          <w:rFonts w:eastAsia="Aptos"/>
          <w:sz w:val="26"/>
          <w:szCs w:val="26"/>
          <w:lang w:eastAsia="ar-SA"/>
        </w:rPr>
      </w:pPr>
      <w:r w:rsidRPr="00535A4B">
        <w:rPr>
          <w:rFonts w:eastAsia="Aptos"/>
          <w:b/>
          <w:sz w:val="28"/>
          <w:szCs w:val="28"/>
          <w:lang w:eastAsia="ar-SA"/>
        </w:rPr>
        <w:t>Томская агломерация (городской округ Томск, ЗАТО Северск, Томский район)</w:t>
      </w:r>
      <w:r w:rsidRPr="00535A4B">
        <w:rPr>
          <w:rFonts w:eastAsia="Aptos"/>
          <w:sz w:val="28"/>
          <w:szCs w:val="28"/>
          <w:lang w:eastAsia="ar-SA"/>
        </w:rPr>
        <w:t xml:space="preserve"> </w:t>
      </w:r>
      <w:r w:rsidRPr="005238E0">
        <w:rPr>
          <w:rFonts w:eastAsia="Aptos"/>
          <w:sz w:val="26"/>
          <w:szCs w:val="26"/>
          <w:lang w:eastAsia="ar-SA"/>
        </w:rPr>
        <w:t xml:space="preserve">является основным узлом концентрации населения, производственной деятельности и инфраструктурного обслуживания Томской области. Ключевые отрасли экономики </w:t>
      </w:r>
      <w:r w:rsidR="005238E0">
        <w:rPr>
          <w:rFonts w:eastAsia="Aptos"/>
          <w:sz w:val="26"/>
          <w:szCs w:val="26"/>
          <w:lang w:eastAsia="ar-SA"/>
        </w:rPr>
        <w:t>–</w:t>
      </w:r>
      <w:r w:rsidRPr="005238E0">
        <w:rPr>
          <w:rFonts w:eastAsia="Aptos"/>
          <w:sz w:val="26"/>
          <w:szCs w:val="26"/>
          <w:lang w:eastAsia="ar-SA"/>
        </w:rPr>
        <w:t xml:space="preserve"> высокотехнологичный машиностроительный комплекс, нефтехимия, атомная промышленность, развитый агропромышленный комплекс, транспортное обслуживание, </w:t>
      </w:r>
      <w:r w:rsidRPr="005238E0">
        <w:rPr>
          <w:sz w:val="26"/>
          <w:szCs w:val="26"/>
          <w:lang w:eastAsia="ar-SA"/>
        </w:rPr>
        <w:t>информационные технологии, научно-образовательный комплекс.</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Агломерация представляет собой сеть населенных пунктов-спутников города Томска с активными повседневными связями.</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xml:space="preserve">Агломерационное развитие реализуется за счет размещения крупных промышленных предприятий и агропромышленных комплексов, главным образом на территории Копыловского и Корниловского сельских поселений; реализации крупных проектов многоквартирного жилищного строительства в Томске </w:t>
      </w:r>
      <w:r w:rsidR="005238E0">
        <w:rPr>
          <w:rFonts w:eastAsia="Aptos"/>
          <w:sz w:val="26"/>
          <w:szCs w:val="26"/>
          <w:lang w:eastAsia="ar-SA"/>
        </w:rPr>
        <w:br/>
      </w:r>
      <w:r w:rsidRPr="005238E0">
        <w:rPr>
          <w:rFonts w:eastAsia="Aptos"/>
          <w:sz w:val="26"/>
          <w:szCs w:val="26"/>
          <w:lang w:eastAsia="ar-SA"/>
        </w:rPr>
        <w:t xml:space="preserve">и населенных пунктах Томского района, малоэтажной жилой застройки </w:t>
      </w:r>
      <w:r w:rsidR="005238E0">
        <w:rPr>
          <w:rFonts w:eastAsia="Aptos"/>
          <w:sz w:val="26"/>
          <w:szCs w:val="26"/>
          <w:lang w:eastAsia="ar-SA"/>
        </w:rPr>
        <w:br/>
      </w:r>
      <w:r w:rsidRPr="005238E0">
        <w:rPr>
          <w:rFonts w:eastAsia="Aptos"/>
          <w:sz w:val="26"/>
          <w:szCs w:val="26"/>
          <w:lang w:eastAsia="ar-SA"/>
        </w:rPr>
        <w:t xml:space="preserve">в пригородной зоне и частичного преобразования коллективных садоводств в жилые зоны. </w:t>
      </w:r>
    </w:p>
    <w:p w:rsidR="00E618FE" w:rsidRPr="005238E0" w:rsidRDefault="00800098">
      <w:pPr>
        <w:ind w:firstLine="709"/>
        <w:jc w:val="both"/>
        <w:rPr>
          <w:sz w:val="26"/>
          <w:szCs w:val="26"/>
          <w:lang w:eastAsia="ar-SA"/>
        </w:rPr>
      </w:pPr>
      <w:r w:rsidRPr="005238E0">
        <w:rPr>
          <w:sz w:val="26"/>
          <w:szCs w:val="26"/>
          <w:lang w:eastAsia="ar-SA"/>
        </w:rPr>
        <w:t xml:space="preserve">Перспективы развития агломерации связаны с закреплением научного </w:t>
      </w:r>
      <w:r w:rsidR="005238E0">
        <w:rPr>
          <w:sz w:val="26"/>
          <w:szCs w:val="26"/>
          <w:lang w:eastAsia="ar-SA"/>
        </w:rPr>
        <w:br/>
      </w:r>
      <w:r w:rsidRPr="005238E0">
        <w:rPr>
          <w:sz w:val="26"/>
          <w:szCs w:val="26"/>
          <w:lang w:eastAsia="ar-SA"/>
        </w:rPr>
        <w:t xml:space="preserve">и инновационного лидерства, формированием креативной городской среды, обеспечением высокого уровня развития социальных и коммуникационных инфраструктур. Производственный комплекс ориентируется на приоритетное развитие высокотехнологичных и наукоемких отраслей экономики, создание новых высокопроизводительных рабочих мест, обеспечение продукцией местного рынка потребления. </w:t>
      </w:r>
    </w:p>
    <w:p w:rsidR="00E618FE" w:rsidRPr="005238E0" w:rsidRDefault="00800098">
      <w:pPr>
        <w:ind w:firstLine="709"/>
        <w:jc w:val="both"/>
        <w:rPr>
          <w:rFonts w:eastAsia="Aptos"/>
          <w:sz w:val="26"/>
          <w:szCs w:val="26"/>
          <w:lang w:eastAsia="ar-SA"/>
        </w:rPr>
      </w:pPr>
      <w:r w:rsidRPr="00535A4B">
        <w:rPr>
          <w:rFonts w:eastAsia="Aptos"/>
          <w:b/>
          <w:bCs/>
          <w:sz w:val="28"/>
          <w:szCs w:val="28"/>
          <w:lang w:eastAsia="ar-SA"/>
        </w:rPr>
        <w:t>Южная группа районов (Кожевниковский, Шегарский, Кривошеинский, Молчановский, Чаинский и Бакчарский районы</w:t>
      </w:r>
      <w:r w:rsidRPr="00535A4B">
        <w:rPr>
          <w:rFonts w:eastAsia="Aptos"/>
          <w:sz w:val="28"/>
          <w:szCs w:val="28"/>
          <w:lang w:eastAsia="ar-SA"/>
        </w:rPr>
        <w:t xml:space="preserve">) </w:t>
      </w:r>
      <w:r w:rsidRPr="00535A4B">
        <w:rPr>
          <w:rFonts w:eastAsia="Aptos"/>
          <w:sz w:val="28"/>
          <w:szCs w:val="28"/>
          <w:lang w:eastAsia="ar-SA"/>
        </w:rPr>
        <w:br/>
      </w:r>
      <w:r w:rsidRPr="005238E0">
        <w:rPr>
          <w:rFonts w:eastAsia="Aptos"/>
          <w:sz w:val="26"/>
          <w:szCs w:val="26"/>
          <w:lang w:eastAsia="ar-SA"/>
        </w:rPr>
        <w:t>по хозяйственным и социальным связям тяготеет к Томску, имеет преимущественно сельскохозяйственную специализацию и делится на две части: южная часть (Кожевниковский, Шегарский и Кривошеинский районы), где в силу более благоприятных природно-климатических условий и близости рынков сбыта выше уровень экономического развития; менее развитая периферия (остальные районы).</w:t>
      </w:r>
    </w:p>
    <w:p w:rsidR="00E618FE" w:rsidRPr="005238E0" w:rsidRDefault="00800098">
      <w:pPr>
        <w:ind w:firstLine="709"/>
        <w:jc w:val="both"/>
        <w:rPr>
          <w:iCs/>
          <w:sz w:val="26"/>
          <w:szCs w:val="26"/>
          <w:lang w:eastAsia="ar-SA"/>
        </w:rPr>
      </w:pPr>
      <w:r w:rsidRPr="005238E0">
        <w:rPr>
          <w:iCs/>
          <w:sz w:val="26"/>
          <w:szCs w:val="26"/>
          <w:lang w:eastAsia="ar-SA"/>
        </w:rPr>
        <w:t>Приоритетными направлениями развития экономики районов южной части данной группы являются технологическая модернизация и увеличение мощностей действующих производств агропромышленного и лесопромышленного комплексов, повышение глубины переработки сельскохозяйственной продукции, развитие пригородной рекреации.</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xml:space="preserve">Перспективы хозяйственного развития </w:t>
      </w:r>
      <w:r w:rsidRPr="005238E0">
        <w:rPr>
          <w:iCs/>
          <w:sz w:val="26"/>
          <w:szCs w:val="26"/>
          <w:lang w:eastAsia="ar-SA"/>
        </w:rPr>
        <w:t>экономики периферийной части южной группы</w:t>
      </w:r>
      <w:r w:rsidRPr="005238E0">
        <w:rPr>
          <w:rFonts w:eastAsia="Aptos"/>
          <w:sz w:val="26"/>
          <w:szCs w:val="26"/>
          <w:lang w:eastAsia="ar-SA"/>
        </w:rPr>
        <w:t xml:space="preserve"> связаны с локальными мероприятиями по увеличению производства </w:t>
      </w:r>
      <w:r w:rsidRPr="005238E0">
        <w:rPr>
          <w:iCs/>
          <w:sz w:val="26"/>
          <w:szCs w:val="26"/>
          <w:lang w:eastAsia="ar-SA"/>
        </w:rPr>
        <w:t>сельскохозяйственной продукции</w:t>
      </w:r>
      <w:r w:rsidRPr="005238E0">
        <w:rPr>
          <w:rFonts w:eastAsia="Aptos"/>
          <w:sz w:val="26"/>
          <w:szCs w:val="26"/>
          <w:lang w:eastAsia="ar-SA"/>
        </w:rPr>
        <w:t xml:space="preserve">, переработкой дикоросов, мяса и молока, развитием рыболовства и рыбоводства. </w:t>
      </w:r>
    </w:p>
    <w:p w:rsidR="00E618FE" w:rsidRPr="005238E0" w:rsidRDefault="00800098">
      <w:pPr>
        <w:ind w:firstLine="709"/>
        <w:jc w:val="both"/>
        <w:rPr>
          <w:rFonts w:eastAsia="Aptos"/>
          <w:sz w:val="26"/>
          <w:szCs w:val="26"/>
          <w:lang w:eastAsia="ar-SA"/>
        </w:rPr>
      </w:pPr>
      <w:r w:rsidRPr="00535A4B">
        <w:rPr>
          <w:rFonts w:eastAsia="Aptos"/>
          <w:b/>
          <w:bCs/>
          <w:sz w:val="28"/>
          <w:szCs w:val="28"/>
          <w:lang w:eastAsia="ar-SA"/>
        </w:rPr>
        <w:t>Восточная группа районов (Асиновский</w:t>
      </w:r>
      <w:r w:rsidRPr="00535A4B">
        <w:rPr>
          <w:rFonts w:eastAsia="Aptos"/>
          <w:sz w:val="28"/>
          <w:szCs w:val="28"/>
          <w:lang w:eastAsia="ar-SA"/>
        </w:rPr>
        <w:t xml:space="preserve">, </w:t>
      </w:r>
      <w:r w:rsidRPr="00535A4B">
        <w:rPr>
          <w:rFonts w:eastAsia="Aptos"/>
          <w:b/>
          <w:bCs/>
          <w:sz w:val="28"/>
          <w:szCs w:val="28"/>
          <w:lang w:eastAsia="ar-SA"/>
        </w:rPr>
        <w:t xml:space="preserve">Первомайский, Зырянский, Тегульдетский и Верхнекетский районы) </w:t>
      </w:r>
      <w:r w:rsidRPr="005238E0">
        <w:rPr>
          <w:rFonts w:eastAsia="Aptos"/>
          <w:sz w:val="26"/>
          <w:szCs w:val="26"/>
          <w:lang w:eastAsia="ar-SA"/>
        </w:rPr>
        <w:t xml:space="preserve">имеет преимущественно лесопромышленную специализацию при сопутствующей роли </w:t>
      </w:r>
      <w:r w:rsidRPr="005238E0">
        <w:rPr>
          <w:rFonts w:eastAsia="Aptos"/>
          <w:sz w:val="26"/>
          <w:szCs w:val="26"/>
          <w:lang w:eastAsia="ar-SA"/>
        </w:rPr>
        <w:lastRenderedPageBreak/>
        <w:t xml:space="preserve">сельскохозяйственного производства. Для группы в целом характерны процессы концентрации населения и экономической активности в районных центрах </w:t>
      </w:r>
      <w:r w:rsidR="005238E0">
        <w:rPr>
          <w:rFonts w:eastAsia="Aptos"/>
          <w:sz w:val="26"/>
          <w:szCs w:val="26"/>
          <w:lang w:eastAsia="ar-SA"/>
        </w:rPr>
        <w:br/>
      </w:r>
      <w:r w:rsidRPr="005238E0">
        <w:rPr>
          <w:rFonts w:eastAsia="Aptos"/>
          <w:sz w:val="26"/>
          <w:szCs w:val="26"/>
          <w:lang w:eastAsia="ar-SA"/>
        </w:rPr>
        <w:t xml:space="preserve">при постепенном снижении людности периферийных поселений. </w:t>
      </w:r>
    </w:p>
    <w:p w:rsidR="00E618FE" w:rsidRPr="005238E0" w:rsidRDefault="00800098">
      <w:pPr>
        <w:ind w:firstLine="709"/>
        <w:jc w:val="both"/>
        <w:rPr>
          <w:rFonts w:eastAsia="TimesNewRoman"/>
          <w:sz w:val="26"/>
          <w:szCs w:val="26"/>
          <w:lang w:eastAsia="ar-SA"/>
        </w:rPr>
      </w:pPr>
      <w:r w:rsidRPr="005238E0">
        <w:rPr>
          <w:rFonts w:eastAsia="Aptos"/>
          <w:sz w:val="26"/>
          <w:szCs w:val="26"/>
          <w:lang w:eastAsia="en-US"/>
          <w14:ligatures w14:val="standardContextual"/>
        </w:rPr>
        <w:t>Перспективное развитие экономики ориентировано</w:t>
      </w:r>
      <w:r w:rsidR="005238E0">
        <w:rPr>
          <w:rFonts w:eastAsia="Aptos"/>
          <w:sz w:val="26"/>
          <w:szCs w:val="26"/>
          <w:lang w:eastAsia="en-US"/>
          <w14:ligatures w14:val="standardContextual"/>
        </w:rPr>
        <w:t xml:space="preserve"> на поддержку базовых отраслей –</w:t>
      </w:r>
      <w:r w:rsidRPr="005238E0">
        <w:rPr>
          <w:rFonts w:eastAsia="Aptos"/>
          <w:sz w:val="26"/>
          <w:szCs w:val="26"/>
          <w:lang w:eastAsia="en-US"/>
          <w14:ligatures w14:val="standardContextual"/>
        </w:rPr>
        <w:t xml:space="preserve"> лесопромышленного комплекса и сельского хозяйства. Приоритетами являются </w:t>
      </w:r>
      <w:r w:rsidRPr="005238E0">
        <w:rPr>
          <w:rFonts w:eastAsia="TimesNewRoman"/>
          <w:sz w:val="26"/>
          <w:szCs w:val="26"/>
          <w:lang w:eastAsia="ar-SA"/>
        </w:rPr>
        <w:t xml:space="preserve">развитие деревообрабатывающих производств с высокой добавленной стоимостью и размещение предприятий первичной переработки </w:t>
      </w:r>
      <w:r w:rsidRPr="005238E0">
        <w:rPr>
          <w:rFonts w:eastAsia="Aptos"/>
          <w:sz w:val="26"/>
          <w:szCs w:val="26"/>
          <w:lang w:eastAsia="en-US"/>
          <w14:ligatures w14:val="standardContextual"/>
        </w:rPr>
        <w:t xml:space="preserve">сельскохозяйственной </w:t>
      </w:r>
      <w:r w:rsidRPr="005238E0">
        <w:rPr>
          <w:rFonts w:eastAsia="TimesNewRoman"/>
          <w:sz w:val="26"/>
          <w:szCs w:val="26"/>
          <w:lang w:eastAsia="ar-SA"/>
        </w:rPr>
        <w:t>продукции.</w:t>
      </w:r>
    </w:p>
    <w:p w:rsidR="00E618FE" w:rsidRPr="005238E0" w:rsidRDefault="00800098">
      <w:pPr>
        <w:ind w:firstLine="709"/>
        <w:jc w:val="both"/>
        <w:rPr>
          <w:rFonts w:eastAsia="Aptos"/>
          <w:sz w:val="26"/>
          <w:szCs w:val="26"/>
          <w:lang w:eastAsia="ar-SA"/>
        </w:rPr>
      </w:pPr>
      <w:r w:rsidRPr="00535A4B">
        <w:rPr>
          <w:rFonts w:eastAsia="Aptos"/>
          <w:b/>
          <w:bCs/>
          <w:sz w:val="28"/>
          <w:szCs w:val="28"/>
          <w:lang w:eastAsia="ar-SA"/>
        </w:rPr>
        <w:t xml:space="preserve">Средняя группа районов (Колпашевский, Парабельский </w:t>
      </w:r>
      <w:r w:rsidRPr="00535A4B">
        <w:rPr>
          <w:rFonts w:eastAsia="Aptos"/>
          <w:b/>
          <w:bCs/>
          <w:sz w:val="28"/>
          <w:szCs w:val="28"/>
          <w:lang w:eastAsia="ar-SA"/>
        </w:rPr>
        <w:br/>
        <w:t xml:space="preserve">и Каргасокский районы, </w:t>
      </w:r>
      <w:r w:rsidRPr="00535A4B">
        <w:rPr>
          <w:rFonts w:eastAsia="Calibri"/>
          <w:b/>
          <w:bCs/>
          <w:sz w:val="28"/>
          <w:szCs w:val="28"/>
          <w:lang w:eastAsia="ar-SA"/>
        </w:rPr>
        <w:t>муниципальный</w:t>
      </w:r>
      <w:r w:rsidRPr="00535A4B">
        <w:rPr>
          <w:rFonts w:eastAsia="Aptos"/>
          <w:b/>
          <w:bCs/>
          <w:sz w:val="28"/>
          <w:szCs w:val="28"/>
          <w:lang w:eastAsia="ar-SA"/>
        </w:rPr>
        <w:t xml:space="preserve"> округ Город Кедровый) </w:t>
      </w:r>
      <w:r w:rsidRPr="005238E0">
        <w:rPr>
          <w:rFonts w:eastAsia="Aptos"/>
          <w:sz w:val="26"/>
          <w:szCs w:val="26"/>
          <w:lang w:eastAsia="ar-SA"/>
        </w:rPr>
        <w:t xml:space="preserve">представляет слабо освоенную территорию, значительно удаленную от областного центра, с наибольшими в Томской области темпами сокращения численности населения при одновременной концентрации жителей в районных центрах </w:t>
      </w:r>
      <w:r w:rsidR="005238E0">
        <w:rPr>
          <w:rFonts w:eastAsia="Aptos"/>
          <w:sz w:val="26"/>
          <w:szCs w:val="26"/>
          <w:lang w:eastAsia="ar-SA"/>
        </w:rPr>
        <w:br/>
      </w:r>
      <w:r w:rsidRPr="005238E0">
        <w:rPr>
          <w:rFonts w:eastAsia="Aptos"/>
          <w:sz w:val="26"/>
          <w:szCs w:val="26"/>
          <w:lang w:eastAsia="ar-SA"/>
        </w:rPr>
        <w:t xml:space="preserve">и выраженном сжатии поселенческой сети. </w:t>
      </w:r>
    </w:p>
    <w:p w:rsidR="00E618FE" w:rsidRPr="005238E0" w:rsidRDefault="00800098">
      <w:pPr>
        <w:ind w:firstLine="709"/>
        <w:jc w:val="both"/>
        <w:rPr>
          <w:sz w:val="26"/>
          <w:szCs w:val="26"/>
          <w:lang w:eastAsia="ar-SA"/>
        </w:rPr>
      </w:pPr>
      <w:r w:rsidRPr="005238E0">
        <w:rPr>
          <w:rFonts w:eastAsia="Aptos"/>
          <w:sz w:val="26"/>
          <w:szCs w:val="26"/>
          <w:lang w:eastAsia="ar-SA"/>
        </w:rPr>
        <w:t xml:space="preserve">Приоритетами хозяйственного развития являются отработка существующих </w:t>
      </w:r>
      <w:r w:rsidR="005238E0">
        <w:rPr>
          <w:rFonts w:eastAsia="Aptos"/>
          <w:sz w:val="26"/>
          <w:szCs w:val="26"/>
          <w:lang w:eastAsia="ar-SA"/>
        </w:rPr>
        <w:br/>
      </w:r>
      <w:r w:rsidRPr="005238E0">
        <w:rPr>
          <w:rFonts w:eastAsia="Aptos"/>
          <w:sz w:val="26"/>
          <w:szCs w:val="26"/>
          <w:lang w:eastAsia="ar-SA"/>
        </w:rPr>
        <w:t>и освоение новых месторождений углеводородов, модернизация предприятий обрабатывающей промышленности, опережающее развитие рыбной отрасли.</w:t>
      </w:r>
    </w:p>
    <w:p w:rsidR="00E618FE" w:rsidRPr="005238E0" w:rsidRDefault="00800098">
      <w:pPr>
        <w:ind w:firstLine="709"/>
        <w:jc w:val="both"/>
        <w:rPr>
          <w:rFonts w:eastAsia="Aptos"/>
          <w:sz w:val="26"/>
          <w:szCs w:val="26"/>
          <w:lang w:eastAsia="ar-SA"/>
        </w:rPr>
      </w:pPr>
      <w:r w:rsidRPr="00535A4B">
        <w:rPr>
          <w:rFonts w:eastAsia="Aptos"/>
          <w:b/>
          <w:bCs/>
          <w:sz w:val="28"/>
          <w:szCs w:val="28"/>
          <w:lang w:eastAsia="ar-SA"/>
        </w:rPr>
        <w:t xml:space="preserve">Северная группа районов (Александровский район и городской округ Стрежевой) </w:t>
      </w:r>
      <w:r w:rsidRPr="005238E0">
        <w:rPr>
          <w:rFonts w:eastAsia="Aptos"/>
          <w:sz w:val="26"/>
          <w:szCs w:val="26"/>
          <w:lang w:eastAsia="ar-SA"/>
        </w:rPr>
        <w:t>тяготеет к региональному подцентру город Стрежевой. Ресурсная база углеводородов и близость к одному из крупнейших центров нефтяной промышленности городу Нижневартовску (</w:t>
      </w:r>
      <w:r w:rsidRPr="005238E0">
        <w:rPr>
          <w:sz w:val="26"/>
          <w:szCs w:val="26"/>
          <w:lang w:eastAsia="ar-SA"/>
        </w:rPr>
        <w:t>Ханты-Мансийский автономный округ — Югра</w:t>
      </w:r>
      <w:r w:rsidRPr="005238E0">
        <w:rPr>
          <w:rFonts w:eastAsia="Aptos"/>
          <w:sz w:val="26"/>
          <w:szCs w:val="26"/>
          <w:lang w:eastAsia="ar-SA"/>
        </w:rPr>
        <w:t xml:space="preserve">) являются основными конкурентными преимуществами группы. Отсутствие круглогодичного транспортного сообщения с региональным центром и другими частями области, низкая плотность населения снижают роль этой территории в экономике и расселении области. Основными направлениями хозяйственного развития являются отработка существующих месторождений углеводородов и активное освоение месторождений правобережья реки Обь. </w:t>
      </w:r>
    </w:p>
    <w:p w:rsidR="00E618FE" w:rsidRPr="005238E0" w:rsidRDefault="00800098">
      <w:pPr>
        <w:ind w:firstLine="709"/>
        <w:jc w:val="both"/>
        <w:rPr>
          <w:sz w:val="26"/>
          <w:szCs w:val="26"/>
          <w:lang w:eastAsia="ar-SA"/>
        </w:rPr>
      </w:pPr>
      <w:bookmarkStart w:id="164" w:name="_Hlk228017406"/>
      <w:r w:rsidRPr="005238E0">
        <w:rPr>
          <w:sz w:val="26"/>
          <w:szCs w:val="26"/>
          <w:lang w:eastAsia="ar-SA"/>
        </w:rPr>
        <w:t>Подробная характеристика перспектив функционального развития муниципальных образований области приводится в Приложении А.</w:t>
      </w:r>
      <w:bookmarkEnd w:id="164"/>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Задачи:</w:t>
      </w:r>
    </w:p>
    <w:p w:rsidR="00E618FE" w:rsidRPr="00535A4B" w:rsidRDefault="00800098">
      <w:pPr>
        <w:ind w:firstLine="709"/>
        <w:jc w:val="both"/>
        <w:rPr>
          <w:rFonts w:eastAsia="Aptos"/>
          <w:b/>
          <w:bCs/>
          <w:sz w:val="28"/>
          <w:szCs w:val="28"/>
          <w:lang w:eastAsia="ar-SA"/>
        </w:rPr>
      </w:pPr>
      <w:r w:rsidRPr="00535A4B">
        <w:rPr>
          <w:rFonts w:eastAsia="Aptos"/>
          <w:b/>
          <w:bCs/>
          <w:sz w:val="28"/>
          <w:szCs w:val="28"/>
          <w:lang w:eastAsia="ar-SA"/>
        </w:rPr>
        <w:t xml:space="preserve">Задача 4.1.1. Нарастить собственную доходную базу муниципальных образований. </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Ключевые направления и механизмы реализации:</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xml:space="preserve">— диверсификация экономики, которая наиболее актуальна </w:t>
      </w:r>
      <w:r w:rsidR="005238E0">
        <w:rPr>
          <w:rFonts w:eastAsia="Aptos"/>
          <w:sz w:val="26"/>
          <w:szCs w:val="26"/>
          <w:lang w:eastAsia="ar-SA"/>
        </w:rPr>
        <w:br/>
      </w:r>
      <w:r w:rsidRPr="005238E0">
        <w:rPr>
          <w:rFonts w:eastAsia="Aptos"/>
          <w:sz w:val="26"/>
          <w:szCs w:val="26"/>
          <w:lang w:eastAsia="ar-SA"/>
        </w:rPr>
        <w:t>для муниципальных образований центральной и северной частей области, монопрофильным либо утратившим градообразующую базу;</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xml:space="preserve">— создание благоприятных условий ведения инвестиционной </w:t>
      </w:r>
      <w:r w:rsidR="005238E0">
        <w:rPr>
          <w:rFonts w:eastAsia="Aptos"/>
          <w:sz w:val="26"/>
          <w:szCs w:val="26"/>
          <w:lang w:eastAsia="ar-SA"/>
        </w:rPr>
        <w:br/>
      </w:r>
      <w:r w:rsidRPr="005238E0">
        <w:rPr>
          <w:rFonts w:eastAsia="Aptos"/>
          <w:sz w:val="26"/>
          <w:szCs w:val="26"/>
          <w:lang w:eastAsia="ar-SA"/>
        </w:rPr>
        <w:t xml:space="preserve">и предпринимательской деятельности. Приоритетным является привлечение инвесторов в перерабатывающие и сервисные отрасли экономики, жилищное строительство, </w:t>
      </w:r>
      <w:r w:rsidRPr="005238E0">
        <w:rPr>
          <w:sz w:val="26"/>
          <w:szCs w:val="26"/>
          <w:lang w:eastAsia="ar-SA"/>
        </w:rPr>
        <w:t>создание условий для организации современных сельскохозяйственных и продовольственных рынков, обеспечение максимального доступа малых сельскохозяйственных производителей к потребителю.</w:t>
      </w:r>
    </w:p>
    <w:p w:rsidR="005238E0" w:rsidRDefault="005238E0">
      <w:pPr>
        <w:spacing w:after="160" w:line="259" w:lineRule="auto"/>
        <w:rPr>
          <w:rFonts w:eastAsia="Aptos"/>
          <w:b/>
          <w:bCs/>
          <w:sz w:val="28"/>
          <w:szCs w:val="28"/>
          <w:lang w:eastAsia="ar-SA"/>
        </w:rPr>
      </w:pPr>
      <w:r>
        <w:rPr>
          <w:rFonts w:eastAsia="Aptos"/>
          <w:b/>
          <w:bCs/>
          <w:sz w:val="28"/>
          <w:szCs w:val="28"/>
          <w:lang w:eastAsia="ar-SA"/>
        </w:rPr>
        <w:br w:type="page"/>
      </w:r>
    </w:p>
    <w:p w:rsidR="00E618FE" w:rsidRPr="00535A4B" w:rsidRDefault="00800098">
      <w:pPr>
        <w:ind w:firstLine="709"/>
        <w:jc w:val="both"/>
        <w:rPr>
          <w:rFonts w:eastAsia="Aptos"/>
          <w:sz w:val="28"/>
          <w:szCs w:val="28"/>
          <w:lang w:eastAsia="ar-SA"/>
        </w:rPr>
      </w:pPr>
      <w:r w:rsidRPr="00535A4B">
        <w:rPr>
          <w:rFonts w:eastAsia="Aptos"/>
          <w:b/>
          <w:bCs/>
          <w:sz w:val="28"/>
          <w:szCs w:val="28"/>
          <w:lang w:eastAsia="ar-SA"/>
        </w:rPr>
        <w:lastRenderedPageBreak/>
        <w:t>Задача 4.1.2. Обеспечить опережающее развитие высокотехнологичных и инновационных производств, научно-образовательной и транспортно-распределительной функции в Томской агломерации</w:t>
      </w:r>
      <w:r w:rsidRPr="00535A4B">
        <w:rPr>
          <w:rFonts w:eastAsia="Aptos"/>
          <w:sz w:val="28"/>
          <w:szCs w:val="28"/>
          <w:lang w:eastAsia="ar-SA"/>
        </w:rPr>
        <w:t xml:space="preserve">. </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Ключевые направления и механизмы реализации:</w:t>
      </w:r>
    </w:p>
    <w:p w:rsidR="00E618FE" w:rsidRPr="005238E0" w:rsidRDefault="00800098">
      <w:pPr>
        <w:ind w:firstLine="709"/>
        <w:jc w:val="both"/>
        <w:rPr>
          <w:sz w:val="26"/>
          <w:szCs w:val="26"/>
          <w:lang w:eastAsia="ar-SA"/>
        </w:rPr>
      </w:pPr>
      <w:r w:rsidRPr="005238E0">
        <w:rPr>
          <w:rFonts w:eastAsia="Aptos"/>
          <w:sz w:val="26"/>
          <w:szCs w:val="26"/>
          <w:lang w:eastAsia="ar-SA"/>
        </w:rPr>
        <w:t>— </w:t>
      </w:r>
      <w:r w:rsidRPr="005238E0">
        <w:rPr>
          <w:sz w:val="26"/>
          <w:szCs w:val="26"/>
          <w:lang w:eastAsia="ar-SA"/>
        </w:rPr>
        <w:t>использование потенциала ОЭЗ ТВТ «Томск», ТОР «Северск», территориального и инфраструктурного потенциала Томского района, сложившейся инвестиционной активности высокотехнологичных производств;</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w:t>
      </w:r>
      <w:r w:rsidRPr="005238E0">
        <w:rPr>
          <w:sz w:val="26"/>
          <w:szCs w:val="26"/>
          <w:lang w:eastAsia="ar-SA"/>
        </w:rPr>
        <w:t>усиление роли Томска в качестве межрегионального научно-образовательного и инновационного центра.</w:t>
      </w:r>
    </w:p>
    <w:p w:rsidR="005238E0" w:rsidRDefault="005238E0">
      <w:pPr>
        <w:ind w:firstLine="709"/>
        <w:jc w:val="both"/>
        <w:rPr>
          <w:rFonts w:eastAsia="Aptos"/>
          <w:b/>
          <w:bCs/>
          <w:sz w:val="28"/>
          <w:szCs w:val="28"/>
          <w:lang w:eastAsia="ar-SA"/>
        </w:rPr>
      </w:pPr>
    </w:p>
    <w:p w:rsidR="00E618FE" w:rsidRPr="00535A4B" w:rsidRDefault="00800098">
      <w:pPr>
        <w:ind w:firstLine="709"/>
        <w:jc w:val="both"/>
        <w:rPr>
          <w:rFonts w:eastAsia="Aptos"/>
          <w:sz w:val="28"/>
          <w:szCs w:val="28"/>
          <w:lang w:eastAsia="ar-SA"/>
        </w:rPr>
      </w:pPr>
      <w:r w:rsidRPr="00535A4B">
        <w:rPr>
          <w:rFonts w:eastAsia="Aptos"/>
          <w:b/>
          <w:bCs/>
          <w:sz w:val="28"/>
          <w:szCs w:val="28"/>
          <w:lang w:eastAsia="ar-SA"/>
        </w:rPr>
        <w:t>Задача 4.1.3. Сформировать опорные населенные пункты нефтегазодобывающих муниципалитетов</w:t>
      </w:r>
      <w:r w:rsidRPr="00535A4B">
        <w:rPr>
          <w:rFonts w:eastAsia="Aptos"/>
          <w:sz w:val="28"/>
          <w:szCs w:val="28"/>
          <w:lang w:eastAsia="ar-SA"/>
        </w:rPr>
        <w:t xml:space="preserve"> </w:t>
      </w:r>
      <w:r w:rsidRPr="00535A4B">
        <w:rPr>
          <w:rFonts w:eastAsia="Aptos"/>
          <w:b/>
          <w:bCs/>
          <w:sz w:val="28"/>
          <w:szCs w:val="28"/>
          <w:lang w:eastAsia="ar-SA"/>
        </w:rPr>
        <w:t>в качестве узлов инфраструктурного обслуживания зон сложившейся добычи и освоения новых месторождений.</w:t>
      </w:r>
      <w:r w:rsidRPr="00535A4B">
        <w:rPr>
          <w:rFonts w:eastAsia="Aptos"/>
          <w:sz w:val="28"/>
          <w:szCs w:val="28"/>
          <w:lang w:eastAsia="ar-SA"/>
        </w:rPr>
        <w:t xml:space="preserve"> </w:t>
      </w:r>
    </w:p>
    <w:p w:rsidR="00E618FE" w:rsidRPr="005238E0" w:rsidRDefault="00800098">
      <w:pPr>
        <w:ind w:firstLine="709"/>
        <w:jc w:val="both"/>
        <w:rPr>
          <w:rFonts w:eastAsia="Aptos"/>
          <w:b/>
          <w:bCs/>
          <w:sz w:val="26"/>
          <w:szCs w:val="26"/>
          <w:lang w:eastAsia="ar-SA"/>
        </w:rPr>
      </w:pPr>
      <w:r w:rsidRPr="005238E0">
        <w:rPr>
          <w:rFonts w:eastAsia="Aptos"/>
          <w:sz w:val="26"/>
          <w:szCs w:val="26"/>
          <w:lang w:eastAsia="ar-SA"/>
        </w:rPr>
        <w:t>Ключевые направления и механизмы реализации:</w:t>
      </w:r>
    </w:p>
    <w:p w:rsidR="00E618FE" w:rsidRPr="005238E0" w:rsidRDefault="00800098">
      <w:pPr>
        <w:ind w:firstLine="709"/>
        <w:jc w:val="both"/>
        <w:rPr>
          <w:sz w:val="26"/>
          <w:szCs w:val="26"/>
          <w:lang w:eastAsia="ar-SA"/>
        </w:rPr>
      </w:pPr>
      <w:r w:rsidRPr="005238E0">
        <w:rPr>
          <w:rFonts w:eastAsia="Aptos"/>
          <w:sz w:val="26"/>
          <w:szCs w:val="26"/>
          <w:lang w:eastAsia="ar-SA"/>
        </w:rPr>
        <w:t xml:space="preserve">— сохранение в г. Стрежевой и районных центрах Александровское, Каргасок и Парабель </w:t>
      </w:r>
      <w:r w:rsidRPr="005238E0">
        <w:rPr>
          <w:sz w:val="26"/>
          <w:szCs w:val="26"/>
          <w:lang w:eastAsia="ar-SA"/>
        </w:rPr>
        <w:t xml:space="preserve">сервисной функции по обслуживанию объектов добычи </w:t>
      </w:r>
      <w:r w:rsidR="005238E0">
        <w:rPr>
          <w:sz w:val="26"/>
          <w:szCs w:val="26"/>
          <w:lang w:eastAsia="ar-SA"/>
        </w:rPr>
        <w:br/>
      </w:r>
      <w:r w:rsidRPr="005238E0">
        <w:rPr>
          <w:sz w:val="26"/>
          <w:szCs w:val="26"/>
          <w:lang w:eastAsia="ar-SA"/>
        </w:rPr>
        <w:t>и транспортировки углеводородов;</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w:t>
      </w:r>
      <w:r w:rsidRPr="005238E0">
        <w:rPr>
          <w:sz w:val="26"/>
          <w:szCs w:val="26"/>
          <w:lang w:eastAsia="ar-SA"/>
        </w:rPr>
        <w:t xml:space="preserve">реализация потенциала их развития в связи с прогнозируемым освоением новых месторождений, а также перспективных площадей залегания углеводородов (в том числе в </w:t>
      </w:r>
      <w:r w:rsidRPr="005238E0">
        <w:rPr>
          <w:rFonts w:eastAsia="Aptos"/>
          <w:sz w:val="26"/>
          <w:szCs w:val="26"/>
          <w:lang w:eastAsia="ar-SA"/>
        </w:rPr>
        <w:t>правобережье реки Обь).</w:t>
      </w:r>
    </w:p>
    <w:p w:rsidR="005238E0" w:rsidRDefault="005238E0">
      <w:pPr>
        <w:ind w:firstLine="709"/>
        <w:jc w:val="both"/>
        <w:rPr>
          <w:rFonts w:eastAsia="Aptos"/>
          <w:b/>
          <w:bCs/>
          <w:sz w:val="28"/>
          <w:szCs w:val="28"/>
          <w:lang w:eastAsia="ar-SA"/>
        </w:rPr>
      </w:pPr>
    </w:p>
    <w:p w:rsidR="00E618FE" w:rsidRPr="00535A4B" w:rsidRDefault="00800098">
      <w:pPr>
        <w:ind w:firstLine="709"/>
        <w:jc w:val="both"/>
        <w:rPr>
          <w:rFonts w:eastAsia="Aptos"/>
          <w:sz w:val="28"/>
          <w:szCs w:val="28"/>
          <w:lang w:eastAsia="ar-SA"/>
        </w:rPr>
      </w:pPr>
      <w:r w:rsidRPr="00535A4B">
        <w:rPr>
          <w:rFonts w:eastAsia="Aptos"/>
          <w:b/>
          <w:bCs/>
          <w:sz w:val="28"/>
          <w:szCs w:val="28"/>
          <w:lang w:eastAsia="ar-SA"/>
        </w:rPr>
        <w:t>Задача 4.1.4. Интенсифицировать хозяйственную деятельность муниципалитетов</w:t>
      </w:r>
      <w:r w:rsidRPr="00535A4B">
        <w:rPr>
          <w:rFonts w:eastAsia="Aptos"/>
          <w:sz w:val="28"/>
          <w:szCs w:val="28"/>
          <w:lang w:eastAsia="ar-SA"/>
        </w:rPr>
        <w:t xml:space="preserve"> </w:t>
      </w:r>
      <w:r w:rsidRPr="00535A4B">
        <w:rPr>
          <w:rFonts w:eastAsia="Aptos"/>
          <w:b/>
          <w:bCs/>
          <w:sz w:val="28"/>
          <w:szCs w:val="28"/>
          <w:lang w:eastAsia="ar-SA"/>
        </w:rPr>
        <w:t>с развитой агро- и лесопромышленной специализацией</w:t>
      </w:r>
      <w:r w:rsidRPr="00535A4B">
        <w:rPr>
          <w:rFonts w:eastAsia="Aptos"/>
          <w:sz w:val="28"/>
          <w:szCs w:val="28"/>
          <w:lang w:eastAsia="ar-SA"/>
        </w:rPr>
        <w:t xml:space="preserve">. </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Ключевые направления и механизмы реализации:</w:t>
      </w:r>
    </w:p>
    <w:p w:rsidR="00E618FE" w:rsidRPr="005238E0" w:rsidRDefault="00800098">
      <w:pPr>
        <w:ind w:firstLine="709"/>
        <w:jc w:val="both"/>
        <w:rPr>
          <w:rFonts w:eastAsia="Aptos"/>
          <w:sz w:val="26"/>
          <w:szCs w:val="26"/>
          <w:lang w:eastAsia="en-US"/>
          <w14:ligatures w14:val="standardContextual"/>
        </w:rPr>
      </w:pPr>
      <w:r w:rsidRPr="005238E0">
        <w:rPr>
          <w:rFonts w:eastAsia="Aptos"/>
          <w:sz w:val="26"/>
          <w:szCs w:val="26"/>
          <w:lang w:eastAsia="ar-SA"/>
        </w:rPr>
        <w:t>— </w:t>
      </w:r>
      <w:r w:rsidRPr="005238E0">
        <w:rPr>
          <w:rFonts w:eastAsia="Aptos"/>
          <w:sz w:val="26"/>
          <w:szCs w:val="26"/>
          <w:lang w:eastAsia="en-US"/>
          <w14:ligatures w14:val="standardContextual"/>
        </w:rPr>
        <w:t>интенсификация лесопромышленного и сельскохозяйственного комплексов в муниципальных образованиях южной части области;</w:t>
      </w:r>
    </w:p>
    <w:p w:rsidR="00E618FE" w:rsidRPr="005238E0" w:rsidRDefault="00800098">
      <w:pPr>
        <w:ind w:firstLine="709"/>
        <w:jc w:val="both"/>
        <w:rPr>
          <w:rFonts w:eastAsia="TimesNewRoman"/>
          <w:sz w:val="26"/>
          <w:szCs w:val="26"/>
          <w:lang w:eastAsia="ar-SA"/>
        </w:rPr>
      </w:pPr>
      <w:r w:rsidRPr="005238E0">
        <w:rPr>
          <w:rFonts w:eastAsia="Aptos"/>
          <w:sz w:val="26"/>
          <w:szCs w:val="26"/>
          <w:lang w:eastAsia="ar-SA"/>
        </w:rPr>
        <w:t>— </w:t>
      </w:r>
      <w:r w:rsidRPr="005238E0">
        <w:rPr>
          <w:rFonts w:eastAsia="TimesNewRoman"/>
          <w:sz w:val="26"/>
          <w:szCs w:val="26"/>
          <w:lang w:eastAsia="ar-SA"/>
        </w:rPr>
        <w:t>развитие перерабатывающих производств с высокой добавленной стоимостью;</w:t>
      </w:r>
    </w:p>
    <w:p w:rsidR="00E618FE" w:rsidRPr="005238E0" w:rsidRDefault="00800098">
      <w:pPr>
        <w:ind w:firstLine="709"/>
        <w:jc w:val="both"/>
        <w:rPr>
          <w:rFonts w:eastAsia="TimesNewRoman"/>
          <w:sz w:val="26"/>
          <w:szCs w:val="26"/>
          <w:lang w:eastAsia="ar-SA"/>
        </w:rPr>
      </w:pPr>
      <w:r w:rsidRPr="005238E0">
        <w:rPr>
          <w:rFonts w:eastAsia="Aptos"/>
          <w:sz w:val="26"/>
          <w:szCs w:val="26"/>
          <w:lang w:eastAsia="ar-SA"/>
        </w:rPr>
        <w:t>— </w:t>
      </w:r>
      <w:r w:rsidRPr="005238E0">
        <w:rPr>
          <w:rFonts w:eastAsia="TimesNewRoman"/>
          <w:sz w:val="26"/>
          <w:szCs w:val="26"/>
          <w:lang w:eastAsia="ar-SA"/>
        </w:rPr>
        <w:t>усиление технологических связей с профильными предприятиями г. Томска и ЗАТО Северска.</w:t>
      </w:r>
    </w:p>
    <w:p w:rsidR="005238E0" w:rsidRDefault="005238E0">
      <w:pPr>
        <w:ind w:firstLine="709"/>
        <w:jc w:val="both"/>
        <w:rPr>
          <w:rFonts w:eastAsia="Aptos"/>
          <w:b/>
          <w:bCs/>
          <w:sz w:val="28"/>
          <w:szCs w:val="28"/>
          <w:lang w:eastAsia="ar-SA"/>
        </w:rPr>
      </w:pPr>
    </w:p>
    <w:p w:rsidR="00E618FE" w:rsidRPr="00535A4B" w:rsidRDefault="00800098">
      <w:pPr>
        <w:ind w:firstLine="709"/>
        <w:jc w:val="both"/>
        <w:rPr>
          <w:rFonts w:eastAsia="Aptos"/>
          <w:sz w:val="28"/>
          <w:szCs w:val="28"/>
          <w:lang w:eastAsia="ar-SA"/>
        </w:rPr>
      </w:pPr>
      <w:r w:rsidRPr="00535A4B">
        <w:rPr>
          <w:rFonts w:eastAsia="Aptos"/>
          <w:b/>
          <w:bCs/>
          <w:sz w:val="28"/>
          <w:szCs w:val="28"/>
          <w:lang w:eastAsia="ar-SA"/>
        </w:rPr>
        <w:t>Задача 4.1.5. Обеспечить реализацию крупных инвестиционных проектов на трудоизбыточных территориях.</w:t>
      </w:r>
      <w:r w:rsidRPr="00535A4B">
        <w:rPr>
          <w:rFonts w:eastAsia="Aptos"/>
          <w:sz w:val="28"/>
          <w:szCs w:val="28"/>
          <w:lang w:eastAsia="ar-SA"/>
        </w:rPr>
        <w:t xml:space="preserve"> </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Ключевые направления и механизмы реализации:</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освоение Бакчарского месторождения железных руд;</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xml:space="preserve">— развитие Верхнекетского комплекса глубокой переработки древесины. </w:t>
      </w:r>
    </w:p>
    <w:p w:rsidR="005238E0" w:rsidRDefault="005238E0">
      <w:pPr>
        <w:ind w:firstLine="709"/>
        <w:jc w:val="both"/>
        <w:rPr>
          <w:rFonts w:eastAsia="Aptos"/>
          <w:b/>
          <w:sz w:val="28"/>
          <w:szCs w:val="28"/>
          <w:lang w:eastAsia="ar-SA"/>
        </w:rPr>
      </w:pPr>
    </w:p>
    <w:p w:rsidR="00E618FE" w:rsidRPr="00535A4B" w:rsidRDefault="00800098">
      <w:pPr>
        <w:ind w:firstLine="709"/>
        <w:jc w:val="both"/>
        <w:rPr>
          <w:rFonts w:eastAsia="Aptos"/>
          <w:b/>
          <w:sz w:val="28"/>
          <w:szCs w:val="28"/>
          <w:lang w:eastAsia="ar-SA"/>
        </w:rPr>
      </w:pPr>
      <w:r w:rsidRPr="00535A4B">
        <w:rPr>
          <w:rFonts w:eastAsia="Aptos"/>
          <w:b/>
          <w:sz w:val="28"/>
          <w:szCs w:val="28"/>
          <w:lang w:eastAsia="ar-SA"/>
        </w:rPr>
        <w:t xml:space="preserve">Задача 4.1.6. Поддерживать предпринимательскую инициативу </w:t>
      </w:r>
      <w:r w:rsidRPr="00535A4B">
        <w:rPr>
          <w:rFonts w:eastAsia="Aptos"/>
          <w:b/>
          <w:sz w:val="28"/>
          <w:szCs w:val="28"/>
          <w:lang w:eastAsia="ar-SA"/>
        </w:rPr>
        <w:br/>
        <w:t xml:space="preserve">в муниципалитетах с ограниченными ресурсами развития. </w:t>
      </w:r>
    </w:p>
    <w:p w:rsidR="00E618FE" w:rsidRPr="005238E0" w:rsidRDefault="00800098">
      <w:pPr>
        <w:ind w:firstLine="709"/>
        <w:jc w:val="both"/>
        <w:rPr>
          <w:rFonts w:eastAsia="Aptos"/>
          <w:b/>
          <w:sz w:val="26"/>
          <w:szCs w:val="26"/>
          <w:lang w:eastAsia="ar-SA"/>
        </w:rPr>
      </w:pPr>
      <w:r w:rsidRPr="005238E0">
        <w:rPr>
          <w:rFonts w:eastAsia="Aptos"/>
          <w:sz w:val="26"/>
          <w:szCs w:val="26"/>
          <w:lang w:eastAsia="ar-SA"/>
        </w:rPr>
        <w:t>Ключевые направления и механизмы реализации:</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xml:space="preserve">— стимулирование развития малых предприятий лесного, сельского </w:t>
      </w:r>
      <w:r w:rsidRPr="005238E0">
        <w:rPr>
          <w:rFonts w:eastAsia="Aptos"/>
          <w:sz w:val="26"/>
          <w:szCs w:val="26"/>
          <w:lang w:eastAsia="ar-SA"/>
        </w:rPr>
        <w:br/>
        <w:t>и рыбного хозяйства;</w:t>
      </w:r>
    </w:p>
    <w:p w:rsidR="00E618FE" w:rsidRPr="005238E0" w:rsidRDefault="00800098">
      <w:pPr>
        <w:ind w:firstLine="709"/>
        <w:jc w:val="both"/>
        <w:rPr>
          <w:rFonts w:eastAsia="Aptos"/>
          <w:sz w:val="26"/>
          <w:szCs w:val="26"/>
          <w:lang w:eastAsia="ar-SA"/>
        </w:rPr>
      </w:pPr>
      <w:r w:rsidRPr="005238E0">
        <w:rPr>
          <w:rFonts w:eastAsia="Aptos"/>
          <w:sz w:val="26"/>
          <w:szCs w:val="26"/>
          <w:lang w:eastAsia="ar-SA"/>
        </w:rPr>
        <w:t>— укрепление сервисных функций и производств.</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lastRenderedPageBreak/>
        <w:t>Целевые показатели:</w:t>
      </w:r>
    </w:p>
    <w:p w:rsidR="00E618FE" w:rsidRPr="005238E0" w:rsidRDefault="00800098">
      <w:pPr>
        <w:suppressLineNumbers/>
        <w:spacing w:before="180" w:after="120"/>
        <w:jc w:val="both"/>
        <w:outlineLvl w:val="8"/>
        <w:rPr>
          <w:bCs/>
          <w:sz w:val="26"/>
          <w:szCs w:val="26"/>
          <w:lang w:eastAsia="ar-SA" w:bidi="en-US"/>
        </w:rPr>
      </w:pPr>
      <w:r w:rsidRPr="005238E0">
        <w:rPr>
          <w:bCs/>
          <w:sz w:val="26"/>
          <w:szCs w:val="26"/>
          <w:lang w:eastAsia="ar-SA" w:bidi="en-US"/>
        </w:rPr>
        <w:t>Таблица 12.1. Целевые показатели Стратегического приоритета 4.1. «Устойчивое экономическое развитие муниципальных образований Томской области»</w:t>
      </w:r>
    </w:p>
    <w:tbl>
      <w:tblPr>
        <w:tblStyle w:val="-141"/>
        <w:tblW w:w="9438" w:type="dxa"/>
        <w:tblLayout w:type="fixed"/>
        <w:tblLook w:val="04A0" w:firstRow="1" w:lastRow="0" w:firstColumn="1" w:lastColumn="0" w:noHBand="0" w:noVBand="1"/>
      </w:tblPr>
      <w:tblGrid>
        <w:gridCol w:w="6177"/>
        <w:gridCol w:w="1090"/>
        <w:gridCol w:w="1037"/>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Показатели </w:t>
            </w:r>
          </w:p>
        </w:tc>
        <w:tc>
          <w:tcPr>
            <w:tcW w:w="109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Доля населения, занятого в организациях негосударственных форм собственности, %</w:t>
            </w:r>
          </w:p>
        </w:tc>
        <w:tc>
          <w:tcPr>
            <w:tcW w:w="109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59,30 (2024)</w:t>
            </w:r>
          </w:p>
        </w:tc>
        <w:tc>
          <w:tcPr>
            <w:tcW w:w="10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60,50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Уровень предпринимательской активности (число субъектов малого бизнеса в расчете на 1000 жителей)</w:t>
            </w:r>
          </w:p>
        </w:tc>
        <w:tc>
          <w:tcPr>
            <w:tcW w:w="109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39,70 (2024)</w:t>
            </w:r>
          </w:p>
        </w:tc>
        <w:tc>
          <w:tcPr>
            <w:tcW w:w="10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47,9</w:t>
            </w:r>
          </w:p>
        </w:tc>
      </w:tr>
    </w:tbl>
    <w:p w:rsidR="00E618FE" w:rsidRPr="00535A4B" w:rsidRDefault="00E618FE">
      <w:pPr>
        <w:ind w:firstLine="709"/>
        <w:jc w:val="both"/>
        <w:rPr>
          <w:sz w:val="28"/>
          <w:szCs w:val="28"/>
          <w:lang w:eastAsia="ar-SA"/>
        </w:rPr>
      </w:pPr>
    </w:p>
    <w:p w:rsidR="00E618FE" w:rsidRPr="00535A4B" w:rsidRDefault="00800098">
      <w:pPr>
        <w:keepNext/>
        <w:keepLines/>
        <w:ind w:firstLine="709"/>
        <w:jc w:val="both"/>
        <w:outlineLvl w:val="1"/>
        <w:rPr>
          <w:rFonts w:eastAsiaTheme="majorEastAsia"/>
          <w:b/>
          <w:bCs/>
          <w:sz w:val="28"/>
          <w:szCs w:val="26"/>
          <w:lang w:eastAsia="en-US" w:bidi="en-US"/>
        </w:rPr>
      </w:pPr>
      <w:bookmarkStart w:id="165" w:name="_Toc229484486"/>
      <w:bookmarkStart w:id="166" w:name="_Toc229962280"/>
      <w:bookmarkStart w:id="167" w:name="_Toc235810161"/>
      <w:bookmarkStart w:id="168" w:name="_Toc238554549"/>
      <w:r w:rsidRPr="00535A4B">
        <w:rPr>
          <w:rFonts w:eastAsiaTheme="majorEastAsia"/>
          <w:b/>
          <w:bCs/>
          <w:sz w:val="28"/>
          <w:szCs w:val="26"/>
          <w:lang w:eastAsia="en-US" w:bidi="en-US"/>
        </w:rPr>
        <w:t>Стратегический приоритет 4.2. «Сбалансированное развитие системы расселения Томской области»</w:t>
      </w:r>
      <w:bookmarkEnd w:id="165"/>
      <w:bookmarkEnd w:id="166"/>
      <w:bookmarkEnd w:id="167"/>
      <w:bookmarkEnd w:id="168"/>
    </w:p>
    <w:p w:rsidR="00E618FE" w:rsidRPr="00535A4B" w:rsidRDefault="00E618FE">
      <w:pPr>
        <w:ind w:firstLine="709"/>
        <w:jc w:val="both"/>
        <w:rPr>
          <w:sz w:val="28"/>
          <w:szCs w:val="28"/>
          <w:lang w:eastAsia="ar-SA"/>
        </w:rPr>
      </w:pPr>
    </w:p>
    <w:p w:rsidR="00E618FE" w:rsidRPr="005238E0" w:rsidRDefault="00800098">
      <w:pPr>
        <w:ind w:firstLine="709"/>
        <w:jc w:val="both"/>
        <w:rPr>
          <w:sz w:val="26"/>
          <w:szCs w:val="26"/>
          <w:lang w:eastAsia="ar-SA"/>
        </w:rPr>
      </w:pPr>
      <w:r w:rsidRPr="005238E0">
        <w:rPr>
          <w:sz w:val="26"/>
          <w:szCs w:val="26"/>
          <w:lang w:eastAsia="ar-SA"/>
        </w:rPr>
        <w:t xml:space="preserve">В региональной политике Томской области важная роль отводится организации сбалансированной системы расселения, при которой развитие </w:t>
      </w:r>
      <w:r w:rsidRPr="005238E0">
        <w:rPr>
          <w:sz w:val="26"/>
          <w:szCs w:val="26"/>
          <w:lang w:eastAsia="ar-SA"/>
        </w:rPr>
        <w:br/>
        <w:t>и поддержание социальных и коммуникационных инфраструктур будет соответствовать объективно сложившимся демографическим и расселенческим процессам.</w:t>
      </w:r>
    </w:p>
    <w:p w:rsidR="00E618FE" w:rsidRPr="005238E0" w:rsidRDefault="00800098">
      <w:pPr>
        <w:ind w:firstLine="709"/>
        <w:jc w:val="both"/>
        <w:rPr>
          <w:sz w:val="26"/>
          <w:szCs w:val="26"/>
          <w:lang w:eastAsia="ar-SA"/>
        </w:rPr>
      </w:pPr>
      <w:r w:rsidRPr="005238E0">
        <w:rPr>
          <w:sz w:val="26"/>
          <w:szCs w:val="26"/>
          <w:lang w:eastAsia="ar-SA"/>
        </w:rPr>
        <w:t xml:space="preserve">К основным особенностям системы расселения Томской области относятся общее сокращение численности населения, сопровождаемое увеличением демографической нагрузки на население трудоспособного возраста; моноцентричность системы расселения; низкая плотность населения и слабая освоенность большей части территории региона; активное стягивание населения со всех районов области в Томскую агломерацию; высокая миграционная убыль; ярко выражены процессы субурбанизации города Томска, формирующие густую сеть поселений-спутников. </w:t>
      </w:r>
    </w:p>
    <w:p w:rsidR="00E618FE" w:rsidRPr="005238E0" w:rsidRDefault="00800098">
      <w:pPr>
        <w:pStyle w:val="a4"/>
        <w:rPr>
          <w:rFonts w:ascii="Times New Roman" w:hAnsi="Times New Roman"/>
          <w:color w:val="auto"/>
          <w:sz w:val="26"/>
          <w:szCs w:val="26"/>
        </w:rPr>
      </w:pPr>
      <w:r w:rsidRPr="005238E0">
        <w:rPr>
          <w:rFonts w:ascii="Times New Roman" w:hAnsi="Times New Roman"/>
          <w:color w:val="auto"/>
          <w:sz w:val="26"/>
          <w:szCs w:val="26"/>
        </w:rPr>
        <w:t>В документах территориального и стратегического планирования следует предусматривать мероприятия по развитию социальных и коммуникационных инфраструктур и выделению территорий для жилищного строительства преимущественно в перспективных частях районов; приоритетные мероприятия концентрируются в опорных населенных пунктах с учетом их роли в системе расселения.</w:t>
      </w:r>
    </w:p>
    <w:p w:rsidR="00E618FE" w:rsidRPr="005238E0" w:rsidRDefault="00800098">
      <w:pPr>
        <w:ind w:firstLine="720"/>
        <w:jc w:val="both"/>
        <w:rPr>
          <w:sz w:val="26"/>
          <w:szCs w:val="26"/>
        </w:rPr>
      </w:pPr>
      <w:r w:rsidRPr="005238E0">
        <w:rPr>
          <w:sz w:val="26"/>
          <w:szCs w:val="26"/>
        </w:rPr>
        <w:t>Согласно Единому перечню опорных населенных пунктов Российской Федерации, утвержденному Министерством экономического развития Российской Федерации, в Томской области установлены следующие опорные населенные пункты:</w:t>
      </w:r>
    </w:p>
    <w:p w:rsidR="00E618FE" w:rsidRPr="005238E0" w:rsidRDefault="00800098">
      <w:pPr>
        <w:ind w:firstLine="720"/>
        <w:jc w:val="both"/>
        <w:rPr>
          <w:sz w:val="26"/>
          <w:szCs w:val="26"/>
        </w:rPr>
      </w:pPr>
      <w:r w:rsidRPr="005238E0">
        <w:rPr>
          <w:sz w:val="26"/>
          <w:szCs w:val="26"/>
        </w:rPr>
        <w:t xml:space="preserve">— город Томск </w:t>
      </w:r>
      <w:r w:rsidR="005238E0">
        <w:rPr>
          <w:sz w:val="26"/>
          <w:szCs w:val="26"/>
        </w:rPr>
        <w:t>–</w:t>
      </w:r>
      <w:r w:rsidRPr="005238E0">
        <w:rPr>
          <w:sz w:val="26"/>
          <w:szCs w:val="26"/>
        </w:rPr>
        <w:t xml:space="preserve"> ядро городской агломерации;</w:t>
      </w:r>
    </w:p>
    <w:p w:rsidR="00E618FE" w:rsidRPr="005238E0" w:rsidRDefault="005238E0">
      <w:pPr>
        <w:ind w:firstLine="720"/>
        <w:jc w:val="both"/>
        <w:rPr>
          <w:sz w:val="26"/>
          <w:szCs w:val="26"/>
        </w:rPr>
      </w:pPr>
      <w:r>
        <w:rPr>
          <w:sz w:val="26"/>
          <w:szCs w:val="26"/>
        </w:rPr>
        <w:t>— город Северск –</w:t>
      </w:r>
      <w:r w:rsidR="00800098" w:rsidRPr="005238E0">
        <w:rPr>
          <w:sz w:val="26"/>
          <w:szCs w:val="26"/>
        </w:rPr>
        <w:t xml:space="preserve"> входит в состав городской агломерации </w:t>
      </w:r>
      <w:r w:rsidR="00800098" w:rsidRPr="005238E0">
        <w:rPr>
          <w:sz w:val="26"/>
          <w:szCs w:val="26"/>
        </w:rPr>
        <w:br/>
        <w:t>и обеспечивает национальную безопасность;</w:t>
      </w:r>
    </w:p>
    <w:p w:rsidR="00E618FE" w:rsidRPr="005238E0" w:rsidRDefault="00800098">
      <w:pPr>
        <w:ind w:firstLine="720"/>
        <w:jc w:val="both"/>
        <w:rPr>
          <w:sz w:val="26"/>
          <w:szCs w:val="26"/>
        </w:rPr>
      </w:pPr>
      <w:r w:rsidRPr="005238E0">
        <w:rPr>
          <w:sz w:val="26"/>
          <w:szCs w:val="26"/>
        </w:rPr>
        <w:t xml:space="preserve">— остальные административные центры городских и муниципальных округов; муниципальных районов (г. Кедровый, г. Стрежевой, с. Александровское, г. Асино, с. Бакчар, р.п. Белый Яр, с. Зырянское, с. Каргасок, с. Кожевниково, </w:t>
      </w:r>
      <w:r w:rsidR="005238E0">
        <w:rPr>
          <w:sz w:val="26"/>
          <w:szCs w:val="26"/>
        </w:rPr>
        <w:br/>
      </w:r>
      <w:r w:rsidRPr="005238E0">
        <w:rPr>
          <w:sz w:val="26"/>
          <w:szCs w:val="26"/>
        </w:rPr>
        <w:t xml:space="preserve">г. Колпашево, с. Кривошеино, с. Молчаново, с. Парабель, с. Первомайское, с. Тегульдет, с. Подгорное и с. Мельниково) </w:t>
      </w:r>
      <w:r w:rsidR="005238E0">
        <w:rPr>
          <w:sz w:val="26"/>
          <w:szCs w:val="26"/>
        </w:rPr>
        <w:t>–</w:t>
      </w:r>
      <w:r w:rsidRPr="005238E0">
        <w:rPr>
          <w:sz w:val="26"/>
          <w:szCs w:val="26"/>
        </w:rPr>
        <w:t xml:space="preserve"> населенные пункты, которые являются основными центрами предоставления социальных услуг для одного или нескольких муниципальных образований.</w:t>
      </w:r>
    </w:p>
    <w:p w:rsidR="00E618FE" w:rsidRPr="005238E0" w:rsidRDefault="00800098">
      <w:pPr>
        <w:ind w:firstLine="709"/>
        <w:jc w:val="both"/>
        <w:rPr>
          <w:sz w:val="26"/>
          <w:szCs w:val="26"/>
        </w:rPr>
      </w:pPr>
      <w:r w:rsidRPr="005238E0">
        <w:rPr>
          <w:sz w:val="26"/>
          <w:szCs w:val="26"/>
        </w:rPr>
        <w:lastRenderedPageBreak/>
        <w:t xml:space="preserve">С учетом текущих демографических процессов опорные населенные пункты дополнительно ранжированы с учетом их роли в системе расселения и выполняемой ими межселенной функции (рисунок 12.2). </w:t>
      </w:r>
    </w:p>
    <w:p w:rsidR="00E618FE" w:rsidRPr="00535A4B" w:rsidRDefault="00800098">
      <w:pPr>
        <w:spacing w:before="240" w:after="120"/>
        <w:jc w:val="center"/>
        <w:rPr>
          <w:lang w:eastAsia="ar-SA"/>
        </w:rPr>
      </w:pPr>
      <w:r w:rsidRPr="00535A4B">
        <w:rPr>
          <w:noProof/>
        </w:rPr>
        <w:drawing>
          <wp:inline distT="0" distB="0" distL="0" distR="0">
            <wp:extent cx="5735781" cy="5010595"/>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5"/>
                    <a:stretch/>
                  </pic:blipFill>
                  <pic:spPr bwMode="auto">
                    <a:xfrm>
                      <a:off x="0" y="0"/>
                      <a:ext cx="5735613" cy="5010447"/>
                    </a:xfrm>
                    <a:prstGeom prst="rect">
                      <a:avLst/>
                    </a:prstGeom>
                  </pic:spPr>
                </pic:pic>
              </a:graphicData>
            </a:graphic>
          </wp:inline>
        </w:drawing>
      </w:r>
    </w:p>
    <w:p w:rsidR="00E618FE" w:rsidRPr="005238E0" w:rsidRDefault="00800098">
      <w:pPr>
        <w:suppressLineNumbers/>
        <w:spacing w:before="180" w:after="120"/>
        <w:jc w:val="center"/>
        <w:outlineLvl w:val="8"/>
        <w:rPr>
          <w:bCs/>
          <w:sz w:val="26"/>
          <w:szCs w:val="26"/>
          <w:lang w:eastAsia="ar-SA"/>
        </w:rPr>
      </w:pPr>
      <w:r w:rsidRPr="005238E0">
        <w:rPr>
          <w:bCs/>
          <w:sz w:val="26"/>
          <w:szCs w:val="26"/>
          <w:lang w:eastAsia="ar-SA"/>
        </w:rPr>
        <w:t>Рисунок 12.2. Особенности системы расселения Томской области</w:t>
      </w:r>
    </w:p>
    <w:p w:rsidR="00E618FE" w:rsidRPr="00535A4B" w:rsidRDefault="00E618FE">
      <w:pPr>
        <w:ind w:firstLine="709"/>
        <w:jc w:val="both"/>
        <w:rPr>
          <w:sz w:val="28"/>
          <w:szCs w:val="28"/>
          <w:lang w:eastAsia="ar-SA"/>
        </w:rPr>
      </w:pPr>
    </w:p>
    <w:p w:rsidR="00E618FE" w:rsidRPr="005238E0" w:rsidRDefault="00800098">
      <w:pPr>
        <w:ind w:firstLine="720"/>
        <w:jc w:val="both"/>
        <w:rPr>
          <w:sz w:val="26"/>
          <w:szCs w:val="26"/>
        </w:rPr>
      </w:pPr>
      <w:r w:rsidRPr="005238E0">
        <w:rPr>
          <w:sz w:val="26"/>
          <w:szCs w:val="26"/>
        </w:rPr>
        <w:t>В соответствии с приказом Департамента по социально-экономическому развитию села Томской области от 20 февраля 2025 года № 12 «Об определении перечней сельских территорий Томской области и сельских агломераций Томской области» в границах региона установлены 3 сельские агломерации: Асиновский муниципальный район, муниципальный округ Город Кедровый и Колпашевский муниципальный район.</w:t>
      </w:r>
    </w:p>
    <w:p w:rsidR="00E618FE" w:rsidRPr="005238E0" w:rsidRDefault="00800098">
      <w:pPr>
        <w:ind w:firstLine="720"/>
        <w:jc w:val="both"/>
        <w:rPr>
          <w:sz w:val="26"/>
          <w:szCs w:val="26"/>
        </w:rPr>
      </w:pPr>
      <w:r w:rsidRPr="005238E0">
        <w:rPr>
          <w:sz w:val="26"/>
          <w:szCs w:val="26"/>
        </w:rPr>
        <w:t>Развитие сельских агломераций осуществляется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года № 696 (с изменениями и дополнениями). В целях реализации задач пространственного развития требуется обеспечить:</w:t>
      </w:r>
    </w:p>
    <w:p w:rsidR="00E618FE" w:rsidRPr="005D5386" w:rsidRDefault="00800098">
      <w:pPr>
        <w:ind w:firstLine="720"/>
        <w:jc w:val="both"/>
        <w:rPr>
          <w:sz w:val="26"/>
          <w:szCs w:val="26"/>
        </w:rPr>
      </w:pPr>
      <w:r w:rsidRPr="005D5386">
        <w:rPr>
          <w:sz w:val="26"/>
          <w:szCs w:val="26"/>
          <w:lang w:eastAsia="ar-SA"/>
        </w:rPr>
        <w:t>— </w:t>
      </w:r>
      <w:r w:rsidRPr="005D5386">
        <w:rPr>
          <w:sz w:val="26"/>
          <w:szCs w:val="26"/>
        </w:rPr>
        <w:t xml:space="preserve">единство подходов к определению потребности в размещении новых или модернизации существующих объектов социальной, инженерной, транспортной, логистической инфраструктуры не только исходя из отраслевых принципов </w:t>
      </w:r>
      <w:r w:rsidR="005D5386">
        <w:rPr>
          <w:sz w:val="26"/>
          <w:szCs w:val="26"/>
        </w:rPr>
        <w:br/>
      </w:r>
      <w:r w:rsidRPr="005D5386">
        <w:rPr>
          <w:sz w:val="26"/>
          <w:szCs w:val="26"/>
        </w:rPr>
        <w:t xml:space="preserve">их локации, но и с учетом текущего и перспективного уровня занятости населения, </w:t>
      </w:r>
      <w:r w:rsidRPr="005D5386">
        <w:rPr>
          <w:sz w:val="26"/>
          <w:szCs w:val="26"/>
        </w:rPr>
        <w:lastRenderedPageBreak/>
        <w:t>демографических прогнозов, потребности населения в соответствующих услугах, транспортной доступности объектов и сопутствующей инфраструктуры, а также инвестиционной активности территорий;</w:t>
      </w:r>
    </w:p>
    <w:p w:rsidR="00E618FE" w:rsidRPr="005D5386" w:rsidRDefault="00800098">
      <w:pPr>
        <w:ind w:firstLine="720"/>
        <w:jc w:val="both"/>
        <w:rPr>
          <w:sz w:val="26"/>
          <w:szCs w:val="26"/>
        </w:rPr>
      </w:pPr>
      <w:r w:rsidRPr="005D5386">
        <w:rPr>
          <w:sz w:val="26"/>
          <w:szCs w:val="26"/>
          <w:lang w:eastAsia="ar-SA"/>
        </w:rPr>
        <w:t>— </w:t>
      </w:r>
      <w:r w:rsidRPr="005D5386">
        <w:rPr>
          <w:sz w:val="26"/>
          <w:szCs w:val="26"/>
        </w:rPr>
        <w:t xml:space="preserve">приоритетное рассмотрение и финансирование заявок субъектов Российской Федерации в отношении мероприятий, реализуемых и заявляемых </w:t>
      </w:r>
      <w:r w:rsidR="005D5386">
        <w:rPr>
          <w:sz w:val="26"/>
          <w:szCs w:val="26"/>
        </w:rPr>
        <w:br/>
      </w:r>
      <w:r w:rsidRPr="005D5386">
        <w:rPr>
          <w:sz w:val="26"/>
          <w:szCs w:val="26"/>
        </w:rPr>
        <w:t>к реализации на территориях опорных населенных пунктов и прилегающих территорий.</w:t>
      </w:r>
    </w:p>
    <w:p w:rsidR="00E618FE" w:rsidRPr="005D5386" w:rsidRDefault="00800098">
      <w:pPr>
        <w:ind w:firstLine="709"/>
        <w:jc w:val="both"/>
        <w:rPr>
          <w:sz w:val="26"/>
          <w:szCs w:val="26"/>
        </w:rPr>
      </w:pPr>
      <w:r w:rsidRPr="005D5386">
        <w:rPr>
          <w:sz w:val="26"/>
          <w:szCs w:val="26"/>
        </w:rPr>
        <w:t xml:space="preserve">Государственной Думой Российской Федерации и Министерством экономического развития Российской Федерации рассматривается вопрос включения в Стратегию пространственного развития Российской Федерации понятия «сельские агломерации» и формирования их перечня. Предполагается, </w:t>
      </w:r>
      <w:r w:rsidR="005D5386">
        <w:rPr>
          <w:sz w:val="26"/>
          <w:szCs w:val="26"/>
        </w:rPr>
        <w:br/>
      </w:r>
      <w:r w:rsidRPr="005D5386">
        <w:rPr>
          <w:sz w:val="26"/>
          <w:szCs w:val="26"/>
        </w:rPr>
        <w:t xml:space="preserve">что к сельским агломерациям могут быть отнесены населенные пункты </w:t>
      </w:r>
      <w:r w:rsidR="005D5386">
        <w:rPr>
          <w:sz w:val="26"/>
          <w:szCs w:val="26"/>
        </w:rPr>
        <w:br/>
      </w:r>
      <w:r w:rsidRPr="005D5386">
        <w:rPr>
          <w:sz w:val="26"/>
          <w:szCs w:val="26"/>
        </w:rPr>
        <w:t xml:space="preserve">с численностью свыше 1500 жителей, расположенные за пределами 20 километров от ближайших опорных населенных пунктов. </w:t>
      </w:r>
    </w:p>
    <w:p w:rsidR="00E618FE" w:rsidRPr="005D5386" w:rsidRDefault="00800098">
      <w:pPr>
        <w:ind w:firstLine="709"/>
        <w:jc w:val="both"/>
        <w:rPr>
          <w:sz w:val="26"/>
          <w:szCs w:val="26"/>
        </w:rPr>
      </w:pPr>
      <w:r w:rsidRPr="005D5386">
        <w:rPr>
          <w:sz w:val="26"/>
          <w:szCs w:val="26"/>
        </w:rPr>
        <w:t>При закреплении на федеральном уровне данного определения Правительством Томской области будет проведена работа по актуализации перечня сельских агломераций. Установление сельских агломераций в заявленных параметрах позволит распространить механизмы финансовой поддержки опорных центров расселения на периферийные части ориентировочно 11 муниципальных районов Томской области.</w:t>
      </w:r>
    </w:p>
    <w:p w:rsidR="00E618FE" w:rsidRPr="005D5386" w:rsidRDefault="00800098">
      <w:pPr>
        <w:ind w:firstLine="720"/>
        <w:jc w:val="both"/>
        <w:rPr>
          <w:sz w:val="26"/>
          <w:szCs w:val="26"/>
        </w:rPr>
      </w:pPr>
      <w:r w:rsidRPr="005D5386">
        <w:rPr>
          <w:b/>
          <w:sz w:val="26"/>
          <w:szCs w:val="26"/>
        </w:rPr>
        <w:t>Межрегиональное взаимодействие.</w:t>
      </w:r>
      <w:r w:rsidRPr="005D5386">
        <w:rPr>
          <w:sz w:val="26"/>
          <w:szCs w:val="26"/>
        </w:rPr>
        <w:t xml:space="preserve"> Сложились активные хозяйственные </w:t>
      </w:r>
      <w:r w:rsidR="005D5386">
        <w:rPr>
          <w:sz w:val="26"/>
          <w:szCs w:val="26"/>
        </w:rPr>
        <w:br/>
      </w:r>
      <w:r w:rsidRPr="005D5386">
        <w:rPr>
          <w:sz w:val="26"/>
          <w:szCs w:val="26"/>
        </w:rPr>
        <w:t xml:space="preserve">и социальные связи Томской области с соседними регионами </w:t>
      </w:r>
      <w:r w:rsidR="005D5386">
        <w:rPr>
          <w:sz w:val="26"/>
          <w:szCs w:val="26"/>
        </w:rPr>
        <w:t>–</w:t>
      </w:r>
      <w:r w:rsidRPr="005D5386">
        <w:rPr>
          <w:sz w:val="26"/>
          <w:szCs w:val="26"/>
        </w:rPr>
        <w:t xml:space="preserve"> Новосибирской и Кемеровской областями. </w:t>
      </w:r>
    </w:p>
    <w:p w:rsidR="00E618FE" w:rsidRPr="005D5386" w:rsidRDefault="00800098">
      <w:pPr>
        <w:ind w:firstLine="720"/>
        <w:jc w:val="both"/>
        <w:rPr>
          <w:sz w:val="26"/>
          <w:szCs w:val="26"/>
        </w:rPr>
      </w:pPr>
      <w:r w:rsidRPr="005D5386">
        <w:rPr>
          <w:sz w:val="26"/>
          <w:szCs w:val="26"/>
        </w:rPr>
        <w:t xml:space="preserve">Значимым вызовом для развития Томской области остается межрегиональная конкуренция с Новосибирской областью. Являясь более крупным центром </w:t>
      </w:r>
      <w:r w:rsidR="005D5386">
        <w:rPr>
          <w:sz w:val="26"/>
          <w:szCs w:val="26"/>
        </w:rPr>
        <w:br/>
      </w:r>
      <w:r w:rsidRPr="005D5386">
        <w:rPr>
          <w:sz w:val="26"/>
          <w:szCs w:val="26"/>
        </w:rPr>
        <w:t>в иерархии населенных мест, Новосибирск притягивает стабильный миграционный поток трудоспособного населения из Томской области.</w:t>
      </w:r>
    </w:p>
    <w:p w:rsidR="00E618FE" w:rsidRPr="005D5386" w:rsidRDefault="00800098">
      <w:pPr>
        <w:ind w:firstLine="720"/>
        <w:jc w:val="both"/>
        <w:rPr>
          <w:sz w:val="26"/>
          <w:szCs w:val="26"/>
        </w:rPr>
      </w:pPr>
      <w:r w:rsidRPr="005D5386">
        <w:rPr>
          <w:sz w:val="26"/>
          <w:szCs w:val="26"/>
        </w:rPr>
        <w:t>Интенсивность социальных связей Томской и Кемеровской областей можно оценить как среднюю. Важным фактором является стабильный приток молодежи Кузбасса в Томск с целью получения высшего образования.</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Задачи:</w:t>
      </w:r>
    </w:p>
    <w:p w:rsidR="00E618FE" w:rsidRPr="00535A4B" w:rsidRDefault="00800098">
      <w:pPr>
        <w:ind w:firstLine="709"/>
        <w:jc w:val="both"/>
        <w:rPr>
          <w:b/>
          <w:bCs/>
          <w:sz w:val="28"/>
          <w:szCs w:val="28"/>
          <w:lang w:eastAsia="ar-SA"/>
        </w:rPr>
      </w:pPr>
      <w:r w:rsidRPr="00535A4B">
        <w:rPr>
          <w:b/>
          <w:bCs/>
          <w:sz w:val="28"/>
          <w:szCs w:val="28"/>
          <w:lang w:eastAsia="ar-SA"/>
        </w:rPr>
        <w:t>Задача 4.2.1. Способствовать функциональному развитию Томской агломерации.</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9"/>
        <w:jc w:val="both"/>
        <w:rPr>
          <w:sz w:val="26"/>
          <w:szCs w:val="26"/>
          <w:lang w:eastAsia="ar-SA"/>
        </w:rPr>
      </w:pPr>
      <w:r w:rsidRPr="005D5386">
        <w:rPr>
          <w:sz w:val="26"/>
          <w:szCs w:val="26"/>
          <w:lang w:eastAsia="ar-SA"/>
        </w:rPr>
        <w:t>— развитие коммунальной и социальной инфраструктуры, формирование современной комфортной среды проживания в Томской агломерации;</w:t>
      </w:r>
    </w:p>
    <w:p w:rsidR="00E618FE" w:rsidRPr="005D5386" w:rsidRDefault="00800098">
      <w:pPr>
        <w:ind w:firstLine="709"/>
        <w:jc w:val="both"/>
        <w:rPr>
          <w:sz w:val="26"/>
          <w:szCs w:val="26"/>
          <w:lang w:eastAsia="ar-SA"/>
        </w:rPr>
      </w:pPr>
      <w:r w:rsidRPr="005D5386">
        <w:rPr>
          <w:sz w:val="26"/>
          <w:szCs w:val="26"/>
          <w:lang w:eastAsia="ar-SA"/>
        </w:rPr>
        <w:t xml:space="preserve">— активное привлечение инвестиций в развитие высокотехнологичных </w:t>
      </w:r>
      <w:r w:rsidR="005D5386">
        <w:rPr>
          <w:sz w:val="26"/>
          <w:szCs w:val="26"/>
          <w:lang w:eastAsia="ar-SA"/>
        </w:rPr>
        <w:br/>
      </w:r>
      <w:r w:rsidRPr="005D5386">
        <w:rPr>
          <w:sz w:val="26"/>
          <w:szCs w:val="26"/>
          <w:lang w:eastAsia="ar-SA"/>
        </w:rPr>
        <w:t>и наукоемких отраслей производства товаров и услуг;</w:t>
      </w:r>
    </w:p>
    <w:p w:rsidR="00E618FE" w:rsidRPr="005D5386" w:rsidRDefault="00800098">
      <w:pPr>
        <w:ind w:firstLine="709"/>
        <w:jc w:val="both"/>
        <w:rPr>
          <w:sz w:val="26"/>
          <w:szCs w:val="26"/>
          <w:lang w:eastAsia="ar-SA"/>
        </w:rPr>
      </w:pPr>
      <w:r w:rsidRPr="005D5386">
        <w:rPr>
          <w:sz w:val="26"/>
          <w:szCs w:val="26"/>
          <w:lang w:eastAsia="ar-SA"/>
        </w:rPr>
        <w:t>— удержание специалистов высокой квалификации через предоставление возможностей самореализации, карьерного роста, расширение форматов досуга;</w:t>
      </w:r>
    </w:p>
    <w:p w:rsidR="00E618FE" w:rsidRPr="005D5386" w:rsidRDefault="00800098">
      <w:pPr>
        <w:ind w:firstLine="709"/>
        <w:jc w:val="both"/>
        <w:rPr>
          <w:sz w:val="26"/>
          <w:szCs w:val="26"/>
          <w:lang w:eastAsia="ar-SA"/>
        </w:rPr>
      </w:pPr>
      <w:r w:rsidRPr="005D5386">
        <w:rPr>
          <w:sz w:val="26"/>
          <w:szCs w:val="26"/>
          <w:lang w:eastAsia="ar-SA"/>
        </w:rPr>
        <w:t>— обеспечение доступности современной инфраструктуры деловой мобильности;</w:t>
      </w:r>
    </w:p>
    <w:p w:rsidR="00E618FE" w:rsidRPr="005D5386" w:rsidRDefault="00800098">
      <w:pPr>
        <w:ind w:firstLine="709"/>
        <w:jc w:val="both"/>
        <w:rPr>
          <w:sz w:val="26"/>
          <w:szCs w:val="26"/>
          <w:lang w:eastAsia="ar-SA"/>
        </w:rPr>
      </w:pPr>
      <w:r w:rsidRPr="005D5386">
        <w:rPr>
          <w:sz w:val="26"/>
          <w:szCs w:val="26"/>
          <w:lang w:eastAsia="ar-SA"/>
        </w:rPr>
        <w:t>— формирование института для решения вопросов взаимоувязанной градостроительной политики трех муниципальных образований агломерации;</w:t>
      </w:r>
    </w:p>
    <w:p w:rsidR="00E618FE" w:rsidRPr="005D5386" w:rsidRDefault="00800098">
      <w:pPr>
        <w:ind w:firstLine="709"/>
        <w:jc w:val="both"/>
        <w:rPr>
          <w:sz w:val="26"/>
          <w:szCs w:val="26"/>
          <w:lang w:eastAsia="ar-SA"/>
        </w:rPr>
      </w:pPr>
      <w:r w:rsidRPr="005D5386">
        <w:rPr>
          <w:sz w:val="26"/>
          <w:szCs w:val="26"/>
          <w:lang w:eastAsia="ar-SA"/>
        </w:rPr>
        <w:t xml:space="preserve">— дальнейшая деконцентрация производственных функций в целях разгрузки густонаселенных территорий с высокой градостроительной ценностью </w:t>
      </w:r>
      <w:r w:rsidR="005D5386">
        <w:rPr>
          <w:sz w:val="26"/>
          <w:szCs w:val="26"/>
          <w:lang w:eastAsia="ar-SA"/>
        </w:rPr>
        <w:br/>
      </w:r>
      <w:r w:rsidRPr="005D5386">
        <w:rPr>
          <w:sz w:val="26"/>
          <w:szCs w:val="26"/>
          <w:lang w:eastAsia="ar-SA"/>
        </w:rPr>
        <w:t>от экологического и коммуникационного прессинга.</w:t>
      </w:r>
    </w:p>
    <w:p w:rsidR="00E618FE" w:rsidRPr="00535A4B" w:rsidRDefault="00800098">
      <w:pPr>
        <w:ind w:firstLine="709"/>
        <w:jc w:val="both"/>
        <w:rPr>
          <w:b/>
          <w:bCs/>
          <w:sz w:val="28"/>
          <w:szCs w:val="28"/>
          <w:lang w:eastAsia="ar-SA"/>
        </w:rPr>
      </w:pPr>
      <w:r w:rsidRPr="00535A4B">
        <w:rPr>
          <w:b/>
          <w:bCs/>
          <w:sz w:val="28"/>
          <w:szCs w:val="28"/>
          <w:lang w:eastAsia="ar-SA"/>
        </w:rPr>
        <w:lastRenderedPageBreak/>
        <w:t>Задача 4.2.2. Обеспечить приоритетное развитие опорных населенных пунктов.</w:t>
      </w:r>
    </w:p>
    <w:p w:rsidR="00E618FE" w:rsidRPr="005D5386" w:rsidRDefault="00800098">
      <w:pPr>
        <w:ind w:firstLine="709"/>
        <w:jc w:val="both"/>
        <w:rPr>
          <w:rFonts w:eastAsia="Aptos"/>
          <w:sz w:val="26"/>
          <w:szCs w:val="26"/>
          <w:lang w:eastAsia="ar-SA"/>
        </w:rPr>
      </w:pPr>
      <w:r w:rsidRPr="005D5386">
        <w:rPr>
          <w:rFonts w:eastAsia="Aptos"/>
          <w:sz w:val="26"/>
          <w:szCs w:val="26"/>
          <w:lang w:eastAsia="ar-SA"/>
        </w:rPr>
        <w:t>Одним из приоритетов Стратегии пространственного развития Российской Федерации на период до 2030 года с прогнозом до 2036 года является развитие системы опорных населенных пунктов.</w:t>
      </w:r>
    </w:p>
    <w:p w:rsidR="00E618FE" w:rsidRPr="005D5386" w:rsidRDefault="00800098">
      <w:pPr>
        <w:ind w:firstLine="709"/>
        <w:jc w:val="both"/>
        <w:rPr>
          <w:rFonts w:eastAsia="Aptos"/>
          <w:sz w:val="26"/>
          <w:szCs w:val="26"/>
          <w:lang w:eastAsia="ar-SA"/>
        </w:rPr>
      </w:pPr>
      <w:r w:rsidRPr="005D5386">
        <w:rPr>
          <w:rFonts w:eastAsia="Aptos"/>
          <w:sz w:val="26"/>
          <w:szCs w:val="26"/>
          <w:lang w:eastAsia="ar-SA"/>
        </w:rPr>
        <w:t>Опорный населенный пункт - населенный пункт, приоритетное развитие которого способствует достижению национальных целей и обеспечению национальной безопасности, в том числе за счет обеспечения доступности образования, медицинской помощи, услуг в сфере культуры и реализации иных потребностей для жителей прилегающей территории. Опорные населенные пункты формируют расселенческий, инфраструктурный и экономический каркас страны.</w:t>
      </w:r>
    </w:p>
    <w:p w:rsidR="00E618FE" w:rsidRPr="005D5386" w:rsidRDefault="00800098">
      <w:pPr>
        <w:ind w:firstLine="709"/>
        <w:jc w:val="both"/>
        <w:rPr>
          <w:rFonts w:eastAsia="Aptos"/>
          <w:sz w:val="26"/>
          <w:szCs w:val="26"/>
          <w:lang w:eastAsia="ar-SA"/>
        </w:rPr>
      </w:pPr>
      <w:r w:rsidRPr="005D5386">
        <w:rPr>
          <w:rFonts w:eastAsia="Aptos"/>
          <w:sz w:val="26"/>
          <w:szCs w:val="26"/>
          <w:lang w:eastAsia="ar-SA"/>
        </w:rPr>
        <w:t>В Томской области 19 опорных населенных пунктов</w:t>
      </w:r>
      <w:r w:rsidRPr="005D5386">
        <w:rPr>
          <w:rStyle w:val="af3"/>
          <w:rFonts w:eastAsia="Aptos"/>
          <w:sz w:val="26"/>
          <w:szCs w:val="26"/>
          <w:lang w:eastAsia="ar-SA"/>
        </w:rPr>
        <w:footnoteReference w:id="19"/>
      </w:r>
      <w:r w:rsidRPr="005D5386">
        <w:rPr>
          <w:rFonts w:eastAsia="Aptos"/>
          <w:sz w:val="26"/>
          <w:szCs w:val="26"/>
          <w:lang w:eastAsia="ar-SA"/>
        </w:rPr>
        <w:t xml:space="preserve">. </w:t>
      </w:r>
    </w:p>
    <w:p w:rsidR="00E618FE" w:rsidRPr="00535A4B" w:rsidRDefault="00E618FE">
      <w:pPr>
        <w:ind w:firstLine="709"/>
        <w:jc w:val="both"/>
        <w:rPr>
          <w:rFonts w:eastAsia="Aptos"/>
          <w:sz w:val="28"/>
          <w:szCs w:val="28"/>
          <w:lang w:eastAsia="ar-SA"/>
        </w:rPr>
      </w:pPr>
    </w:p>
    <w:p w:rsidR="00E618FE" w:rsidRPr="00535A4B" w:rsidRDefault="00800098">
      <w:pPr>
        <w:jc w:val="center"/>
        <w:rPr>
          <w:rFonts w:eastAsia="Aptos"/>
          <w:b/>
          <w:sz w:val="28"/>
          <w:szCs w:val="28"/>
          <w:lang w:eastAsia="ar-SA"/>
        </w:rPr>
      </w:pPr>
      <w:r w:rsidRPr="00535A4B">
        <w:rPr>
          <w:rFonts w:eastAsia="Aptos"/>
          <w:b/>
          <w:sz w:val="28"/>
          <w:szCs w:val="28"/>
          <w:lang w:eastAsia="ar-SA"/>
        </w:rPr>
        <w:t>Опорные населенные пункты Томской области</w:t>
      </w:r>
    </w:p>
    <w:p w:rsidR="00E618FE" w:rsidRPr="00535A4B" w:rsidRDefault="00E618FE">
      <w:pPr>
        <w:jc w:val="center"/>
        <w:rPr>
          <w:rFonts w:eastAsia="Aptos"/>
          <w:b/>
          <w:sz w:val="28"/>
          <w:szCs w:val="28"/>
          <w:lang w:eastAsia="ar-SA"/>
        </w:rPr>
      </w:pPr>
    </w:p>
    <w:tbl>
      <w:tblPr>
        <w:tblStyle w:val="af0"/>
        <w:tblW w:w="0" w:type="auto"/>
        <w:jc w:val="center"/>
        <w:tblLook w:val="04A0" w:firstRow="1" w:lastRow="0" w:firstColumn="1" w:lastColumn="0" w:noHBand="0" w:noVBand="1"/>
      </w:tblPr>
      <w:tblGrid>
        <w:gridCol w:w="1684"/>
        <w:gridCol w:w="4262"/>
      </w:tblGrid>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 п/п</w:t>
            </w:r>
          </w:p>
        </w:tc>
        <w:tc>
          <w:tcPr>
            <w:tcW w:w="4262" w:type="dxa"/>
          </w:tcPr>
          <w:p w:rsidR="00E618FE" w:rsidRPr="00535A4B" w:rsidRDefault="00800098">
            <w:pPr>
              <w:jc w:val="center"/>
              <w:rPr>
                <w:rFonts w:eastAsia="Aptos"/>
                <w:sz w:val="28"/>
                <w:szCs w:val="28"/>
                <w:lang w:eastAsia="ar-SA"/>
              </w:rPr>
            </w:pPr>
            <w:r w:rsidRPr="00535A4B">
              <w:rPr>
                <w:rFonts w:eastAsia="Aptos"/>
                <w:sz w:val="28"/>
                <w:szCs w:val="28"/>
                <w:lang w:eastAsia="ar-SA"/>
              </w:rPr>
              <w:t>Опорный населенный пункт</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г. Томск</w:t>
            </w:r>
            <w:r w:rsidRPr="00535A4B">
              <w:rPr>
                <w:rFonts w:eastAsia="Aptos"/>
                <w:sz w:val="28"/>
                <w:szCs w:val="28"/>
                <w:lang w:eastAsia="ar-SA"/>
              </w:rPr>
              <w:tab/>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2.</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г. Северск</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3.</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г. Кедровой</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4.</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г. Стрежевой</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5.</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Александровское</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6.</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г. Асино</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7.</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Бакчар</w:t>
            </w:r>
            <w:r w:rsidRPr="00535A4B">
              <w:rPr>
                <w:rFonts w:eastAsia="Aptos"/>
                <w:sz w:val="28"/>
                <w:szCs w:val="28"/>
                <w:lang w:eastAsia="ar-SA"/>
              </w:rPr>
              <w:tab/>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8.</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р.п. Белый Яр</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9.</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Зырянское</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10.</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Каргасок</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11.</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Кожевниково</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12.</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г. Колпашево</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13.</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Кривошеино</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14.</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Молчаново</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15.</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Парабель</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16.</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Первомайское</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17.</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Тегульдет</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18.</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Подгорное</w:t>
            </w:r>
          </w:p>
        </w:tc>
      </w:tr>
      <w:tr w:rsidR="00E618FE" w:rsidRPr="00535A4B">
        <w:trPr>
          <w:jc w:val="center"/>
        </w:trPr>
        <w:tc>
          <w:tcPr>
            <w:tcW w:w="1684" w:type="dxa"/>
          </w:tcPr>
          <w:p w:rsidR="00E618FE" w:rsidRPr="00535A4B" w:rsidRDefault="00800098">
            <w:pPr>
              <w:jc w:val="center"/>
              <w:rPr>
                <w:rFonts w:eastAsia="Aptos"/>
                <w:sz w:val="28"/>
                <w:szCs w:val="28"/>
                <w:lang w:eastAsia="ar-SA"/>
              </w:rPr>
            </w:pPr>
            <w:r w:rsidRPr="00535A4B">
              <w:rPr>
                <w:rFonts w:eastAsia="Aptos"/>
                <w:sz w:val="28"/>
                <w:szCs w:val="28"/>
                <w:lang w:eastAsia="ar-SA"/>
              </w:rPr>
              <w:t>19.</w:t>
            </w:r>
          </w:p>
        </w:tc>
        <w:tc>
          <w:tcPr>
            <w:tcW w:w="4262" w:type="dxa"/>
          </w:tcPr>
          <w:p w:rsidR="00E618FE" w:rsidRPr="00535A4B" w:rsidRDefault="00800098">
            <w:pPr>
              <w:rPr>
                <w:rFonts w:eastAsia="Aptos"/>
                <w:sz w:val="28"/>
                <w:szCs w:val="28"/>
                <w:lang w:eastAsia="ar-SA"/>
              </w:rPr>
            </w:pPr>
            <w:r w:rsidRPr="00535A4B">
              <w:rPr>
                <w:rFonts w:eastAsia="Aptos"/>
                <w:sz w:val="28"/>
                <w:szCs w:val="28"/>
                <w:lang w:eastAsia="ar-SA"/>
              </w:rPr>
              <w:t>с. Мельниково</w:t>
            </w:r>
          </w:p>
        </w:tc>
      </w:tr>
    </w:tbl>
    <w:p w:rsidR="00E618FE" w:rsidRPr="00535A4B" w:rsidRDefault="00E618FE">
      <w:pPr>
        <w:jc w:val="center"/>
        <w:rPr>
          <w:rFonts w:eastAsia="Aptos"/>
          <w:b/>
          <w:sz w:val="28"/>
          <w:szCs w:val="28"/>
          <w:lang w:eastAsia="ar-SA"/>
        </w:rPr>
      </w:pPr>
    </w:p>
    <w:p w:rsidR="00E618FE" w:rsidRPr="005D5386" w:rsidRDefault="00800098">
      <w:pPr>
        <w:ind w:firstLine="709"/>
        <w:jc w:val="both"/>
        <w:rPr>
          <w:b/>
          <w:sz w:val="26"/>
          <w:szCs w:val="26"/>
        </w:rPr>
      </w:pPr>
      <w:r w:rsidRPr="005D5386">
        <w:rPr>
          <w:sz w:val="26"/>
          <w:szCs w:val="26"/>
        </w:rPr>
        <w:t>В 2025 году Томской областью в соответствии с федеральными Правилами разработки, утверждения и мониторинга реализации программ развития инфраструктуры опорных населенных пунктов разработана и утверждена Губернатором Томской области Программа развития инфраструктуры в опорных населенных пунктах Томской области (приводится в приложении Ж).</w:t>
      </w:r>
      <w:r w:rsidRPr="005D5386">
        <w:rPr>
          <w:b/>
          <w:sz w:val="26"/>
          <w:szCs w:val="26"/>
        </w:rPr>
        <w:t xml:space="preserve"> </w:t>
      </w:r>
    </w:p>
    <w:p w:rsidR="00E618FE" w:rsidRPr="005D5386" w:rsidRDefault="00800098">
      <w:pPr>
        <w:ind w:firstLine="709"/>
        <w:jc w:val="both"/>
        <w:rPr>
          <w:rFonts w:eastAsia="PT Astra Serif"/>
          <w:sz w:val="26"/>
          <w:szCs w:val="26"/>
        </w:rPr>
      </w:pPr>
      <w:r w:rsidRPr="005D5386">
        <w:rPr>
          <w:sz w:val="26"/>
          <w:szCs w:val="26"/>
        </w:rPr>
        <w:lastRenderedPageBreak/>
        <w:t xml:space="preserve">Программа содержит оценку текущего состояния объектов инфраструктуры опорных населенных пунктов в Томской области и перечень мероприятий </w:t>
      </w:r>
      <w:r w:rsidR="005D5386">
        <w:rPr>
          <w:sz w:val="26"/>
          <w:szCs w:val="26"/>
        </w:rPr>
        <w:br/>
      </w:r>
      <w:r w:rsidRPr="005D5386">
        <w:rPr>
          <w:sz w:val="26"/>
          <w:szCs w:val="26"/>
        </w:rPr>
        <w:t xml:space="preserve">по достижению целевых значений отраслевых компонентов за период 2025 </w:t>
      </w:r>
      <w:r w:rsidR="005D5386">
        <w:rPr>
          <w:sz w:val="26"/>
          <w:szCs w:val="26"/>
        </w:rPr>
        <w:br/>
      </w:r>
      <w:r w:rsidRPr="005D5386">
        <w:rPr>
          <w:sz w:val="26"/>
          <w:szCs w:val="26"/>
        </w:rPr>
        <w:t xml:space="preserve">по 2030 годов, предусмотренных в том числе региональными проектами </w:t>
      </w:r>
      <w:r w:rsidR="005D5386">
        <w:rPr>
          <w:sz w:val="26"/>
          <w:szCs w:val="26"/>
        </w:rPr>
        <w:br/>
      </w:r>
      <w:r w:rsidRPr="005D5386">
        <w:rPr>
          <w:sz w:val="26"/>
          <w:szCs w:val="26"/>
        </w:rPr>
        <w:t xml:space="preserve">и государственными программами Томской области. </w:t>
      </w:r>
    </w:p>
    <w:p w:rsidR="005D5386" w:rsidRDefault="005D5386">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Задача 4.2.3. Сохранить локальные системы расселения в южной части области</w:t>
      </w:r>
      <w:r w:rsidRPr="00535A4B">
        <w:rPr>
          <w:sz w:val="28"/>
          <w:szCs w:val="28"/>
          <w:lang w:eastAsia="ar-SA"/>
        </w:rPr>
        <w:t>.</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9"/>
        <w:jc w:val="both"/>
        <w:rPr>
          <w:sz w:val="26"/>
          <w:szCs w:val="26"/>
          <w:lang w:eastAsia="ar-SA"/>
        </w:rPr>
      </w:pPr>
      <w:r w:rsidRPr="005D5386">
        <w:rPr>
          <w:sz w:val="26"/>
          <w:szCs w:val="26"/>
          <w:lang w:eastAsia="ar-SA"/>
        </w:rPr>
        <w:t>— стимулирование предпринимательской инициативы;</w:t>
      </w:r>
    </w:p>
    <w:p w:rsidR="00E618FE" w:rsidRPr="005D5386" w:rsidRDefault="00800098">
      <w:pPr>
        <w:ind w:firstLine="709"/>
        <w:jc w:val="both"/>
        <w:rPr>
          <w:sz w:val="26"/>
          <w:szCs w:val="26"/>
          <w:lang w:eastAsia="ar-SA"/>
        </w:rPr>
      </w:pPr>
      <w:r w:rsidRPr="005D5386">
        <w:rPr>
          <w:sz w:val="26"/>
          <w:szCs w:val="26"/>
          <w:lang w:eastAsia="ar-SA"/>
        </w:rPr>
        <w:t>— обеспечение транспортной связности с районными центрами;</w:t>
      </w:r>
    </w:p>
    <w:p w:rsidR="00E618FE" w:rsidRPr="005D5386" w:rsidRDefault="00800098">
      <w:pPr>
        <w:ind w:firstLine="709"/>
        <w:jc w:val="both"/>
        <w:rPr>
          <w:sz w:val="26"/>
          <w:szCs w:val="26"/>
          <w:lang w:eastAsia="ar-SA"/>
        </w:rPr>
      </w:pPr>
      <w:r w:rsidRPr="005D5386">
        <w:rPr>
          <w:sz w:val="26"/>
          <w:szCs w:val="26"/>
          <w:lang w:eastAsia="ar-SA"/>
        </w:rPr>
        <w:t>— развитие элементов социальной и коммунальной инфраструктуры.</w:t>
      </w:r>
    </w:p>
    <w:p w:rsidR="005D5386" w:rsidRDefault="005D5386">
      <w:pPr>
        <w:ind w:firstLine="709"/>
        <w:jc w:val="both"/>
        <w:rPr>
          <w:b/>
          <w:bCs/>
          <w:sz w:val="28"/>
          <w:szCs w:val="28"/>
          <w:lang w:eastAsia="ar-SA"/>
        </w:rPr>
      </w:pPr>
    </w:p>
    <w:p w:rsidR="00E618FE" w:rsidRPr="005D5386" w:rsidRDefault="00800098">
      <w:pPr>
        <w:ind w:firstLine="709"/>
        <w:jc w:val="both"/>
        <w:rPr>
          <w:sz w:val="26"/>
          <w:szCs w:val="26"/>
          <w:lang w:eastAsia="ar-SA"/>
        </w:rPr>
      </w:pPr>
      <w:r w:rsidRPr="00535A4B">
        <w:rPr>
          <w:b/>
          <w:bCs/>
          <w:sz w:val="28"/>
          <w:szCs w:val="28"/>
          <w:lang w:eastAsia="ar-SA"/>
        </w:rPr>
        <w:t>Задача 4.2.4. Оптимизировать каркас расселения</w:t>
      </w:r>
      <w:r w:rsidRPr="00535A4B">
        <w:rPr>
          <w:i/>
          <w:iCs/>
          <w:sz w:val="28"/>
          <w:szCs w:val="28"/>
          <w:lang w:eastAsia="ar-SA"/>
        </w:rPr>
        <w:t xml:space="preserve"> </w:t>
      </w:r>
      <w:r w:rsidRPr="005D5386">
        <w:rPr>
          <w:iCs/>
          <w:sz w:val="26"/>
          <w:szCs w:val="26"/>
          <w:lang w:eastAsia="ar-SA"/>
        </w:rPr>
        <w:t xml:space="preserve">посредством </w:t>
      </w:r>
      <w:r w:rsidRPr="005D5386">
        <w:rPr>
          <w:sz w:val="26"/>
          <w:szCs w:val="26"/>
          <w:lang w:eastAsia="ar-SA"/>
        </w:rPr>
        <w:t>в</w:t>
      </w:r>
      <w:r w:rsidRPr="005D5386">
        <w:rPr>
          <w:iCs/>
          <w:sz w:val="26"/>
          <w:szCs w:val="26"/>
          <w:lang w:eastAsia="ar-SA"/>
        </w:rPr>
        <w:t>ыполнения оценки экономической целесообразности поддержания отдаленных населенных пунктов в зоне очагового освоения</w:t>
      </w:r>
      <w:r w:rsidRPr="005D5386">
        <w:rPr>
          <w:sz w:val="26"/>
          <w:szCs w:val="26"/>
          <w:lang w:eastAsia="ar-SA"/>
        </w:rPr>
        <w:t xml:space="preserve">, в том числе в периферийных частях Александровского, Верхнекетского, Бакчарского, Каргасокского, Колпашевского </w:t>
      </w:r>
      <w:r w:rsidR="005D5386">
        <w:rPr>
          <w:sz w:val="26"/>
          <w:szCs w:val="26"/>
          <w:lang w:eastAsia="ar-SA"/>
        </w:rPr>
        <w:br/>
      </w:r>
      <w:r w:rsidRPr="005D5386">
        <w:rPr>
          <w:sz w:val="26"/>
          <w:szCs w:val="26"/>
          <w:lang w:eastAsia="ar-SA"/>
        </w:rPr>
        <w:t>и Парабельского районов, муниципального округа Город Кедровый</w:t>
      </w:r>
      <w:r w:rsidRPr="005D5386">
        <w:rPr>
          <w:sz w:val="26"/>
          <w:szCs w:val="26"/>
          <w:vertAlign w:val="superscript"/>
          <w:lang w:eastAsia="ar-SA"/>
        </w:rPr>
        <w:footnoteReference w:id="20"/>
      </w:r>
      <w:r w:rsidRPr="005D5386">
        <w:rPr>
          <w:sz w:val="26"/>
          <w:szCs w:val="26"/>
          <w:lang w:eastAsia="ar-SA"/>
        </w:rPr>
        <w:t>.</w:t>
      </w:r>
    </w:p>
    <w:p w:rsidR="00E618FE" w:rsidRPr="005D5386" w:rsidRDefault="00800098">
      <w:pPr>
        <w:ind w:firstLine="709"/>
        <w:jc w:val="both"/>
        <w:rPr>
          <w:iCs/>
          <w:sz w:val="26"/>
          <w:szCs w:val="26"/>
          <w:lang w:eastAsia="ar-SA"/>
        </w:rPr>
      </w:pPr>
      <w:r w:rsidRPr="005D5386">
        <w:rPr>
          <w:iCs/>
          <w:sz w:val="26"/>
          <w:szCs w:val="26"/>
          <w:lang w:eastAsia="ar-SA"/>
        </w:rPr>
        <w:t>В документах территориального и стратегического планирования следует предусматривать мероприятия по развитию социальных и коммуникационных инфраструктур и выделению территорий для жилищного строительства преимущественно в перспективных частях районов; приоритетные мероприятия концентрируются в опорных населенных пунктах с учетом их роли в системе расселения.</w:t>
      </w:r>
    </w:p>
    <w:p w:rsidR="005D5386" w:rsidRDefault="005D5386">
      <w:pPr>
        <w:ind w:firstLine="709"/>
        <w:jc w:val="both"/>
        <w:rPr>
          <w:b/>
          <w:sz w:val="28"/>
          <w:szCs w:val="28"/>
          <w:lang w:eastAsia="ar-SA"/>
        </w:rPr>
      </w:pPr>
    </w:p>
    <w:p w:rsidR="00E618FE" w:rsidRPr="00535A4B" w:rsidRDefault="00800098">
      <w:pPr>
        <w:ind w:firstLine="709"/>
        <w:jc w:val="both"/>
        <w:rPr>
          <w:b/>
          <w:sz w:val="28"/>
          <w:szCs w:val="28"/>
          <w:lang w:eastAsia="ar-SA"/>
        </w:rPr>
      </w:pPr>
      <w:r w:rsidRPr="00535A4B">
        <w:rPr>
          <w:b/>
          <w:sz w:val="28"/>
          <w:szCs w:val="28"/>
          <w:lang w:eastAsia="ar-SA"/>
        </w:rPr>
        <w:t>Задача 4.2.5. Сохранить культуру многонационального населения региона.</w:t>
      </w:r>
    </w:p>
    <w:p w:rsidR="00E618FE" w:rsidRPr="005D5386" w:rsidRDefault="00800098">
      <w:pPr>
        <w:ind w:firstLine="709"/>
        <w:jc w:val="both"/>
        <w:rPr>
          <w:sz w:val="26"/>
          <w:szCs w:val="26"/>
          <w:lang w:eastAsia="ar-SA"/>
        </w:rPr>
      </w:pPr>
      <w:r w:rsidRPr="005D5386">
        <w:rPr>
          <w:sz w:val="26"/>
          <w:szCs w:val="26"/>
          <w:lang w:eastAsia="ar-SA"/>
        </w:rPr>
        <w:t>Ключевые направления реализации:</w:t>
      </w:r>
    </w:p>
    <w:p w:rsidR="00E618FE" w:rsidRPr="005D5386" w:rsidRDefault="00800098">
      <w:pPr>
        <w:ind w:firstLine="709"/>
        <w:jc w:val="both"/>
        <w:rPr>
          <w:sz w:val="26"/>
          <w:szCs w:val="26"/>
          <w:lang w:eastAsia="ar-SA"/>
        </w:rPr>
      </w:pPr>
      <w:r w:rsidRPr="005D5386">
        <w:rPr>
          <w:sz w:val="26"/>
          <w:szCs w:val="26"/>
          <w:lang w:eastAsia="ar-SA"/>
        </w:rPr>
        <w:t>— укрепление объединяющей роли русского народа, защита и развитие русского языка;</w:t>
      </w:r>
    </w:p>
    <w:p w:rsidR="00E618FE" w:rsidRPr="005D5386" w:rsidRDefault="00800098">
      <w:pPr>
        <w:ind w:firstLine="709"/>
        <w:jc w:val="both"/>
        <w:rPr>
          <w:sz w:val="26"/>
          <w:szCs w:val="26"/>
          <w:lang w:eastAsia="ar-SA"/>
        </w:rPr>
      </w:pPr>
      <w:r w:rsidRPr="005D5386">
        <w:rPr>
          <w:sz w:val="26"/>
          <w:szCs w:val="26"/>
          <w:lang w:eastAsia="ar-SA"/>
        </w:rPr>
        <w:t>— поддержка традиционной хозяйственной деятельности и самобытной культуры коренных малочисленных народов (селькупы, ханты, чулымцы и эвенки);</w:t>
      </w:r>
    </w:p>
    <w:p w:rsidR="00E618FE" w:rsidRPr="005D5386" w:rsidRDefault="00800098">
      <w:pPr>
        <w:ind w:firstLine="709"/>
        <w:jc w:val="both"/>
        <w:rPr>
          <w:sz w:val="26"/>
          <w:szCs w:val="26"/>
          <w:lang w:eastAsia="ar-SA"/>
        </w:rPr>
      </w:pPr>
      <w:r w:rsidRPr="005D5386">
        <w:rPr>
          <w:sz w:val="26"/>
          <w:szCs w:val="26"/>
          <w:lang w:eastAsia="ar-SA"/>
        </w:rPr>
        <w:t>— сохранение и развитие казачьей культуры.</w:t>
      </w:r>
    </w:p>
    <w:p w:rsidR="005D5386" w:rsidRDefault="005D5386">
      <w:pPr>
        <w:spacing w:after="160" w:line="259" w:lineRule="auto"/>
        <w:rPr>
          <w:b/>
          <w:spacing w:val="24"/>
          <w:sz w:val="28"/>
          <w:szCs w:val="28"/>
          <w:lang w:eastAsia="en-US"/>
        </w:rPr>
      </w:pPr>
      <w:r>
        <w:rPr>
          <w:b/>
          <w:spacing w:val="24"/>
          <w:sz w:val="28"/>
          <w:szCs w:val="28"/>
          <w:lang w:eastAsia="en-US"/>
        </w:rPr>
        <w:br w:type="page"/>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lastRenderedPageBreak/>
        <w:t>Целевые показатели:</w:t>
      </w:r>
    </w:p>
    <w:p w:rsidR="00E618FE" w:rsidRPr="005D5386" w:rsidRDefault="00800098">
      <w:pPr>
        <w:suppressLineNumbers/>
        <w:spacing w:before="180" w:after="120"/>
        <w:jc w:val="both"/>
        <w:outlineLvl w:val="8"/>
        <w:rPr>
          <w:bCs/>
          <w:sz w:val="26"/>
          <w:szCs w:val="26"/>
          <w:lang w:eastAsia="ar-SA" w:bidi="en-US"/>
        </w:rPr>
      </w:pPr>
      <w:r w:rsidRPr="005D5386">
        <w:rPr>
          <w:bCs/>
          <w:sz w:val="26"/>
          <w:szCs w:val="26"/>
          <w:lang w:eastAsia="ar-SA" w:bidi="en-US"/>
        </w:rPr>
        <w:t>Таблица 12.2. Целевые показатели Стратегического приоритета 4.2. «Сбалансированное развитие системы расселения Томской области»</w:t>
      </w:r>
    </w:p>
    <w:tbl>
      <w:tblPr>
        <w:tblStyle w:val="-141"/>
        <w:tblW w:w="9438" w:type="dxa"/>
        <w:tblLayout w:type="fixed"/>
        <w:tblLook w:val="04A0" w:firstRow="1" w:lastRow="0" w:firstColumn="1" w:lastColumn="0" w:noHBand="0" w:noVBand="1"/>
      </w:tblPr>
      <w:tblGrid>
        <w:gridCol w:w="6177"/>
        <w:gridCol w:w="1087"/>
        <w:gridCol w:w="1087"/>
        <w:gridCol w:w="1087"/>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 xml:space="preserve">Соотношение среднемесячных доходов сельского </w:t>
            </w:r>
            <w:r w:rsidRPr="00535A4B">
              <w:rPr>
                <w:rFonts w:eastAsiaTheme="minorHAnsi"/>
                <w:b w:val="0"/>
                <w:bCs w:val="0"/>
              </w:rPr>
              <w:br/>
              <w:t>и городского домохозяйств, %</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91,00 (2024)</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91,50</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92,00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населения сельских территорий и сельских агломераций в общей численности населения, %</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32,00 (2024)</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32,50</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33,00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Отношение численности постоянно проживающего населения на территориях опорных населенных пунктов области, за исключением входящих в городские агломерации, к общей численности постоянного населения области, %</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15,80</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15,60</w:t>
            </w:r>
          </w:p>
        </w:tc>
        <w:tc>
          <w:tcPr>
            <w:tcW w:w="10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15,40</w:t>
            </w:r>
          </w:p>
        </w:tc>
      </w:tr>
    </w:tbl>
    <w:p w:rsidR="00E618FE" w:rsidRPr="00535A4B" w:rsidRDefault="00E618FE">
      <w:pPr>
        <w:ind w:firstLine="709"/>
        <w:jc w:val="both"/>
        <w:rPr>
          <w:sz w:val="28"/>
          <w:szCs w:val="28"/>
          <w:lang w:eastAsia="ar-SA"/>
        </w:rPr>
      </w:pPr>
    </w:p>
    <w:p w:rsidR="00E618FE" w:rsidRPr="00535A4B" w:rsidRDefault="00800098">
      <w:pPr>
        <w:keepNext/>
        <w:keepLines/>
        <w:ind w:firstLine="709"/>
        <w:jc w:val="both"/>
        <w:outlineLvl w:val="1"/>
        <w:rPr>
          <w:rFonts w:eastAsiaTheme="majorEastAsia"/>
          <w:b/>
          <w:bCs/>
          <w:sz w:val="28"/>
          <w:szCs w:val="26"/>
          <w:lang w:eastAsia="en-US" w:bidi="en-US"/>
        </w:rPr>
      </w:pPr>
      <w:bookmarkStart w:id="169" w:name="_Toc229484487"/>
      <w:bookmarkStart w:id="170" w:name="_Toc229962281"/>
      <w:bookmarkStart w:id="171" w:name="_Toc235810162"/>
      <w:bookmarkStart w:id="172" w:name="_Toc238554550"/>
      <w:r w:rsidRPr="00535A4B">
        <w:rPr>
          <w:rFonts w:eastAsiaTheme="majorEastAsia"/>
          <w:b/>
          <w:bCs/>
          <w:sz w:val="28"/>
          <w:szCs w:val="26"/>
          <w:lang w:eastAsia="en-US" w:bidi="en-US"/>
        </w:rPr>
        <w:t>Стратегический приоритет 4.3. «Повышение эффективности транспортной и информационно-коммуникационной инфраструктуры»</w:t>
      </w:r>
      <w:bookmarkEnd w:id="169"/>
      <w:bookmarkEnd w:id="170"/>
      <w:bookmarkEnd w:id="171"/>
      <w:bookmarkEnd w:id="172"/>
    </w:p>
    <w:p w:rsidR="00E618FE" w:rsidRPr="00535A4B" w:rsidRDefault="00E618FE">
      <w:pPr>
        <w:ind w:firstLine="709"/>
        <w:jc w:val="both"/>
        <w:rPr>
          <w:sz w:val="28"/>
          <w:szCs w:val="28"/>
          <w:lang w:eastAsia="ar-SA"/>
        </w:rPr>
      </w:pPr>
    </w:p>
    <w:p w:rsidR="00E618FE" w:rsidRPr="005D5386" w:rsidRDefault="00800098">
      <w:pPr>
        <w:ind w:firstLine="709"/>
        <w:jc w:val="both"/>
        <w:rPr>
          <w:sz w:val="26"/>
          <w:szCs w:val="26"/>
          <w:lang w:eastAsia="ar-SA"/>
        </w:rPr>
      </w:pPr>
      <w:r w:rsidRPr="005D5386">
        <w:rPr>
          <w:sz w:val="26"/>
          <w:szCs w:val="26"/>
          <w:lang w:eastAsia="ar-SA"/>
        </w:rPr>
        <w:t xml:space="preserve">Обеспечение инфраструктурной связности муниципальных образований Томской области, реализация транспортно-логистического и информационно-коммуникационного потенциала региона является одним из ключевых условий реализации стратегических проектов в любой сфере. </w:t>
      </w:r>
    </w:p>
    <w:p w:rsidR="00E618FE" w:rsidRPr="005D5386" w:rsidRDefault="00800098">
      <w:pPr>
        <w:ind w:firstLine="709"/>
        <w:jc w:val="both"/>
        <w:rPr>
          <w:sz w:val="26"/>
          <w:szCs w:val="26"/>
          <w:lang w:eastAsia="ar-SA"/>
        </w:rPr>
      </w:pPr>
      <w:r w:rsidRPr="005D5386">
        <w:rPr>
          <w:sz w:val="26"/>
          <w:szCs w:val="26"/>
          <w:lang w:eastAsia="ar-SA"/>
        </w:rPr>
        <w:t>В силу географических особенностей и, соответственно, различной степени освоенности территории в регионе сохраняется асимметричная модель транспортной системы. Транспортная связь для жителей удаленных населенных пунктов, в ряде которых альтернативные виды транспорта отсутствуют, обеспечивается внутренним водным и (или) воздушным транспортом.</w:t>
      </w:r>
    </w:p>
    <w:p w:rsidR="00E618FE" w:rsidRPr="005D5386" w:rsidRDefault="00800098">
      <w:pPr>
        <w:ind w:firstLine="709"/>
        <w:jc w:val="both"/>
        <w:rPr>
          <w:sz w:val="26"/>
          <w:szCs w:val="26"/>
          <w:lang w:eastAsia="ar-SA"/>
        </w:rPr>
      </w:pPr>
      <w:r w:rsidRPr="005D5386">
        <w:rPr>
          <w:sz w:val="26"/>
          <w:szCs w:val="26"/>
          <w:lang w:eastAsia="ar-SA"/>
        </w:rPr>
        <w:t xml:space="preserve">Целевыми приоритетами являются (указаны в порядке значимости): формирование эффективных транспортных связей частей области, развитие транзитной функции региона на пересечении потоков «Север – Юг» </w:t>
      </w:r>
      <w:r w:rsidR="005D5386">
        <w:rPr>
          <w:sz w:val="26"/>
          <w:szCs w:val="26"/>
          <w:lang w:eastAsia="ar-SA"/>
        </w:rPr>
        <w:br/>
      </w:r>
      <w:r w:rsidRPr="005D5386">
        <w:rPr>
          <w:sz w:val="26"/>
          <w:szCs w:val="26"/>
          <w:lang w:eastAsia="ar-SA"/>
        </w:rPr>
        <w:t>и «Запад – Восток», цифровизация территории области на основе современных технологий.</w:t>
      </w:r>
    </w:p>
    <w:p w:rsidR="00E618FE" w:rsidRPr="005D5386" w:rsidRDefault="00800098">
      <w:pPr>
        <w:ind w:firstLine="709"/>
        <w:jc w:val="both"/>
        <w:rPr>
          <w:sz w:val="26"/>
          <w:szCs w:val="26"/>
          <w:lang w:eastAsia="ar-SA"/>
        </w:rPr>
      </w:pPr>
      <w:r w:rsidRPr="005D5386">
        <w:rPr>
          <w:sz w:val="26"/>
          <w:szCs w:val="26"/>
          <w:lang w:eastAsia="ar-SA"/>
        </w:rPr>
        <w:t xml:space="preserve">Томская область, являясь одним из российских регионов-лидеров </w:t>
      </w:r>
      <w:r w:rsidRPr="005D5386">
        <w:rPr>
          <w:sz w:val="26"/>
          <w:szCs w:val="26"/>
          <w:lang w:eastAsia="ar-SA"/>
        </w:rPr>
        <w:br/>
        <w:t>по разработке элементной базы по созданию сетей сотовой связи пятого поколения, становится местом для пилотирования, доработки и масштабирования этой новой глобальной критической инфраструктуры.</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Задачи:</w:t>
      </w:r>
    </w:p>
    <w:p w:rsidR="00E618FE" w:rsidRPr="00535A4B" w:rsidRDefault="00800098">
      <w:pPr>
        <w:ind w:firstLine="709"/>
        <w:jc w:val="both"/>
        <w:rPr>
          <w:b/>
          <w:bCs/>
          <w:sz w:val="28"/>
          <w:szCs w:val="28"/>
          <w:lang w:eastAsia="ar-SA"/>
        </w:rPr>
      </w:pPr>
      <w:r w:rsidRPr="00535A4B">
        <w:rPr>
          <w:b/>
          <w:bCs/>
          <w:sz w:val="28"/>
          <w:szCs w:val="28"/>
          <w:lang w:eastAsia="ar-SA"/>
        </w:rPr>
        <w:t xml:space="preserve">Задача 4.3.1. Способствовать формированию современного транспортного каркаса Томской агломерации. </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9"/>
        <w:jc w:val="both"/>
        <w:rPr>
          <w:sz w:val="26"/>
          <w:szCs w:val="26"/>
          <w:lang w:eastAsia="ar-SA"/>
        </w:rPr>
      </w:pPr>
      <w:r w:rsidRPr="005D5386">
        <w:rPr>
          <w:sz w:val="26"/>
          <w:szCs w:val="26"/>
          <w:lang w:eastAsia="ar-SA"/>
        </w:rPr>
        <w:t>— строительство третьего моста через р. Томь в районе Нижнего Склада;</w:t>
      </w:r>
    </w:p>
    <w:p w:rsidR="00E618FE" w:rsidRPr="005D5386" w:rsidRDefault="00800098">
      <w:pPr>
        <w:ind w:firstLine="709"/>
        <w:jc w:val="both"/>
        <w:rPr>
          <w:sz w:val="26"/>
          <w:szCs w:val="26"/>
          <w:lang w:eastAsia="ar-SA"/>
        </w:rPr>
      </w:pPr>
      <w:r w:rsidRPr="005D5386">
        <w:rPr>
          <w:sz w:val="26"/>
          <w:szCs w:val="26"/>
          <w:lang w:eastAsia="ar-SA"/>
        </w:rPr>
        <w:t>— завершение строительства Левобережной автомобильной дороги;</w:t>
      </w:r>
    </w:p>
    <w:p w:rsidR="00E618FE" w:rsidRPr="005D5386" w:rsidRDefault="00800098">
      <w:pPr>
        <w:ind w:firstLine="709"/>
        <w:jc w:val="both"/>
        <w:rPr>
          <w:sz w:val="26"/>
          <w:szCs w:val="26"/>
          <w:lang w:eastAsia="ar-SA"/>
        </w:rPr>
      </w:pPr>
      <w:r w:rsidRPr="005D5386">
        <w:rPr>
          <w:sz w:val="26"/>
          <w:szCs w:val="26"/>
          <w:lang w:eastAsia="ar-SA"/>
        </w:rPr>
        <w:t xml:space="preserve">— реконструкция автомобильной дороги Томск – Каргала – Колпашево </w:t>
      </w:r>
      <w:r w:rsidR="005D5386">
        <w:rPr>
          <w:sz w:val="26"/>
          <w:szCs w:val="26"/>
          <w:lang w:eastAsia="ar-SA"/>
        </w:rPr>
        <w:br/>
      </w:r>
      <w:r w:rsidRPr="005D5386">
        <w:rPr>
          <w:sz w:val="26"/>
          <w:szCs w:val="26"/>
          <w:lang w:eastAsia="ar-SA"/>
        </w:rPr>
        <w:t xml:space="preserve">на участке км 5+976 – км 7+880 (от Коммунального моста в г. Томске </w:t>
      </w:r>
      <w:r w:rsidR="005D5386">
        <w:rPr>
          <w:sz w:val="26"/>
          <w:szCs w:val="26"/>
          <w:lang w:eastAsia="ar-SA"/>
        </w:rPr>
        <w:br/>
      </w:r>
      <w:r w:rsidRPr="005D5386">
        <w:rPr>
          <w:sz w:val="26"/>
          <w:szCs w:val="26"/>
          <w:lang w:eastAsia="ar-SA"/>
        </w:rPr>
        <w:t>до с. Тимирязевское);</w:t>
      </w:r>
    </w:p>
    <w:p w:rsidR="00E618FE" w:rsidRPr="005D5386" w:rsidRDefault="00800098">
      <w:pPr>
        <w:ind w:firstLine="709"/>
        <w:jc w:val="both"/>
        <w:rPr>
          <w:sz w:val="26"/>
          <w:szCs w:val="26"/>
          <w:lang w:eastAsia="ar-SA"/>
        </w:rPr>
      </w:pPr>
      <w:r w:rsidRPr="005D5386">
        <w:rPr>
          <w:sz w:val="26"/>
          <w:szCs w:val="26"/>
          <w:lang w:eastAsia="ar-SA"/>
        </w:rPr>
        <w:t>— завершение строительства Малого транспортного кольца;</w:t>
      </w:r>
    </w:p>
    <w:p w:rsidR="00E618FE" w:rsidRPr="005D5386" w:rsidRDefault="00800098">
      <w:pPr>
        <w:ind w:firstLine="709"/>
        <w:jc w:val="both"/>
        <w:rPr>
          <w:sz w:val="26"/>
          <w:szCs w:val="26"/>
          <w:lang w:eastAsia="ar-SA"/>
        </w:rPr>
      </w:pPr>
      <w:r w:rsidRPr="005D5386">
        <w:rPr>
          <w:sz w:val="26"/>
          <w:szCs w:val="26"/>
          <w:lang w:eastAsia="ar-SA"/>
        </w:rPr>
        <w:lastRenderedPageBreak/>
        <w:t>— строительство транспортной развязки в разных уровнях на площади Транспортная в г. Томске;</w:t>
      </w:r>
    </w:p>
    <w:p w:rsidR="00E618FE" w:rsidRPr="005D5386" w:rsidRDefault="00800098">
      <w:pPr>
        <w:ind w:firstLine="709"/>
        <w:jc w:val="both"/>
        <w:rPr>
          <w:sz w:val="26"/>
          <w:szCs w:val="26"/>
          <w:lang w:eastAsia="ar-SA"/>
        </w:rPr>
      </w:pPr>
      <w:r w:rsidRPr="005D5386">
        <w:rPr>
          <w:sz w:val="26"/>
          <w:szCs w:val="26"/>
          <w:lang w:eastAsia="ar-SA"/>
        </w:rPr>
        <w:t>— реконструкция Степановского переезда в г. Томске;</w:t>
      </w:r>
    </w:p>
    <w:p w:rsidR="00E618FE" w:rsidRPr="005D5386" w:rsidRDefault="00800098">
      <w:pPr>
        <w:ind w:firstLine="709"/>
        <w:jc w:val="both"/>
        <w:rPr>
          <w:sz w:val="26"/>
          <w:szCs w:val="26"/>
          <w:lang w:eastAsia="ar-SA"/>
        </w:rPr>
      </w:pPr>
      <w:r w:rsidRPr="005D5386">
        <w:rPr>
          <w:sz w:val="26"/>
          <w:szCs w:val="26"/>
          <w:lang w:eastAsia="ar-SA"/>
        </w:rPr>
        <w:t>— с</w:t>
      </w:r>
      <w:r w:rsidRPr="005D5386">
        <w:rPr>
          <w:rFonts w:eastAsia="PT Astra Serif"/>
          <w:sz w:val="26"/>
          <w:szCs w:val="26"/>
          <w:lang w:eastAsia="ar-SA"/>
        </w:rPr>
        <w:t>троительство транспортной развязки на примыкании автомобильной дороги Томск</w:t>
      </w:r>
      <w:r w:rsidRPr="005D5386">
        <w:rPr>
          <w:sz w:val="26"/>
          <w:szCs w:val="26"/>
          <w:lang w:eastAsia="ar-SA"/>
        </w:rPr>
        <w:t> </w:t>
      </w:r>
      <w:r w:rsidRPr="005D5386">
        <w:rPr>
          <w:rFonts w:eastAsia="PT Astra Serif"/>
          <w:sz w:val="26"/>
          <w:szCs w:val="26"/>
          <w:lang w:eastAsia="ar-SA"/>
        </w:rPr>
        <w:t>– Аникино – Ярское к автомобильной дороге Томск – Аэропорт;</w:t>
      </w:r>
    </w:p>
    <w:p w:rsidR="00E618FE" w:rsidRPr="005D5386" w:rsidRDefault="00800098">
      <w:pPr>
        <w:ind w:left="-141" w:firstLine="861"/>
        <w:jc w:val="both"/>
        <w:rPr>
          <w:sz w:val="26"/>
          <w:szCs w:val="26"/>
        </w:rPr>
      </w:pPr>
      <w:r w:rsidRPr="005D5386">
        <w:rPr>
          <w:sz w:val="26"/>
          <w:szCs w:val="26"/>
        </w:rPr>
        <w:t>— на долгосрочную перспективу — строительство автомобильной дороги Томск – Тайга и юго-восточного обхода г. Томск (включая четвертый мостовой переход через р. Томь).</w:t>
      </w:r>
    </w:p>
    <w:p w:rsidR="005D5386" w:rsidRDefault="005D5386">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Задача 4.3.2. Обеспечить встроенность в межрегиональную транспортную сеть,</w:t>
      </w:r>
      <w:r w:rsidRPr="00535A4B">
        <w:rPr>
          <w:sz w:val="28"/>
          <w:szCs w:val="28"/>
          <w:lang w:eastAsia="ar-SA"/>
        </w:rPr>
        <w:t xml:space="preserve"> </w:t>
      </w:r>
      <w:r w:rsidRPr="00535A4B">
        <w:rPr>
          <w:b/>
          <w:bCs/>
          <w:sz w:val="28"/>
          <w:szCs w:val="28"/>
          <w:lang w:eastAsia="ar-SA"/>
        </w:rPr>
        <w:t>улучшить условия транспортной доступности территории.</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9"/>
        <w:jc w:val="both"/>
        <w:rPr>
          <w:sz w:val="26"/>
          <w:szCs w:val="26"/>
          <w:lang w:eastAsia="ar-SA"/>
        </w:rPr>
      </w:pPr>
      <w:r w:rsidRPr="005D5386">
        <w:rPr>
          <w:sz w:val="26"/>
          <w:szCs w:val="26"/>
          <w:lang w:eastAsia="ar-SA"/>
        </w:rPr>
        <w:t>— поддержание опорного каркаса автомобильных дорог области (к опорному каркасу отнесены автомобильные дороги, обеспечивающие связи Томска со всеми административными центрами муниципальных районов и городских округов, автомобильная дорога Томск – Аэропорт, автомобильная дорога Стрежевой – Нижневартовск (Ханты</w:t>
      </w:r>
      <w:r w:rsidR="005D5386">
        <w:rPr>
          <w:sz w:val="26"/>
          <w:szCs w:val="26"/>
          <w:lang w:eastAsia="ar-SA"/>
        </w:rPr>
        <w:t> – Мансийский автономный округ –</w:t>
      </w:r>
      <w:r w:rsidRPr="005D5386">
        <w:rPr>
          <w:sz w:val="26"/>
          <w:szCs w:val="26"/>
          <w:lang w:eastAsia="ar-SA"/>
        </w:rPr>
        <w:t> Югра), автомобильная дорога Томск – Мариинск (Кемеровская область) и участки автомобильных дорог, выполняющих функцию обхода Томска);</w:t>
      </w:r>
    </w:p>
    <w:p w:rsidR="00E618FE" w:rsidRPr="005D5386" w:rsidRDefault="00800098">
      <w:pPr>
        <w:ind w:firstLine="709"/>
        <w:jc w:val="both"/>
        <w:rPr>
          <w:sz w:val="26"/>
          <w:szCs w:val="26"/>
          <w:lang w:eastAsia="ar-SA"/>
        </w:rPr>
      </w:pPr>
      <w:r w:rsidRPr="005D5386">
        <w:rPr>
          <w:sz w:val="26"/>
          <w:szCs w:val="26"/>
          <w:lang w:eastAsia="ar-SA"/>
        </w:rPr>
        <w:t>— строительство и реконструкция участков Северной широтной автомобильной дороги как элемента транспортного к</w:t>
      </w:r>
      <w:r w:rsidR="005D5386">
        <w:rPr>
          <w:sz w:val="26"/>
          <w:szCs w:val="26"/>
          <w:lang w:eastAsia="ar-SA"/>
        </w:rPr>
        <w:t>оридора Пермь – Ивдель – Ханты –</w:t>
      </w:r>
      <w:r w:rsidRPr="005D5386">
        <w:rPr>
          <w:sz w:val="26"/>
          <w:szCs w:val="26"/>
          <w:lang w:eastAsia="ar-SA"/>
        </w:rPr>
        <w:t> Мансийск – Томск, призванного обеспечить связанность северной и южной частей региона и увеличение транзитного потенциала автодорожной сети области;</w:t>
      </w:r>
    </w:p>
    <w:p w:rsidR="00E618FE" w:rsidRPr="005D5386" w:rsidRDefault="00800098">
      <w:pPr>
        <w:ind w:firstLine="709"/>
        <w:jc w:val="both"/>
        <w:rPr>
          <w:sz w:val="26"/>
          <w:szCs w:val="26"/>
          <w:lang w:eastAsia="ar-SA"/>
        </w:rPr>
      </w:pPr>
      <w:r w:rsidRPr="005D5386">
        <w:rPr>
          <w:sz w:val="26"/>
          <w:szCs w:val="26"/>
          <w:lang w:eastAsia="ar-SA"/>
        </w:rPr>
        <w:t xml:space="preserve">— расширение сети субсидируемых межрегиональных авиарейсов </w:t>
      </w:r>
      <w:r w:rsidRPr="005D5386">
        <w:rPr>
          <w:sz w:val="26"/>
          <w:szCs w:val="26"/>
          <w:lang w:eastAsia="ar-SA"/>
        </w:rPr>
        <w:br/>
        <w:t>и возобновление международных рейсов из Международного аэропорта Томск имени Николая Камова с целевым пассажиропотоком 850 тыс. человек к 2036 году;</w:t>
      </w:r>
    </w:p>
    <w:p w:rsidR="00E618FE" w:rsidRPr="005D5386" w:rsidRDefault="00800098">
      <w:pPr>
        <w:ind w:firstLine="709"/>
        <w:jc w:val="both"/>
        <w:rPr>
          <w:sz w:val="26"/>
          <w:szCs w:val="26"/>
          <w:lang w:eastAsia="ar-SA"/>
        </w:rPr>
      </w:pPr>
      <w:r w:rsidRPr="005D5386">
        <w:rPr>
          <w:sz w:val="26"/>
          <w:szCs w:val="26"/>
          <w:lang w:eastAsia="ar-SA"/>
        </w:rPr>
        <w:t xml:space="preserve">— развитие интермодальной транспортной инфраструктуры </w:t>
      </w:r>
      <w:r w:rsidR="005D5386">
        <w:rPr>
          <w:sz w:val="26"/>
          <w:szCs w:val="26"/>
          <w:lang w:eastAsia="ar-SA"/>
        </w:rPr>
        <w:br/>
      </w:r>
      <w:r w:rsidRPr="005D5386">
        <w:rPr>
          <w:sz w:val="26"/>
          <w:szCs w:val="26"/>
          <w:lang w:eastAsia="ar-SA"/>
        </w:rPr>
        <w:t>с использованием всех видов транспорта, формирование сети узловых мультимодальных транспортно-логистических центров и локальных транспортно-логистических узлов.</w:t>
      </w:r>
    </w:p>
    <w:p w:rsidR="005D5386" w:rsidRDefault="005D5386">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 xml:space="preserve">Задача 4.3.3. Привести транспортную инфраструктуру </w:t>
      </w:r>
      <w:r w:rsidRPr="00535A4B">
        <w:rPr>
          <w:b/>
          <w:bCs/>
          <w:sz w:val="28"/>
          <w:szCs w:val="28"/>
          <w:lang w:eastAsia="ar-SA"/>
        </w:rPr>
        <w:br/>
        <w:t>в нормативное состояние, повысить уровень безопасности дорожного движения</w:t>
      </w:r>
      <w:r w:rsidRPr="00535A4B">
        <w:rPr>
          <w:sz w:val="28"/>
          <w:szCs w:val="28"/>
          <w:lang w:eastAsia="ar-SA"/>
        </w:rPr>
        <w:t>.</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9"/>
        <w:jc w:val="both"/>
        <w:rPr>
          <w:sz w:val="26"/>
          <w:szCs w:val="26"/>
          <w:lang w:eastAsia="ar-SA"/>
        </w:rPr>
      </w:pPr>
      <w:r w:rsidRPr="005D5386">
        <w:rPr>
          <w:sz w:val="26"/>
          <w:szCs w:val="26"/>
          <w:lang w:eastAsia="ar-SA"/>
        </w:rPr>
        <w:t xml:space="preserve">— увеличение доли автомобильных дорог общего пользования Томской области, соответствующих нормативным требованиям к транспортно-эксплуатационным показателям; </w:t>
      </w:r>
    </w:p>
    <w:p w:rsidR="00E618FE" w:rsidRPr="005D5386" w:rsidRDefault="00800098">
      <w:pPr>
        <w:ind w:firstLine="709"/>
        <w:jc w:val="both"/>
        <w:rPr>
          <w:sz w:val="26"/>
          <w:szCs w:val="26"/>
          <w:lang w:eastAsia="ar-SA"/>
        </w:rPr>
      </w:pPr>
      <w:r w:rsidRPr="005D5386">
        <w:rPr>
          <w:sz w:val="26"/>
          <w:szCs w:val="26"/>
          <w:lang w:eastAsia="ar-SA"/>
        </w:rPr>
        <w:t xml:space="preserve">— реализации программ развития общественного пассажирского транспорта (рост пассажирских перевозок общественным транспортом, перевод парка </w:t>
      </w:r>
      <w:r w:rsidR="005D5386">
        <w:rPr>
          <w:sz w:val="26"/>
          <w:szCs w:val="26"/>
          <w:lang w:eastAsia="ar-SA"/>
        </w:rPr>
        <w:br/>
      </w:r>
      <w:r w:rsidRPr="005D5386">
        <w:rPr>
          <w:sz w:val="26"/>
          <w:szCs w:val="26"/>
          <w:lang w:eastAsia="ar-SA"/>
        </w:rPr>
        <w:t>на газомоторное топливо, развитие электротранспорта, цифровизация, субсидирование социально значимых маршрутов перевозок);</w:t>
      </w:r>
    </w:p>
    <w:p w:rsidR="00E618FE" w:rsidRPr="005D5386" w:rsidRDefault="00800098">
      <w:pPr>
        <w:ind w:firstLine="709"/>
        <w:jc w:val="both"/>
        <w:rPr>
          <w:sz w:val="26"/>
          <w:szCs w:val="26"/>
          <w:lang w:eastAsia="ar-SA"/>
        </w:rPr>
      </w:pPr>
      <w:r w:rsidRPr="005D5386">
        <w:rPr>
          <w:sz w:val="26"/>
          <w:szCs w:val="26"/>
          <w:lang w:eastAsia="ar-SA"/>
        </w:rPr>
        <w:t xml:space="preserve">— оптимизация дорожного движения для снижения загрузки дорожной сети Томской агломерации; </w:t>
      </w:r>
    </w:p>
    <w:p w:rsidR="00E618FE" w:rsidRPr="005D5386" w:rsidRDefault="00800098">
      <w:pPr>
        <w:ind w:firstLine="709"/>
        <w:jc w:val="both"/>
        <w:rPr>
          <w:sz w:val="26"/>
          <w:szCs w:val="26"/>
          <w:lang w:eastAsia="ar-SA"/>
        </w:rPr>
      </w:pPr>
      <w:r w:rsidRPr="005D5386">
        <w:rPr>
          <w:sz w:val="26"/>
          <w:szCs w:val="26"/>
          <w:lang w:eastAsia="ar-SA"/>
        </w:rPr>
        <w:lastRenderedPageBreak/>
        <w:t>— развитие системы фотовидеофиксации и динамического весогабаритного контроля.</w:t>
      </w:r>
    </w:p>
    <w:p w:rsidR="005D5386" w:rsidRDefault="005D5386">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 xml:space="preserve">Задача 4.3.4. Содействовать обновлению инфраструктуры водного </w:t>
      </w:r>
      <w:r w:rsidRPr="00535A4B">
        <w:rPr>
          <w:b/>
          <w:bCs/>
          <w:sz w:val="28"/>
          <w:szCs w:val="28"/>
          <w:lang w:eastAsia="ar-SA"/>
        </w:rPr>
        <w:br/>
        <w:t xml:space="preserve">и воздушного транспорта. </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8"/>
        <w:jc w:val="both"/>
        <w:rPr>
          <w:sz w:val="26"/>
          <w:szCs w:val="26"/>
        </w:rPr>
      </w:pPr>
      <w:r w:rsidRPr="005D5386">
        <w:rPr>
          <w:sz w:val="26"/>
          <w:szCs w:val="26"/>
        </w:rPr>
        <w:t xml:space="preserve">— развитие аэропортовой инфраструктуры и приведение ее в соответствие нормам авиационной безопасности; </w:t>
      </w:r>
    </w:p>
    <w:p w:rsidR="00E618FE" w:rsidRPr="005D5386" w:rsidRDefault="00800098">
      <w:pPr>
        <w:ind w:firstLine="708"/>
        <w:jc w:val="both"/>
        <w:rPr>
          <w:sz w:val="26"/>
          <w:szCs w:val="26"/>
        </w:rPr>
      </w:pPr>
      <w:r w:rsidRPr="005D5386">
        <w:rPr>
          <w:sz w:val="26"/>
          <w:szCs w:val="26"/>
        </w:rPr>
        <w:t>— расширение региональной маршрутной сети;</w:t>
      </w:r>
    </w:p>
    <w:p w:rsidR="00E618FE" w:rsidRPr="005D5386" w:rsidRDefault="00800098">
      <w:pPr>
        <w:ind w:firstLine="709"/>
        <w:jc w:val="both"/>
        <w:rPr>
          <w:sz w:val="26"/>
          <w:szCs w:val="26"/>
          <w:lang w:eastAsia="ar-SA"/>
        </w:rPr>
      </w:pPr>
      <w:r w:rsidRPr="005D5386">
        <w:rPr>
          <w:sz w:val="26"/>
          <w:szCs w:val="26"/>
          <w:lang w:eastAsia="ar-SA"/>
        </w:rPr>
        <w:t xml:space="preserve">— развитие систем беспилотного транспорта для перевозки грузов; </w:t>
      </w:r>
    </w:p>
    <w:p w:rsidR="00E618FE" w:rsidRPr="005D5386" w:rsidRDefault="00800098">
      <w:pPr>
        <w:ind w:left="-141" w:firstLine="861"/>
        <w:jc w:val="both"/>
        <w:rPr>
          <w:sz w:val="26"/>
          <w:szCs w:val="26"/>
        </w:rPr>
      </w:pPr>
      <w:r w:rsidRPr="005D5386">
        <w:rPr>
          <w:sz w:val="26"/>
          <w:szCs w:val="26"/>
        </w:rPr>
        <w:t xml:space="preserve">— содействие обновлению инфраструктуры внутренних водных перевозок </w:t>
      </w:r>
      <w:r w:rsidR="005D5386">
        <w:rPr>
          <w:sz w:val="26"/>
          <w:szCs w:val="26"/>
        </w:rPr>
        <w:br/>
      </w:r>
      <w:r w:rsidRPr="005D5386">
        <w:rPr>
          <w:sz w:val="26"/>
          <w:szCs w:val="26"/>
        </w:rPr>
        <w:t>и речного пассажирского флота.</w:t>
      </w:r>
    </w:p>
    <w:p w:rsidR="005D5386" w:rsidRDefault="005D5386">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Задача 4.3.5. Повысить уровень технологического развития транспортной отрасли</w:t>
      </w:r>
      <w:r w:rsidRPr="00535A4B">
        <w:rPr>
          <w:sz w:val="28"/>
          <w:szCs w:val="28"/>
          <w:lang w:eastAsia="ar-SA"/>
        </w:rPr>
        <w:t xml:space="preserve">. </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9"/>
        <w:jc w:val="both"/>
        <w:rPr>
          <w:sz w:val="26"/>
          <w:szCs w:val="26"/>
          <w:lang w:eastAsia="ar-SA"/>
        </w:rPr>
      </w:pPr>
      <w:r w:rsidRPr="005D5386">
        <w:rPr>
          <w:sz w:val="26"/>
          <w:szCs w:val="26"/>
          <w:lang w:eastAsia="ar-SA"/>
        </w:rPr>
        <w:t>— обновление парка автотранспортных средств;</w:t>
      </w:r>
    </w:p>
    <w:p w:rsidR="00E618FE" w:rsidRPr="005D5386" w:rsidRDefault="00800098">
      <w:pPr>
        <w:ind w:firstLine="709"/>
        <w:jc w:val="both"/>
        <w:rPr>
          <w:sz w:val="26"/>
          <w:szCs w:val="26"/>
          <w:lang w:eastAsia="ar-SA"/>
        </w:rPr>
      </w:pPr>
      <w:r w:rsidRPr="005D5386">
        <w:rPr>
          <w:sz w:val="26"/>
          <w:szCs w:val="26"/>
          <w:lang w:eastAsia="ar-SA"/>
        </w:rPr>
        <w:t>— внедрение интеллектуальных транспортных систем, предусматривающих автоматизацию процессов управления дорожным движением;</w:t>
      </w:r>
    </w:p>
    <w:p w:rsidR="00E618FE" w:rsidRPr="005D5386" w:rsidRDefault="00800098">
      <w:pPr>
        <w:ind w:firstLine="709"/>
        <w:jc w:val="both"/>
        <w:rPr>
          <w:sz w:val="26"/>
          <w:szCs w:val="26"/>
          <w:lang w:eastAsia="ar-SA"/>
        </w:rPr>
      </w:pPr>
      <w:r w:rsidRPr="005D5386">
        <w:rPr>
          <w:sz w:val="26"/>
          <w:szCs w:val="26"/>
          <w:lang w:eastAsia="ar-SA"/>
        </w:rPr>
        <w:t>— создание сети криогенных АГЗС и СПГ-хабов на севере области (Каргасок, Александровское, Стрежевой) для обеспечения перевода лесовозной техники, речного флота и вахтовых автобусов на дешевое и экологичное топливо;</w:t>
      </w:r>
    </w:p>
    <w:p w:rsidR="00E618FE" w:rsidRPr="005D5386" w:rsidRDefault="00800098">
      <w:pPr>
        <w:ind w:firstLine="709"/>
        <w:jc w:val="both"/>
        <w:rPr>
          <w:sz w:val="26"/>
          <w:szCs w:val="26"/>
          <w:lang w:eastAsia="ar-SA"/>
        </w:rPr>
      </w:pPr>
      <w:r w:rsidRPr="005D5386">
        <w:rPr>
          <w:sz w:val="26"/>
          <w:szCs w:val="26"/>
          <w:lang w:eastAsia="ar-SA"/>
        </w:rPr>
        <w:t xml:space="preserve">— создание на территории региона мостостроительной организации </w:t>
      </w:r>
      <w:r w:rsidR="005D5386">
        <w:rPr>
          <w:sz w:val="26"/>
          <w:szCs w:val="26"/>
          <w:lang w:eastAsia="ar-SA"/>
        </w:rPr>
        <w:br/>
      </w:r>
      <w:r w:rsidRPr="005D5386">
        <w:rPr>
          <w:sz w:val="26"/>
          <w:szCs w:val="26"/>
          <w:lang w:eastAsia="ar-SA"/>
        </w:rPr>
        <w:t>и проектно-изыскательной организации в сфере дорожного строительства.</w:t>
      </w:r>
    </w:p>
    <w:p w:rsidR="005D5386" w:rsidRDefault="005D5386">
      <w:pPr>
        <w:ind w:firstLine="709"/>
        <w:jc w:val="both"/>
        <w:rPr>
          <w:b/>
          <w:bCs/>
          <w:sz w:val="28"/>
          <w:szCs w:val="28"/>
          <w:lang w:eastAsia="ar-SA"/>
        </w:rPr>
      </w:pPr>
    </w:p>
    <w:p w:rsidR="00E618FE" w:rsidRPr="00535A4B" w:rsidRDefault="00800098">
      <w:pPr>
        <w:ind w:firstLine="709"/>
        <w:jc w:val="both"/>
        <w:rPr>
          <w:b/>
          <w:bCs/>
          <w:sz w:val="28"/>
          <w:szCs w:val="28"/>
          <w:lang w:eastAsia="ar-SA"/>
        </w:rPr>
      </w:pPr>
      <w:r w:rsidRPr="00535A4B">
        <w:rPr>
          <w:b/>
          <w:bCs/>
          <w:sz w:val="28"/>
          <w:szCs w:val="28"/>
          <w:lang w:eastAsia="ar-SA"/>
        </w:rPr>
        <w:t>Задача 4.3.6. Преодолеть цифровое территориальное неравенство.</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9"/>
        <w:jc w:val="both"/>
        <w:rPr>
          <w:sz w:val="26"/>
          <w:szCs w:val="26"/>
          <w:lang w:eastAsia="ar-SA"/>
        </w:rPr>
      </w:pPr>
      <w:r w:rsidRPr="005D5386">
        <w:rPr>
          <w:sz w:val="26"/>
          <w:szCs w:val="26"/>
          <w:lang w:eastAsia="ar-SA"/>
        </w:rPr>
        <w:t>— обеспечение современными услугами связи и широкополосным доступом к сети «Интернет» малых населенных пунктов и социально значимых объектов;</w:t>
      </w:r>
    </w:p>
    <w:p w:rsidR="00E618FE" w:rsidRPr="005D5386" w:rsidRDefault="00800098">
      <w:pPr>
        <w:ind w:firstLine="709"/>
        <w:jc w:val="both"/>
        <w:rPr>
          <w:sz w:val="26"/>
          <w:szCs w:val="26"/>
          <w:lang w:eastAsia="ar-SA"/>
        </w:rPr>
      </w:pPr>
      <w:r w:rsidRPr="005D5386">
        <w:rPr>
          <w:sz w:val="26"/>
          <w:szCs w:val="26"/>
          <w:lang w:eastAsia="ar-SA"/>
        </w:rPr>
        <w:t>— модернизация действующих и строительство новых магистральных линий связи;</w:t>
      </w:r>
    </w:p>
    <w:p w:rsidR="00E618FE" w:rsidRPr="005D5386" w:rsidRDefault="00800098">
      <w:pPr>
        <w:ind w:firstLine="709"/>
        <w:jc w:val="both"/>
        <w:rPr>
          <w:sz w:val="26"/>
          <w:szCs w:val="26"/>
          <w:lang w:eastAsia="ar-SA"/>
        </w:rPr>
      </w:pPr>
      <w:r w:rsidRPr="005D5386">
        <w:rPr>
          <w:sz w:val="26"/>
          <w:szCs w:val="26"/>
          <w:lang w:eastAsia="ar-SA"/>
        </w:rPr>
        <w:t>— расширение использования на территории области сети сотовой связи стандарта 5G.</w:t>
      </w:r>
    </w:p>
    <w:p w:rsidR="005D5386" w:rsidRDefault="005D5386">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Задача 4.3.7. Обеспечить цифровизацию приоритетных отраслей экономики</w:t>
      </w:r>
      <w:r w:rsidRPr="00535A4B">
        <w:rPr>
          <w:sz w:val="28"/>
          <w:szCs w:val="28"/>
          <w:lang w:eastAsia="ar-SA"/>
        </w:rPr>
        <w:t>.</w:t>
      </w:r>
    </w:p>
    <w:p w:rsidR="00E618FE" w:rsidRPr="005D5386" w:rsidRDefault="00800098">
      <w:pPr>
        <w:ind w:firstLine="709"/>
        <w:jc w:val="both"/>
        <w:rPr>
          <w:sz w:val="26"/>
          <w:szCs w:val="26"/>
          <w:lang w:eastAsia="ar-SA"/>
        </w:rPr>
      </w:pPr>
      <w:r w:rsidRPr="005D5386">
        <w:rPr>
          <w:rFonts w:eastAsia="Aptos"/>
          <w:sz w:val="26"/>
          <w:szCs w:val="26"/>
          <w:lang w:eastAsia="ar-SA"/>
        </w:rPr>
        <w:t>Ключевые направления и механизмы реализации:</w:t>
      </w:r>
    </w:p>
    <w:p w:rsidR="00E618FE" w:rsidRPr="005D5386" w:rsidRDefault="00800098">
      <w:pPr>
        <w:ind w:firstLine="708"/>
        <w:jc w:val="both"/>
        <w:rPr>
          <w:sz w:val="26"/>
          <w:szCs w:val="26"/>
          <w:lang w:eastAsia="ar-SA"/>
        </w:rPr>
      </w:pPr>
      <w:r w:rsidRPr="005D5386">
        <w:rPr>
          <w:sz w:val="26"/>
          <w:szCs w:val="26"/>
          <w:lang w:eastAsia="ar-SA"/>
        </w:rPr>
        <w:t xml:space="preserve">— обеспечение современными услугами связи объектов промышленности, сельского хозяйства, транспорта и энергетики преимущественно на основе доверенного телекоммуникационного оборудования с целью поддержания </w:t>
      </w:r>
      <w:r w:rsidR="005D5386">
        <w:rPr>
          <w:sz w:val="26"/>
          <w:szCs w:val="26"/>
          <w:lang w:eastAsia="ar-SA"/>
        </w:rPr>
        <w:br/>
      </w:r>
      <w:r w:rsidRPr="005D5386">
        <w:rPr>
          <w:sz w:val="26"/>
          <w:szCs w:val="26"/>
          <w:lang w:eastAsia="ar-SA"/>
        </w:rPr>
        <w:t>их дальнейшей цифровизации;</w:t>
      </w:r>
    </w:p>
    <w:p w:rsidR="00E618FE" w:rsidRPr="005D5386" w:rsidRDefault="00800098">
      <w:pPr>
        <w:ind w:firstLine="709"/>
        <w:jc w:val="both"/>
        <w:rPr>
          <w:sz w:val="26"/>
          <w:szCs w:val="26"/>
          <w:lang w:eastAsia="ar-SA"/>
        </w:rPr>
      </w:pPr>
      <w:r w:rsidRPr="005D5386">
        <w:rPr>
          <w:sz w:val="26"/>
          <w:szCs w:val="26"/>
          <w:lang w:eastAsia="ar-SA"/>
        </w:rPr>
        <w:t xml:space="preserve">— покрытие мобильной связью автомобильных дорог, отнесенных </w:t>
      </w:r>
      <w:r w:rsidR="005D5386">
        <w:rPr>
          <w:sz w:val="26"/>
          <w:szCs w:val="26"/>
          <w:lang w:eastAsia="ar-SA"/>
        </w:rPr>
        <w:br/>
      </w:r>
      <w:r w:rsidRPr="005D5386">
        <w:rPr>
          <w:sz w:val="26"/>
          <w:szCs w:val="26"/>
          <w:lang w:eastAsia="ar-SA"/>
        </w:rPr>
        <w:t>к опорному каркасу территории.</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lastRenderedPageBreak/>
        <w:t>Целевые показатели:</w:t>
      </w:r>
    </w:p>
    <w:p w:rsidR="00E618FE" w:rsidRPr="005D5386" w:rsidRDefault="00800098">
      <w:pPr>
        <w:suppressLineNumbers/>
        <w:spacing w:before="180" w:after="120"/>
        <w:jc w:val="both"/>
        <w:outlineLvl w:val="8"/>
        <w:rPr>
          <w:bCs/>
          <w:sz w:val="26"/>
          <w:szCs w:val="26"/>
          <w:lang w:eastAsia="ar-SA" w:bidi="en-US"/>
        </w:rPr>
      </w:pPr>
      <w:r w:rsidRPr="005D5386">
        <w:rPr>
          <w:bCs/>
          <w:sz w:val="26"/>
          <w:szCs w:val="26"/>
          <w:lang w:eastAsia="ar-SA" w:bidi="en-US"/>
        </w:rPr>
        <w:t>Таблица 12.3. Целевые показатели Стратегического приоритета 4.3. «Повышение эффективности транспортной и информационно-коммуникационной инфраструктуры»</w:t>
      </w:r>
    </w:p>
    <w:tbl>
      <w:tblPr>
        <w:tblStyle w:val="-141"/>
        <w:tblW w:w="9504" w:type="dxa"/>
        <w:tblLayout w:type="fixed"/>
        <w:tblLook w:val="04A0" w:firstRow="1" w:lastRow="0" w:firstColumn="1" w:lastColumn="0" w:noHBand="0" w:noVBand="1"/>
      </w:tblPr>
      <w:tblGrid>
        <w:gridCol w:w="6091"/>
        <w:gridCol w:w="1024"/>
        <w:gridCol w:w="1167"/>
        <w:gridCol w:w="1222"/>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0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16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22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Протяженность автомобильных дорог общего пользования с твердым покрытием, км</w:t>
            </w:r>
          </w:p>
        </w:tc>
        <w:tc>
          <w:tcPr>
            <w:tcW w:w="10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8200,00</w:t>
            </w:r>
          </w:p>
        </w:tc>
        <w:tc>
          <w:tcPr>
            <w:tcW w:w="116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8212,00</w:t>
            </w:r>
          </w:p>
        </w:tc>
        <w:tc>
          <w:tcPr>
            <w:tcW w:w="122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8232,00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дорожной сети городских агломераций, находящаяся в нормативном состоянии</w:t>
            </w:r>
          </w:p>
        </w:tc>
        <w:tc>
          <w:tcPr>
            <w:tcW w:w="10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77,02</w:t>
            </w:r>
            <w:r w:rsidRPr="00535A4B">
              <w:rPr>
                <w:sz w:val="22"/>
                <w:szCs w:val="22"/>
              </w:rPr>
              <w:br/>
              <w:t>(2024)</w:t>
            </w:r>
          </w:p>
        </w:tc>
        <w:tc>
          <w:tcPr>
            <w:tcW w:w="116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81,87</w:t>
            </w:r>
          </w:p>
        </w:tc>
        <w:tc>
          <w:tcPr>
            <w:tcW w:w="122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85,00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 xml:space="preserve">Доля населения, обеспеченного доступом </w:t>
            </w:r>
            <w:r w:rsidRPr="00535A4B">
              <w:rPr>
                <w:rFonts w:eastAsiaTheme="minorHAnsi"/>
                <w:b w:val="0"/>
                <w:bCs w:val="0"/>
              </w:rPr>
              <w:br/>
              <w:t>к современным услугам связи, %</w:t>
            </w:r>
          </w:p>
        </w:tc>
        <w:tc>
          <w:tcPr>
            <w:tcW w:w="10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97,85</w:t>
            </w:r>
          </w:p>
        </w:tc>
        <w:tc>
          <w:tcPr>
            <w:tcW w:w="116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98,00</w:t>
            </w:r>
          </w:p>
        </w:tc>
        <w:tc>
          <w:tcPr>
            <w:tcW w:w="122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sz w:val="22"/>
                <w:szCs w:val="22"/>
              </w:rPr>
              <w:t>99,00</w:t>
            </w:r>
          </w:p>
        </w:tc>
      </w:tr>
    </w:tbl>
    <w:p w:rsidR="00E618FE" w:rsidRPr="00535A4B" w:rsidRDefault="00E618FE">
      <w:pPr>
        <w:ind w:firstLine="709"/>
        <w:jc w:val="both"/>
        <w:rPr>
          <w:sz w:val="28"/>
          <w:szCs w:val="28"/>
          <w:lang w:eastAsia="ar-SA"/>
        </w:rPr>
      </w:pPr>
    </w:p>
    <w:p w:rsidR="00E618FE" w:rsidRPr="00535A4B" w:rsidRDefault="00800098">
      <w:pPr>
        <w:keepNext/>
        <w:keepLines/>
        <w:ind w:firstLine="709"/>
        <w:jc w:val="both"/>
        <w:outlineLvl w:val="1"/>
        <w:rPr>
          <w:rFonts w:eastAsiaTheme="majorEastAsia"/>
          <w:b/>
          <w:bCs/>
          <w:sz w:val="28"/>
          <w:szCs w:val="26"/>
          <w:lang w:eastAsia="en-US" w:bidi="en-US"/>
        </w:rPr>
      </w:pPr>
      <w:bookmarkStart w:id="173" w:name="_Toc229484488"/>
      <w:bookmarkStart w:id="174" w:name="_Toc229962282"/>
      <w:bookmarkStart w:id="175" w:name="_Toc235810163"/>
      <w:bookmarkStart w:id="176" w:name="_Toc238554551"/>
      <w:r w:rsidRPr="00535A4B">
        <w:rPr>
          <w:rFonts w:eastAsiaTheme="majorEastAsia"/>
          <w:b/>
          <w:bCs/>
          <w:sz w:val="28"/>
          <w:szCs w:val="26"/>
          <w:lang w:eastAsia="en-US" w:bidi="en-US"/>
        </w:rPr>
        <w:t>Стратегический приоритет 4.4. «Модернизация и развитие жилищной и коммунальной инфраструктуры, повышение энергоэффективности»</w:t>
      </w:r>
      <w:bookmarkEnd w:id="173"/>
      <w:bookmarkEnd w:id="174"/>
      <w:bookmarkEnd w:id="175"/>
      <w:bookmarkEnd w:id="176"/>
    </w:p>
    <w:p w:rsidR="00E618FE" w:rsidRPr="00535A4B" w:rsidRDefault="00E618FE">
      <w:pPr>
        <w:ind w:firstLine="709"/>
        <w:jc w:val="both"/>
        <w:rPr>
          <w:sz w:val="28"/>
          <w:szCs w:val="28"/>
          <w:lang w:eastAsia="en-US" w:bidi="en-US"/>
        </w:rPr>
      </w:pPr>
    </w:p>
    <w:p w:rsidR="00E618FE" w:rsidRPr="005D5386" w:rsidRDefault="00800098">
      <w:pPr>
        <w:ind w:firstLine="709"/>
        <w:jc w:val="both"/>
        <w:rPr>
          <w:sz w:val="26"/>
          <w:szCs w:val="26"/>
          <w:lang w:eastAsia="ar-SA"/>
        </w:rPr>
      </w:pPr>
      <w:r w:rsidRPr="005D5386">
        <w:rPr>
          <w:sz w:val="26"/>
          <w:szCs w:val="26"/>
          <w:lang w:eastAsia="ar-SA"/>
        </w:rPr>
        <w:t>Региональная политика в сфере развития коммунальной инфраструктуры фокусируется на переходе к современной технологической платформе, в том числе с применением цифровых решений, обеспечивающей эффективную эксплуатацию инфраструктуры и предоставление качественных сервисов для бизнеса и населения; направлении усилий на инженерное обеспечение удаленных территорий на основе передовых технологий, в том числе возобновляемых источников энергии.</w:t>
      </w:r>
    </w:p>
    <w:p w:rsidR="00E618FE" w:rsidRPr="005D5386" w:rsidRDefault="00800098">
      <w:pPr>
        <w:ind w:firstLine="709"/>
        <w:jc w:val="both"/>
        <w:rPr>
          <w:sz w:val="26"/>
          <w:szCs w:val="26"/>
          <w:lang w:eastAsia="ar-SA"/>
        </w:rPr>
      </w:pPr>
      <w:r w:rsidRPr="005D5386">
        <w:rPr>
          <w:b/>
          <w:bCs/>
          <w:sz w:val="26"/>
          <w:szCs w:val="26"/>
          <w:lang w:eastAsia="ar-SA"/>
        </w:rPr>
        <w:t>Жилищная и коммунальная сфера</w:t>
      </w:r>
      <w:r w:rsidRPr="005D5386">
        <w:rPr>
          <w:sz w:val="26"/>
          <w:szCs w:val="26"/>
          <w:lang w:eastAsia="ar-SA"/>
        </w:rPr>
        <w:t xml:space="preserve"> Томской области является важным элементом региональной экономической системы, вносит вклад в обеспечение развития региональной экономики и поддержание комфортной среды проживания населения.</w:t>
      </w:r>
    </w:p>
    <w:p w:rsidR="00E618FE" w:rsidRPr="005D5386" w:rsidRDefault="00800098">
      <w:pPr>
        <w:ind w:firstLine="709"/>
        <w:jc w:val="both"/>
        <w:rPr>
          <w:rFonts w:eastAsiaTheme="minorHAnsi"/>
          <w:sz w:val="26"/>
          <w:szCs w:val="26"/>
          <w:lang w:eastAsia="en-US"/>
        </w:rPr>
      </w:pPr>
      <w:r w:rsidRPr="005D5386">
        <w:rPr>
          <w:rFonts w:eastAsiaTheme="minorHAnsi"/>
          <w:sz w:val="26"/>
          <w:szCs w:val="26"/>
          <w:lang w:eastAsia="en-US"/>
        </w:rPr>
        <w:t>Жилищный фонд Томской области характеризуется достаточно высокими темпами роста, но средними показателями уровня его благоустройства и состояния коммунальной инфраструктуры. Сравнительно высоким является доля аварийного жилого фонда в городской местности.</w:t>
      </w:r>
    </w:p>
    <w:p w:rsidR="00E618FE" w:rsidRPr="005D5386" w:rsidRDefault="00800098">
      <w:pPr>
        <w:ind w:firstLine="709"/>
        <w:jc w:val="both"/>
        <w:rPr>
          <w:sz w:val="26"/>
          <w:szCs w:val="26"/>
          <w:lang w:eastAsia="ar-SA"/>
        </w:rPr>
      </w:pPr>
      <w:r w:rsidRPr="005D5386">
        <w:rPr>
          <w:sz w:val="26"/>
          <w:szCs w:val="26"/>
          <w:lang w:eastAsia="ar-SA"/>
        </w:rPr>
        <w:t xml:space="preserve">До 2036 года продолжится реализация мероприятий, направленных </w:t>
      </w:r>
      <w:r w:rsidR="00772027">
        <w:rPr>
          <w:sz w:val="26"/>
          <w:szCs w:val="26"/>
          <w:lang w:eastAsia="ar-SA"/>
        </w:rPr>
        <w:br/>
      </w:r>
      <w:r w:rsidRPr="005D5386">
        <w:rPr>
          <w:sz w:val="26"/>
          <w:szCs w:val="26"/>
          <w:lang w:eastAsia="ar-SA"/>
        </w:rPr>
        <w:t xml:space="preserve">на решение текущих задач в сфере ЖКХ, связанных с обеспеченностью жилищного фонда водопроводом и доступом к воде питьевого качества, снижением аварийности в сетях, обеспечением капитального ремонта в многоквартирных домах, модернизацией инфраструктуры в сфере теплоснабжения. </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Задачи:</w:t>
      </w:r>
    </w:p>
    <w:p w:rsidR="00E618FE" w:rsidRPr="00772027" w:rsidRDefault="00800098">
      <w:pPr>
        <w:ind w:firstLine="709"/>
        <w:jc w:val="both"/>
        <w:rPr>
          <w:sz w:val="26"/>
          <w:szCs w:val="26"/>
          <w:lang w:eastAsia="ar-SA"/>
        </w:rPr>
      </w:pPr>
      <w:r w:rsidRPr="00772027">
        <w:rPr>
          <w:b/>
          <w:bCs/>
          <w:sz w:val="26"/>
          <w:szCs w:val="26"/>
          <w:lang w:eastAsia="ar-SA"/>
        </w:rPr>
        <w:t>В сфере ЖКХ</w:t>
      </w:r>
      <w:r w:rsidRPr="00772027">
        <w:rPr>
          <w:sz w:val="26"/>
          <w:szCs w:val="26"/>
          <w:lang w:eastAsia="ar-SA"/>
        </w:rPr>
        <w:t xml:space="preserve"> решаются задачи, связанные с обеспеченностью жилищного фонда водопроводом и доступом к воде питьевого качества, снижением аварийности в сетях, обеспечением капитального ремонта в многоквартирных домах, модернизацией инфраструктуры в сфере теплоснабжения.</w:t>
      </w:r>
    </w:p>
    <w:p w:rsidR="00772027" w:rsidRDefault="00772027">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Задача 4.4.1. Повысить уровень жилищной обеспеченности, комфортности и доступности жилья</w:t>
      </w:r>
      <w:r w:rsidRPr="00535A4B">
        <w:rPr>
          <w:sz w:val="28"/>
          <w:szCs w:val="28"/>
          <w:lang w:eastAsia="ar-SA"/>
        </w:rPr>
        <w:t>.</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8"/>
        <w:jc w:val="both"/>
        <w:rPr>
          <w:sz w:val="26"/>
          <w:szCs w:val="26"/>
        </w:rPr>
      </w:pPr>
      <w:r w:rsidRPr="00772027">
        <w:rPr>
          <w:rFonts w:eastAsia="PT Astra Serif"/>
          <w:sz w:val="26"/>
          <w:szCs w:val="26"/>
        </w:rPr>
        <w:t>— </w:t>
      </w:r>
      <w:r w:rsidRPr="00772027">
        <w:rPr>
          <w:rFonts w:eastAsia="PT Astra Serif"/>
          <w:sz w:val="26"/>
          <w:szCs w:val="26"/>
          <w:lang w:eastAsia="ar-SA"/>
        </w:rPr>
        <w:t>опережающее развитие индивидуального жилищного строительства;</w:t>
      </w:r>
    </w:p>
    <w:p w:rsidR="00E618FE" w:rsidRPr="00772027" w:rsidRDefault="00800098">
      <w:pPr>
        <w:ind w:firstLine="708"/>
        <w:jc w:val="both"/>
        <w:rPr>
          <w:sz w:val="26"/>
          <w:szCs w:val="26"/>
          <w:lang w:eastAsia="ar-SA"/>
        </w:rPr>
      </w:pPr>
      <w:r w:rsidRPr="00772027">
        <w:rPr>
          <w:rFonts w:eastAsia="PT Astra Serif"/>
          <w:sz w:val="26"/>
          <w:szCs w:val="26"/>
        </w:rPr>
        <w:lastRenderedPageBreak/>
        <w:t>—</w:t>
      </w:r>
      <w:r w:rsidRPr="00772027">
        <w:rPr>
          <w:sz w:val="26"/>
          <w:szCs w:val="26"/>
        </w:rPr>
        <w:t> </w:t>
      </w:r>
      <w:r w:rsidRPr="00772027">
        <w:rPr>
          <w:sz w:val="26"/>
          <w:szCs w:val="26"/>
          <w:lang w:eastAsia="ar-SA"/>
        </w:rPr>
        <w:t>обеспечение социальной, коммунальной, инженерной и транспортной инфраструктурой площадок нового жилищного строительства;</w:t>
      </w:r>
    </w:p>
    <w:p w:rsidR="00E618FE" w:rsidRPr="00772027" w:rsidRDefault="00800098">
      <w:pPr>
        <w:ind w:firstLine="709"/>
        <w:jc w:val="both"/>
        <w:rPr>
          <w:sz w:val="26"/>
          <w:szCs w:val="26"/>
          <w:lang w:eastAsia="ar-SA"/>
        </w:rPr>
      </w:pPr>
      <w:r w:rsidRPr="00772027">
        <w:rPr>
          <w:sz w:val="26"/>
          <w:szCs w:val="26"/>
          <w:lang w:eastAsia="ar-SA"/>
        </w:rPr>
        <w:t>— реализация программ переселения граждан из аварийного и ветхого фонда;</w:t>
      </w:r>
    </w:p>
    <w:p w:rsidR="00E618FE" w:rsidRPr="00772027" w:rsidRDefault="00800098">
      <w:pPr>
        <w:pStyle w:val="a4"/>
        <w:rPr>
          <w:rFonts w:ascii="Times New Roman" w:hAnsi="Times New Roman"/>
          <w:color w:val="auto"/>
          <w:sz w:val="26"/>
          <w:szCs w:val="26"/>
        </w:rPr>
      </w:pPr>
      <w:r w:rsidRPr="00772027">
        <w:rPr>
          <w:rFonts w:ascii="Times New Roman" w:hAnsi="Times New Roman"/>
          <w:color w:val="auto"/>
          <w:sz w:val="26"/>
          <w:szCs w:val="26"/>
        </w:rPr>
        <w:t>— обеспечение государственной поддержки улучшения жилищных условий отдельных категорий граждан;</w:t>
      </w:r>
    </w:p>
    <w:p w:rsidR="00E618FE" w:rsidRPr="00772027" w:rsidRDefault="00800098">
      <w:pPr>
        <w:pStyle w:val="a4"/>
        <w:rPr>
          <w:rFonts w:ascii="Times New Roman" w:hAnsi="Times New Roman"/>
          <w:color w:val="auto"/>
          <w:sz w:val="26"/>
          <w:szCs w:val="26"/>
        </w:rPr>
      </w:pPr>
      <w:r w:rsidRPr="00772027">
        <w:rPr>
          <w:rFonts w:ascii="Times New Roman" w:hAnsi="Times New Roman"/>
          <w:color w:val="auto"/>
          <w:sz w:val="26"/>
          <w:szCs w:val="26"/>
        </w:rPr>
        <w:t>— проведение государственной кадастровой оценки земель и объектов капитального строительства в целях более эффективного использования земельно-имущественного комплекса региона, определения векторов инвестиционного развития и сбалансированного пространственного и бюджетного планирования;</w:t>
      </w:r>
    </w:p>
    <w:p w:rsidR="00E618FE" w:rsidRPr="00772027" w:rsidRDefault="00800098">
      <w:pPr>
        <w:pStyle w:val="a4"/>
        <w:rPr>
          <w:rFonts w:ascii="Times New Roman" w:hAnsi="Times New Roman"/>
          <w:color w:val="auto"/>
          <w:sz w:val="26"/>
          <w:szCs w:val="26"/>
        </w:rPr>
      </w:pPr>
      <w:r w:rsidRPr="00772027">
        <w:rPr>
          <w:rFonts w:ascii="Times New Roman" w:hAnsi="Times New Roman"/>
          <w:color w:val="auto"/>
          <w:sz w:val="26"/>
          <w:szCs w:val="26"/>
        </w:rPr>
        <w:t>— реализация проектов комплексного развития территорий.</w:t>
      </w:r>
    </w:p>
    <w:p w:rsidR="00772027" w:rsidRDefault="00772027">
      <w:pPr>
        <w:ind w:firstLine="709"/>
        <w:jc w:val="both"/>
        <w:rPr>
          <w:b/>
          <w:bCs/>
          <w:sz w:val="28"/>
          <w:szCs w:val="28"/>
          <w:lang w:eastAsia="ar-SA"/>
        </w:rPr>
      </w:pPr>
    </w:p>
    <w:p w:rsidR="00E618FE" w:rsidRPr="00535A4B" w:rsidRDefault="00800098">
      <w:pPr>
        <w:ind w:firstLine="709"/>
        <w:jc w:val="both"/>
        <w:rPr>
          <w:b/>
          <w:bCs/>
          <w:sz w:val="28"/>
          <w:szCs w:val="28"/>
          <w:lang w:eastAsia="ar-SA"/>
        </w:rPr>
      </w:pPr>
      <w:r w:rsidRPr="00535A4B">
        <w:rPr>
          <w:b/>
          <w:bCs/>
          <w:sz w:val="28"/>
          <w:szCs w:val="28"/>
          <w:lang w:eastAsia="ar-SA"/>
        </w:rPr>
        <w:t>Задача 4.4.2. Улучшать качество среды населенных пунктов.</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8"/>
        <w:jc w:val="both"/>
        <w:rPr>
          <w:sz w:val="26"/>
          <w:szCs w:val="26"/>
        </w:rPr>
      </w:pPr>
      <w:r w:rsidRPr="00772027">
        <w:rPr>
          <w:rFonts w:eastAsia="PT Astra Serif"/>
          <w:sz w:val="26"/>
          <w:szCs w:val="26"/>
        </w:rPr>
        <w:t>— </w:t>
      </w:r>
      <w:r w:rsidRPr="00772027">
        <w:rPr>
          <w:rFonts w:eastAsia="PT Astra Serif"/>
          <w:sz w:val="26"/>
          <w:szCs w:val="26"/>
          <w:lang w:eastAsia="ar-SA"/>
        </w:rPr>
        <w:t>реализация комплексных проектов благоустройства муниципальных образований;</w:t>
      </w:r>
    </w:p>
    <w:p w:rsidR="00E618FE" w:rsidRPr="00772027" w:rsidRDefault="00800098">
      <w:pPr>
        <w:ind w:firstLine="708"/>
        <w:jc w:val="both"/>
        <w:rPr>
          <w:sz w:val="26"/>
          <w:szCs w:val="26"/>
        </w:rPr>
      </w:pPr>
      <w:r w:rsidRPr="00772027">
        <w:rPr>
          <w:rFonts w:eastAsia="PT Astra Serif"/>
          <w:sz w:val="26"/>
          <w:szCs w:val="26"/>
        </w:rPr>
        <w:t>— б</w:t>
      </w:r>
      <w:r w:rsidRPr="00772027">
        <w:rPr>
          <w:rFonts w:eastAsia="PT Astra Serif"/>
          <w:sz w:val="26"/>
          <w:szCs w:val="26"/>
          <w:lang w:eastAsia="ar-SA"/>
        </w:rPr>
        <w:t>лагоустройство территорий общего пользования и дворовых территорий;</w:t>
      </w:r>
    </w:p>
    <w:p w:rsidR="00E618FE" w:rsidRPr="00772027" w:rsidRDefault="00800098">
      <w:pPr>
        <w:ind w:firstLine="708"/>
        <w:jc w:val="both"/>
        <w:rPr>
          <w:sz w:val="26"/>
          <w:szCs w:val="26"/>
          <w:lang w:eastAsia="ar-SA"/>
        </w:rPr>
      </w:pPr>
      <w:r w:rsidRPr="00772027">
        <w:rPr>
          <w:rFonts w:eastAsia="PT Astra Serif"/>
          <w:sz w:val="26"/>
          <w:szCs w:val="26"/>
        </w:rPr>
        <w:t>— </w:t>
      </w:r>
      <w:r w:rsidRPr="00772027">
        <w:rPr>
          <w:rFonts w:eastAsia="PT Astra Serif"/>
          <w:sz w:val="26"/>
          <w:szCs w:val="26"/>
          <w:lang w:eastAsia="ar-SA"/>
        </w:rPr>
        <w:t>озе</w:t>
      </w:r>
      <w:r w:rsidRPr="00772027">
        <w:rPr>
          <w:sz w:val="26"/>
          <w:szCs w:val="26"/>
          <w:lang w:eastAsia="ar-SA"/>
        </w:rPr>
        <w:t>ленение территории населенных пунктов.</w:t>
      </w:r>
    </w:p>
    <w:p w:rsidR="00772027" w:rsidRDefault="00772027">
      <w:pPr>
        <w:ind w:firstLine="709"/>
        <w:jc w:val="both"/>
        <w:rPr>
          <w:b/>
          <w:bCs/>
          <w:sz w:val="28"/>
          <w:szCs w:val="28"/>
          <w:lang w:eastAsia="ar-SA"/>
        </w:rPr>
      </w:pPr>
    </w:p>
    <w:p w:rsidR="00E618FE" w:rsidRPr="00535A4B" w:rsidRDefault="00800098">
      <w:pPr>
        <w:ind w:firstLine="709"/>
        <w:jc w:val="both"/>
        <w:rPr>
          <w:b/>
          <w:sz w:val="28"/>
          <w:szCs w:val="28"/>
          <w:lang w:eastAsia="ar-SA"/>
        </w:rPr>
      </w:pPr>
      <w:r w:rsidRPr="00535A4B">
        <w:rPr>
          <w:b/>
          <w:bCs/>
          <w:sz w:val="28"/>
          <w:szCs w:val="28"/>
          <w:lang w:eastAsia="ar-SA"/>
        </w:rPr>
        <w:t>Задача 4.4.3. Повысить качество и надежность предоставляемых коммунальных услуг,</w:t>
      </w:r>
      <w:r w:rsidRPr="00535A4B">
        <w:rPr>
          <w:sz w:val="28"/>
          <w:szCs w:val="28"/>
          <w:lang w:eastAsia="ar-SA"/>
        </w:rPr>
        <w:t xml:space="preserve"> </w:t>
      </w:r>
      <w:r w:rsidRPr="00535A4B">
        <w:rPr>
          <w:b/>
          <w:sz w:val="28"/>
          <w:szCs w:val="28"/>
          <w:lang w:eastAsia="ar-SA"/>
        </w:rPr>
        <w:t>снизить уровень аварийности.</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8"/>
        <w:jc w:val="both"/>
        <w:rPr>
          <w:sz w:val="26"/>
          <w:szCs w:val="26"/>
        </w:rPr>
      </w:pPr>
      <w:r w:rsidRPr="00772027">
        <w:rPr>
          <w:rFonts w:eastAsia="PT Astra Serif"/>
          <w:sz w:val="26"/>
          <w:szCs w:val="26"/>
        </w:rPr>
        <w:t>— </w:t>
      </w:r>
      <w:r w:rsidRPr="00772027">
        <w:rPr>
          <w:rFonts w:eastAsia="PT Astra Serif"/>
          <w:sz w:val="26"/>
          <w:szCs w:val="26"/>
          <w:lang w:eastAsia="ar-SA"/>
        </w:rPr>
        <w:t>строительство, реконструкция и капитальный ремонт объектов коммунальной инфраструктуры;</w:t>
      </w:r>
    </w:p>
    <w:p w:rsidR="00E618FE" w:rsidRPr="00772027" w:rsidRDefault="00800098">
      <w:pPr>
        <w:ind w:firstLine="708"/>
        <w:jc w:val="both"/>
        <w:rPr>
          <w:sz w:val="26"/>
          <w:szCs w:val="26"/>
        </w:rPr>
      </w:pPr>
      <w:r w:rsidRPr="00772027">
        <w:rPr>
          <w:rFonts w:eastAsia="PT Astra Serif"/>
          <w:sz w:val="26"/>
          <w:szCs w:val="26"/>
        </w:rPr>
        <w:t>— </w:t>
      </w:r>
      <w:r w:rsidRPr="00772027">
        <w:rPr>
          <w:rFonts w:eastAsia="PT Astra Serif"/>
          <w:sz w:val="26"/>
          <w:szCs w:val="26"/>
          <w:lang w:eastAsia="ar-SA"/>
        </w:rPr>
        <w:t>дальнейшая газификация региона, модернизация систем теплоснабжения путем строительства (либо технического перевооружения) источников выработки тепловой энергии на природном газе;</w:t>
      </w:r>
    </w:p>
    <w:p w:rsidR="00E618FE" w:rsidRPr="00772027" w:rsidRDefault="00800098">
      <w:pPr>
        <w:ind w:firstLine="708"/>
        <w:jc w:val="both"/>
        <w:rPr>
          <w:sz w:val="26"/>
          <w:szCs w:val="26"/>
        </w:rPr>
      </w:pPr>
      <w:r w:rsidRPr="00772027">
        <w:rPr>
          <w:rFonts w:eastAsia="PT Astra Serif"/>
          <w:sz w:val="26"/>
          <w:szCs w:val="26"/>
          <w:lang w:eastAsia="ar-SA"/>
        </w:rPr>
        <w:t>— реструктуризация системы управления жилищно-коммунальном хозяйством, укрупнение ресурсоснабжающих организаций (РСО) преимущественно за счет сокращения неэффективных РСО;</w:t>
      </w:r>
    </w:p>
    <w:p w:rsidR="00E618FE" w:rsidRPr="00772027" w:rsidRDefault="00800098">
      <w:pPr>
        <w:ind w:firstLine="709"/>
        <w:jc w:val="both"/>
        <w:rPr>
          <w:sz w:val="26"/>
          <w:szCs w:val="26"/>
        </w:rPr>
      </w:pPr>
      <w:r w:rsidRPr="00772027">
        <w:rPr>
          <w:rFonts w:eastAsia="PT Astra Serif"/>
          <w:sz w:val="26"/>
          <w:szCs w:val="26"/>
          <w:lang w:eastAsia="ar-SA"/>
        </w:rPr>
        <w:t>— поддержание и развитие кадрового потенциала посредством целевой подготовки специалистов, привлечения и закрепления кадров, оказания мер поддержки;</w:t>
      </w:r>
    </w:p>
    <w:p w:rsidR="00E618FE" w:rsidRPr="00772027" w:rsidRDefault="00800098">
      <w:pPr>
        <w:ind w:firstLine="708"/>
        <w:jc w:val="both"/>
        <w:rPr>
          <w:sz w:val="26"/>
          <w:szCs w:val="26"/>
          <w:lang w:eastAsia="ar-SA"/>
        </w:rPr>
      </w:pPr>
      <w:r w:rsidRPr="00772027">
        <w:rPr>
          <w:rFonts w:eastAsia="PT Astra Serif"/>
          <w:sz w:val="26"/>
          <w:szCs w:val="26"/>
          <w:lang w:eastAsia="ar-SA"/>
        </w:rPr>
        <w:t>— применение современных технологий при управлении жилищно-коммунальным хозяйством региона, в том числе применение цифровых двойников, диста</w:t>
      </w:r>
      <w:r w:rsidRPr="00772027">
        <w:rPr>
          <w:sz w:val="26"/>
          <w:szCs w:val="26"/>
          <w:lang w:eastAsia="ar-SA"/>
        </w:rPr>
        <w:t>нционного обследования сетевого комплекса.</w:t>
      </w:r>
    </w:p>
    <w:p w:rsidR="00E618FE" w:rsidRPr="00772027" w:rsidRDefault="00800098">
      <w:pPr>
        <w:ind w:firstLine="709"/>
        <w:jc w:val="both"/>
        <w:rPr>
          <w:sz w:val="26"/>
          <w:szCs w:val="26"/>
          <w:lang w:eastAsia="ar-SA"/>
        </w:rPr>
      </w:pPr>
      <w:r w:rsidRPr="00772027">
        <w:rPr>
          <w:b/>
          <w:bCs/>
          <w:sz w:val="26"/>
          <w:szCs w:val="26"/>
          <w:lang w:eastAsia="ar-SA"/>
        </w:rPr>
        <w:t>В сфере энергоснабжения</w:t>
      </w:r>
      <w:r w:rsidRPr="00772027">
        <w:rPr>
          <w:sz w:val="26"/>
          <w:szCs w:val="26"/>
          <w:lang w:eastAsia="ar-SA"/>
        </w:rPr>
        <w:t xml:space="preserve"> Томская область характеризуется энергодефицитностью. В 2024 году электростанциями области было выработано 4321,15 гигаватт-час, что составляет 50% от объемов потребления. Имеются критические ограничения по подключению крупных газовых потребителей. </w:t>
      </w:r>
    </w:p>
    <w:p w:rsidR="00772027" w:rsidRDefault="00772027">
      <w:pPr>
        <w:ind w:firstLine="709"/>
        <w:jc w:val="both"/>
        <w:rPr>
          <w:b/>
          <w:bCs/>
          <w:sz w:val="28"/>
          <w:szCs w:val="28"/>
          <w:lang w:eastAsia="ar-SA"/>
        </w:rPr>
      </w:pPr>
    </w:p>
    <w:p w:rsidR="00E618FE" w:rsidRPr="00535A4B" w:rsidRDefault="00800098">
      <w:pPr>
        <w:ind w:firstLine="709"/>
        <w:jc w:val="both"/>
        <w:rPr>
          <w:b/>
          <w:bCs/>
          <w:sz w:val="28"/>
          <w:szCs w:val="28"/>
          <w:lang w:eastAsia="ar-SA"/>
        </w:rPr>
      </w:pPr>
      <w:r w:rsidRPr="00535A4B">
        <w:rPr>
          <w:b/>
          <w:bCs/>
          <w:sz w:val="28"/>
          <w:szCs w:val="28"/>
          <w:lang w:eastAsia="ar-SA"/>
        </w:rPr>
        <w:t>Задача 4.4.4. Обеспечить развитие электрогенерирующей инфраструктуры, повысить энергообеспеченность региона.</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20"/>
        <w:jc w:val="both"/>
        <w:rPr>
          <w:sz w:val="26"/>
          <w:szCs w:val="26"/>
        </w:rPr>
      </w:pPr>
      <w:r w:rsidRPr="00772027">
        <w:rPr>
          <w:rFonts w:eastAsia="PT Astra Serif"/>
          <w:sz w:val="26"/>
          <w:szCs w:val="26"/>
        </w:rPr>
        <w:t xml:space="preserve">— строительство </w:t>
      </w:r>
      <w:r w:rsidRPr="00772027">
        <w:rPr>
          <w:rFonts w:eastAsia="PT Astra Serif"/>
          <w:bCs/>
          <w:iCs/>
          <w:sz w:val="26"/>
          <w:szCs w:val="26"/>
        </w:rPr>
        <w:t>Северской АЭС</w:t>
      </w:r>
      <w:r w:rsidRPr="00772027">
        <w:rPr>
          <w:rFonts w:eastAsia="PT Astra Serif"/>
          <w:sz w:val="26"/>
          <w:szCs w:val="26"/>
        </w:rPr>
        <w:t xml:space="preserve"> с установленной мощностью реакторов 2х1255 МВт, что полностью покроет энергодефицит региона, позволит стимулировать развитие более энергоемких производств;</w:t>
      </w:r>
    </w:p>
    <w:p w:rsidR="00E618FE" w:rsidRPr="00772027" w:rsidRDefault="00800098">
      <w:pPr>
        <w:ind w:firstLine="720"/>
        <w:jc w:val="both"/>
        <w:rPr>
          <w:sz w:val="26"/>
          <w:szCs w:val="26"/>
        </w:rPr>
      </w:pPr>
      <w:r w:rsidRPr="00772027">
        <w:rPr>
          <w:rFonts w:eastAsia="PT Astra Serif"/>
          <w:sz w:val="26"/>
          <w:szCs w:val="26"/>
        </w:rPr>
        <w:lastRenderedPageBreak/>
        <w:t>— ввод в эксплуатацию инновационного опытно-демонстрационного энергоблока атомной электростанции АО «СХК» с реактором на быстрых нейтронах установленной мощностью 300 МВт;</w:t>
      </w:r>
    </w:p>
    <w:p w:rsidR="00E618FE" w:rsidRPr="00772027" w:rsidRDefault="00800098">
      <w:pPr>
        <w:ind w:firstLine="720"/>
        <w:jc w:val="both"/>
        <w:rPr>
          <w:sz w:val="26"/>
          <w:szCs w:val="26"/>
        </w:rPr>
      </w:pPr>
      <w:bookmarkStart w:id="177" w:name="_Hlk231399804"/>
      <w:r w:rsidRPr="00772027">
        <w:rPr>
          <w:rFonts w:eastAsia="PT Astra Serif"/>
          <w:sz w:val="26"/>
          <w:szCs w:val="26"/>
        </w:rPr>
        <w:t xml:space="preserve">— техническое перевооружение выбывающего из эксплуатации оборудования ТЭЦ, в частности — за счет ускоренной реализации проекта </w:t>
      </w:r>
      <w:r w:rsidR="00772027">
        <w:rPr>
          <w:rFonts w:eastAsia="PT Astra Serif"/>
          <w:sz w:val="26"/>
          <w:szCs w:val="26"/>
        </w:rPr>
        <w:br/>
      </w:r>
      <w:r w:rsidRPr="00772027">
        <w:rPr>
          <w:rFonts w:eastAsia="PT Astra Serif"/>
          <w:sz w:val="26"/>
          <w:szCs w:val="26"/>
        </w:rPr>
        <w:t>по модернизаци</w:t>
      </w:r>
      <w:r w:rsidRPr="00772027">
        <w:rPr>
          <w:sz w:val="26"/>
          <w:szCs w:val="26"/>
        </w:rPr>
        <w:t>и ТЭЦ АО «СХК» в г. Северске и Томской ГРЭС-2.</w:t>
      </w:r>
      <w:bookmarkEnd w:id="177"/>
    </w:p>
    <w:p w:rsidR="00772027" w:rsidRDefault="00772027">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 xml:space="preserve">Задача 4.4.5. Повысить уровень развития газовой инфраструктуры региона, обеспечить межрегиональный транзит газа. </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20"/>
        <w:jc w:val="both"/>
        <w:rPr>
          <w:sz w:val="26"/>
          <w:szCs w:val="26"/>
        </w:rPr>
      </w:pPr>
      <w:r w:rsidRPr="00772027">
        <w:rPr>
          <w:sz w:val="26"/>
          <w:szCs w:val="26"/>
        </w:rPr>
        <w:t>— реализация проекта Система магистральных газопроводов «Восточная система газоснабжения» для развития Единой системы газоснабжения в регионах Восточной Сибири и Дальнего Востока общего направления Я</w:t>
      </w:r>
      <w:r w:rsidR="00772027">
        <w:rPr>
          <w:sz w:val="26"/>
          <w:szCs w:val="26"/>
        </w:rPr>
        <w:t>мало-Ненецкий автономный округ – Томская область –</w:t>
      </w:r>
      <w:r w:rsidRPr="00772027">
        <w:rPr>
          <w:sz w:val="26"/>
          <w:szCs w:val="26"/>
        </w:rPr>
        <w:t xml:space="preserve"> Хабаровский край;</w:t>
      </w:r>
    </w:p>
    <w:p w:rsidR="00E618FE" w:rsidRPr="00772027" w:rsidRDefault="00800098">
      <w:pPr>
        <w:ind w:firstLine="720"/>
        <w:jc w:val="both"/>
        <w:rPr>
          <w:sz w:val="26"/>
          <w:szCs w:val="26"/>
        </w:rPr>
      </w:pPr>
      <w:r w:rsidRPr="00772027">
        <w:rPr>
          <w:sz w:val="26"/>
          <w:szCs w:val="26"/>
        </w:rPr>
        <w:t>— снятие дефицита природного газа для подключения новых потребителей Томской области за счет строительства газопровода КС «Аганская» (</w:t>
      </w:r>
      <w:r w:rsidRPr="00772027">
        <w:rPr>
          <w:sz w:val="26"/>
          <w:szCs w:val="26"/>
          <w:lang w:eastAsia="ar-SA"/>
        </w:rPr>
        <w:t>Хан</w:t>
      </w:r>
      <w:r w:rsidR="00772027">
        <w:rPr>
          <w:sz w:val="26"/>
          <w:szCs w:val="26"/>
          <w:lang w:eastAsia="ar-SA"/>
        </w:rPr>
        <w:t>ты-Мансийский автономный округ –</w:t>
      </w:r>
      <w:r w:rsidRPr="00772027">
        <w:rPr>
          <w:sz w:val="26"/>
          <w:szCs w:val="26"/>
          <w:lang w:eastAsia="ar-SA"/>
        </w:rPr>
        <w:t xml:space="preserve"> Югра</w:t>
      </w:r>
      <w:r w:rsidRPr="00772027">
        <w:rPr>
          <w:sz w:val="26"/>
          <w:szCs w:val="26"/>
        </w:rPr>
        <w:t xml:space="preserve">) </w:t>
      </w:r>
      <w:r w:rsidR="00772027">
        <w:rPr>
          <w:sz w:val="26"/>
          <w:szCs w:val="26"/>
        </w:rPr>
        <w:t>–</w:t>
      </w:r>
      <w:r w:rsidRPr="00772027">
        <w:rPr>
          <w:sz w:val="26"/>
          <w:szCs w:val="26"/>
        </w:rPr>
        <w:t xml:space="preserve"> КС «Вертикос»;</w:t>
      </w:r>
    </w:p>
    <w:p w:rsidR="00E618FE" w:rsidRPr="00772027" w:rsidRDefault="00800098">
      <w:pPr>
        <w:ind w:firstLine="720"/>
        <w:jc w:val="both"/>
        <w:rPr>
          <w:sz w:val="26"/>
          <w:szCs w:val="26"/>
        </w:rPr>
      </w:pPr>
      <w:r w:rsidRPr="00772027">
        <w:rPr>
          <w:sz w:val="26"/>
          <w:szCs w:val="26"/>
        </w:rPr>
        <w:t>— реализация Программы развития газоснабжения и газификации Томской области.</w:t>
      </w:r>
    </w:p>
    <w:p w:rsidR="00772027" w:rsidRDefault="00772027">
      <w:pPr>
        <w:ind w:firstLine="709"/>
        <w:jc w:val="both"/>
        <w:rPr>
          <w:b/>
          <w:bCs/>
          <w:sz w:val="28"/>
          <w:szCs w:val="28"/>
          <w:lang w:eastAsia="ar-SA"/>
        </w:rPr>
      </w:pPr>
    </w:p>
    <w:p w:rsidR="00E618FE" w:rsidRPr="00535A4B" w:rsidRDefault="00800098">
      <w:pPr>
        <w:ind w:firstLine="709"/>
        <w:jc w:val="both"/>
        <w:rPr>
          <w:b/>
          <w:sz w:val="28"/>
          <w:szCs w:val="28"/>
          <w:lang w:eastAsia="ar-SA"/>
        </w:rPr>
      </w:pPr>
      <w:r w:rsidRPr="00535A4B">
        <w:rPr>
          <w:b/>
          <w:bCs/>
          <w:sz w:val="28"/>
          <w:szCs w:val="28"/>
          <w:lang w:eastAsia="ar-SA"/>
        </w:rPr>
        <w:t>Задача 4.4.6. Обеспечить опережающее развитие и внедрение энергосберегающих и энергоэффективных технологий</w:t>
      </w:r>
      <w:r w:rsidRPr="00535A4B">
        <w:rPr>
          <w:b/>
          <w:sz w:val="28"/>
          <w:szCs w:val="28"/>
          <w:lang w:eastAsia="ar-SA"/>
        </w:rPr>
        <w:t>; снижение энергоемкости валового регионального продукта.</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9"/>
        <w:jc w:val="both"/>
        <w:rPr>
          <w:sz w:val="26"/>
          <w:szCs w:val="26"/>
          <w:lang w:eastAsia="ar-SA"/>
        </w:rPr>
      </w:pPr>
      <w:r w:rsidRPr="00772027">
        <w:rPr>
          <w:sz w:val="26"/>
          <w:szCs w:val="26"/>
          <w:lang w:eastAsia="ar-SA"/>
        </w:rPr>
        <w:t>— повышение энергоэффективности в электросетевых организациях;</w:t>
      </w:r>
    </w:p>
    <w:p w:rsidR="00E618FE" w:rsidRPr="00772027" w:rsidRDefault="00800098">
      <w:pPr>
        <w:ind w:firstLine="709"/>
        <w:jc w:val="both"/>
        <w:rPr>
          <w:sz w:val="26"/>
          <w:szCs w:val="26"/>
          <w:lang w:eastAsia="ar-SA"/>
        </w:rPr>
      </w:pPr>
      <w:r w:rsidRPr="00772027">
        <w:rPr>
          <w:sz w:val="26"/>
          <w:szCs w:val="26"/>
          <w:lang w:eastAsia="ar-SA"/>
        </w:rPr>
        <w:t xml:space="preserve">— повышение надежности электроснабжения потребителей сохраняемых населенных пунктов на удаленных и труднодоступных территориях за счет реконструкции воздушных линий электропередачи, обновления оборудования дизельных электростанций и трансформаторных подстанций; </w:t>
      </w:r>
      <w:bookmarkStart w:id="178" w:name="_Hlk231399856"/>
      <w:r w:rsidRPr="00772027">
        <w:rPr>
          <w:sz w:val="26"/>
          <w:szCs w:val="26"/>
          <w:lang w:eastAsia="ar-SA"/>
        </w:rPr>
        <w:t xml:space="preserve">подключение </w:t>
      </w:r>
      <w:r w:rsidR="00772027">
        <w:rPr>
          <w:sz w:val="26"/>
          <w:szCs w:val="26"/>
          <w:lang w:eastAsia="ar-SA"/>
        </w:rPr>
        <w:br/>
      </w:r>
      <w:r w:rsidRPr="00772027">
        <w:rPr>
          <w:sz w:val="26"/>
          <w:szCs w:val="26"/>
          <w:lang w:eastAsia="ar-SA"/>
        </w:rPr>
        <w:t xml:space="preserve">с. Степановка (Верхнекетский район) и с. Нарым (Парабельский район) </w:t>
      </w:r>
      <w:r w:rsidR="00772027">
        <w:rPr>
          <w:sz w:val="26"/>
          <w:szCs w:val="26"/>
          <w:lang w:eastAsia="ar-SA"/>
        </w:rPr>
        <w:br/>
      </w:r>
      <w:r w:rsidRPr="00772027">
        <w:rPr>
          <w:sz w:val="26"/>
          <w:szCs w:val="26"/>
          <w:lang w:eastAsia="ar-SA"/>
        </w:rPr>
        <w:t>к централизованному электроснабжению.</w:t>
      </w:r>
      <w:bookmarkEnd w:id="178"/>
    </w:p>
    <w:p w:rsidR="00772027" w:rsidRDefault="00772027">
      <w:pPr>
        <w:ind w:firstLine="709"/>
        <w:jc w:val="both"/>
        <w:rPr>
          <w:b/>
          <w:bCs/>
          <w:sz w:val="28"/>
          <w:szCs w:val="28"/>
          <w:lang w:eastAsia="ar-SA"/>
        </w:rPr>
      </w:pPr>
    </w:p>
    <w:p w:rsidR="00E618FE" w:rsidRPr="00535A4B" w:rsidRDefault="00800098">
      <w:pPr>
        <w:ind w:firstLine="709"/>
        <w:jc w:val="both"/>
        <w:rPr>
          <w:sz w:val="28"/>
          <w:szCs w:val="28"/>
          <w:lang w:eastAsia="ar-SA"/>
        </w:rPr>
      </w:pPr>
      <w:r w:rsidRPr="00535A4B">
        <w:rPr>
          <w:b/>
          <w:bCs/>
          <w:sz w:val="28"/>
          <w:szCs w:val="28"/>
          <w:lang w:eastAsia="ar-SA"/>
        </w:rPr>
        <w:t xml:space="preserve">Задача 4.4.7. Обеспечить переход к интеллектуальной цифровой энергетике </w:t>
      </w:r>
      <w:r w:rsidRPr="00772027">
        <w:rPr>
          <w:sz w:val="26"/>
          <w:szCs w:val="26"/>
          <w:lang w:eastAsia="ar-SA"/>
        </w:rPr>
        <w:t>за счет применения организациями электроэнергетической отрасли «сквозных» цифровых технологий в соответствии с распоряжением Правительства Российской Федерации от 26 февраля 2026 года № 373-р.</w:t>
      </w:r>
      <w:r w:rsidRPr="00535A4B">
        <w:rPr>
          <w:sz w:val="28"/>
          <w:szCs w:val="28"/>
          <w:lang w:eastAsia="ar-SA"/>
        </w:rPr>
        <w:t xml:space="preserve"> </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Целевые показатели:</w:t>
      </w:r>
    </w:p>
    <w:p w:rsidR="00E618FE" w:rsidRPr="00772027" w:rsidRDefault="00800098">
      <w:pPr>
        <w:suppressLineNumbers/>
        <w:spacing w:before="180" w:after="120"/>
        <w:jc w:val="both"/>
        <w:outlineLvl w:val="8"/>
        <w:rPr>
          <w:bCs/>
          <w:sz w:val="26"/>
          <w:szCs w:val="26"/>
          <w:lang w:eastAsia="ar-SA" w:bidi="en-US"/>
        </w:rPr>
      </w:pPr>
      <w:r w:rsidRPr="00772027">
        <w:rPr>
          <w:bCs/>
          <w:sz w:val="26"/>
          <w:szCs w:val="26"/>
          <w:lang w:eastAsia="ar-SA" w:bidi="en-US"/>
        </w:rPr>
        <w:t>Таблица 12.4. Целевые показатели Стратегического приоритета 4.4. «Модернизация и развитие жилищной и коммунальной инфраструктуры, повышение энергоэффективности»</w:t>
      </w:r>
    </w:p>
    <w:tbl>
      <w:tblPr>
        <w:tblStyle w:val="-141"/>
        <w:tblW w:w="9482" w:type="dxa"/>
        <w:tblLayout w:type="fixed"/>
        <w:tblLook w:val="04A0" w:firstRow="1" w:lastRow="0" w:firstColumn="1" w:lastColumn="0" w:noHBand="0" w:noVBand="1"/>
      </w:tblPr>
      <w:tblGrid>
        <w:gridCol w:w="5980"/>
        <w:gridCol w:w="1058"/>
        <w:gridCol w:w="1200"/>
        <w:gridCol w:w="1244"/>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 xml:space="preserve">Общая площадь жилых помещений, приходящаяся </w:t>
            </w:r>
            <w:r w:rsidRPr="00535A4B">
              <w:rPr>
                <w:rFonts w:eastAsiaTheme="minorHAnsi"/>
                <w:b w:val="0"/>
                <w:bCs w:val="0"/>
              </w:rPr>
              <w:br/>
              <w:t>в среднем на одного жителя, кв. м</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28,19</w:t>
            </w:r>
            <w:r w:rsidRPr="00535A4B">
              <w:br/>
              <w:t>(2024)</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31,40</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36,00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Объем ввода в эксплуатацию жилой и нежилой недвижимости, млн кв. м</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0,541</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0,964</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lastRenderedPageBreak/>
              <w:t xml:space="preserve">Количество сетей теплоснабжения, капитально отремонтированных/ реконструированных в год </w:t>
            </w:r>
            <w:r w:rsidRPr="00535A4B">
              <w:rPr>
                <w:b w:val="0"/>
                <w:bCs w:val="0"/>
              </w:rPr>
              <w:br/>
              <w:t>от общей протяженности сетей, %</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0,45</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5,00</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7,00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Количество сетей водоснабжения, капитально отремонтированных/ реконструированных в год </w:t>
            </w:r>
            <w:r w:rsidRPr="00535A4B">
              <w:rPr>
                <w:b w:val="0"/>
                <w:bCs w:val="0"/>
              </w:rPr>
              <w:br/>
              <w:t xml:space="preserve">от общей протяженности сетей, % </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rPr>
                <w:bCs/>
              </w:rPr>
              <w:t>0,31</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rPr>
                <w:bCs/>
              </w:rPr>
              <w:t>2,50</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rPr>
                <w:bCs/>
              </w:rPr>
              <w:t>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Количество сетей водоотведения, капитально отремонтированных/ реконструированных в год </w:t>
            </w:r>
            <w:r w:rsidRPr="00535A4B">
              <w:rPr>
                <w:b w:val="0"/>
                <w:bCs w:val="0"/>
              </w:rPr>
              <w:br/>
              <w:t>от общей протяженности сетей, %</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rPr>
                <w:bCs/>
              </w:rPr>
              <w:t>0,00</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rPr>
                <w:bCs/>
              </w:rPr>
              <w:t>2,50</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rPr>
                <w:bCs/>
              </w:rPr>
              <w:t>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Доля площади жилищного фонда, обеспеченного всеми видами благоустройства, %</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t>66,30 (2024)</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t>74,00</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Cs/>
              </w:rPr>
            </w:pPr>
            <w:r w:rsidRPr="00535A4B">
              <w:t>83,00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Theme="minorHAnsi"/>
              </w:rPr>
            </w:pPr>
            <w:r w:rsidRPr="00535A4B">
              <w:rPr>
                <w:rFonts w:eastAsiaTheme="minorHAnsi"/>
                <w:b w:val="0"/>
                <w:bCs w:val="0"/>
              </w:rPr>
              <w:t>Уровень газификации населения Томской области, %</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67,70</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76,00</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98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Theme="minorHAnsi"/>
              </w:rPr>
            </w:pPr>
            <w:r w:rsidRPr="00535A4B">
              <w:rPr>
                <w:rFonts w:eastAsiaTheme="minorHAnsi"/>
                <w:b w:val="0"/>
                <w:bCs w:val="0"/>
              </w:rPr>
              <w:t>Потребление природного газа в качестве моторного топлива, млн куб. м</w:t>
            </w:r>
          </w:p>
        </w:tc>
        <w:tc>
          <w:tcPr>
            <w:tcW w:w="105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12,20</w:t>
            </w:r>
          </w:p>
        </w:tc>
        <w:tc>
          <w:tcPr>
            <w:tcW w:w="120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13,50</w:t>
            </w:r>
          </w:p>
        </w:tc>
        <w:tc>
          <w:tcPr>
            <w:tcW w:w="124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15,00</w:t>
            </w:r>
          </w:p>
        </w:tc>
      </w:tr>
    </w:tbl>
    <w:p w:rsidR="00772027" w:rsidRDefault="00772027">
      <w:pPr>
        <w:keepNext/>
        <w:keepLines/>
        <w:ind w:firstLine="709"/>
        <w:jc w:val="both"/>
        <w:outlineLvl w:val="1"/>
        <w:rPr>
          <w:rFonts w:eastAsiaTheme="majorEastAsia"/>
          <w:b/>
          <w:bCs/>
          <w:sz w:val="28"/>
          <w:szCs w:val="26"/>
          <w:lang w:eastAsia="en-US" w:bidi="en-US"/>
        </w:rPr>
      </w:pPr>
      <w:bookmarkStart w:id="179" w:name="_Toc229484489"/>
      <w:bookmarkStart w:id="180" w:name="_Toc229962283"/>
      <w:bookmarkStart w:id="181" w:name="_Toc235810164"/>
      <w:bookmarkStart w:id="182" w:name="_Toc238554552"/>
    </w:p>
    <w:p w:rsidR="00E618FE" w:rsidRPr="00535A4B" w:rsidRDefault="00800098">
      <w:pPr>
        <w:keepNext/>
        <w:keepLines/>
        <w:ind w:firstLine="709"/>
        <w:jc w:val="both"/>
        <w:outlineLvl w:val="1"/>
        <w:rPr>
          <w:rFonts w:eastAsiaTheme="majorEastAsia"/>
          <w:b/>
          <w:bCs/>
          <w:sz w:val="28"/>
          <w:szCs w:val="26"/>
          <w:lang w:eastAsia="en-US" w:bidi="en-US"/>
        </w:rPr>
      </w:pPr>
      <w:r w:rsidRPr="00535A4B">
        <w:rPr>
          <w:rFonts w:eastAsiaTheme="majorEastAsia"/>
          <w:b/>
          <w:bCs/>
          <w:sz w:val="28"/>
          <w:szCs w:val="26"/>
          <w:lang w:eastAsia="en-US" w:bidi="en-US"/>
        </w:rPr>
        <w:t>Стратегический приоритет 4.5. «Развитие комфортной среды жизнедеятельности в населенных пунктах Томской области»</w:t>
      </w:r>
      <w:bookmarkEnd w:id="179"/>
      <w:bookmarkEnd w:id="180"/>
      <w:bookmarkEnd w:id="181"/>
      <w:bookmarkEnd w:id="182"/>
    </w:p>
    <w:p w:rsidR="00E618FE" w:rsidRPr="00772027" w:rsidRDefault="00800098">
      <w:pPr>
        <w:ind w:firstLine="709"/>
        <w:jc w:val="both"/>
        <w:rPr>
          <w:sz w:val="26"/>
          <w:szCs w:val="26"/>
          <w:lang w:eastAsia="ar-SA"/>
        </w:rPr>
      </w:pPr>
      <w:r w:rsidRPr="00772027">
        <w:rPr>
          <w:sz w:val="26"/>
          <w:szCs w:val="26"/>
          <w:lang w:eastAsia="ar-SA"/>
        </w:rPr>
        <w:t>Трендом современного долгосрочного перспективного развития селитебных территорий является формирование комфортной городской/ сельской среды. Комфортная городская среда представляет собой совокупность условий, обеспечивающих безопасность, функциональность, эстетическую привлекательность и доступность жилых территорий для всех гру</w:t>
      </w:r>
      <w:r w:rsidR="00772027">
        <w:rPr>
          <w:sz w:val="26"/>
          <w:szCs w:val="26"/>
          <w:lang w:eastAsia="ar-SA"/>
        </w:rPr>
        <w:t>пп населения. Комфортная среда –</w:t>
      </w:r>
      <w:r w:rsidRPr="00772027">
        <w:rPr>
          <w:sz w:val="26"/>
          <w:szCs w:val="26"/>
          <w:lang w:eastAsia="ar-SA"/>
        </w:rPr>
        <w:t xml:space="preserve"> важнейший фактор повышения качества жизни населения, сохранения и привлечения человеческого капитала, прогрессивного изменения структуры экономики населенных пунктов. </w:t>
      </w:r>
    </w:p>
    <w:p w:rsidR="00E618FE" w:rsidRPr="00772027" w:rsidRDefault="00800098">
      <w:pPr>
        <w:ind w:firstLine="709"/>
        <w:jc w:val="both"/>
        <w:rPr>
          <w:sz w:val="26"/>
          <w:szCs w:val="26"/>
          <w:lang w:eastAsia="ar-SA"/>
        </w:rPr>
      </w:pPr>
      <w:r w:rsidRPr="00772027">
        <w:rPr>
          <w:sz w:val="26"/>
          <w:szCs w:val="26"/>
          <w:lang w:eastAsia="ar-SA"/>
        </w:rPr>
        <w:t>Комфортная городская среда превращает города из места производства товаров в место притяжения людей, капитала и инноваций, трансформируя экономическую структуру с индустриальной модели на сервисную и креативную. Комфортные города привлекают «креативный класс» (специалистов ИТ, дизайна, кинематографии), что способствует развитию новых отраслей постиндустриальной экономики.</w:t>
      </w:r>
    </w:p>
    <w:p w:rsidR="00E618FE" w:rsidRPr="00772027" w:rsidRDefault="00800098">
      <w:pPr>
        <w:ind w:firstLine="709"/>
        <w:jc w:val="both"/>
        <w:rPr>
          <w:sz w:val="26"/>
          <w:szCs w:val="26"/>
          <w:lang w:eastAsia="ar-SA"/>
        </w:rPr>
      </w:pPr>
      <w:r w:rsidRPr="00772027">
        <w:rPr>
          <w:sz w:val="26"/>
          <w:szCs w:val="26"/>
          <w:lang w:eastAsia="ar-SA"/>
        </w:rPr>
        <w:t xml:space="preserve">Стратегическая роль региона </w:t>
      </w:r>
      <w:r w:rsidR="00772027">
        <w:rPr>
          <w:sz w:val="26"/>
          <w:szCs w:val="26"/>
          <w:lang w:eastAsia="ar-SA"/>
        </w:rPr>
        <w:t>–</w:t>
      </w:r>
      <w:r w:rsidRPr="00772027">
        <w:rPr>
          <w:sz w:val="26"/>
          <w:szCs w:val="26"/>
          <w:lang w:eastAsia="ar-SA"/>
        </w:rPr>
        <w:t xml:space="preserve"> формирование основ градостроительной политики, определяющей деятельность органов исполнительной власти и местного самоуправления по формированию качественной среды для жизни, комплексному развитию территорий и регулированию застройки на основе документов планирования, включающих разработку градостроительных доктрин, норм права </w:t>
      </w:r>
      <w:r w:rsidR="00772027">
        <w:rPr>
          <w:sz w:val="26"/>
          <w:szCs w:val="26"/>
          <w:lang w:eastAsia="ar-SA"/>
        </w:rPr>
        <w:br/>
      </w:r>
      <w:r w:rsidRPr="00772027">
        <w:rPr>
          <w:sz w:val="26"/>
          <w:szCs w:val="26"/>
          <w:lang w:eastAsia="ar-SA"/>
        </w:rPr>
        <w:t>и механизмов участия граждан, направленных на сбалансированное развитие населенных пунктов.</w:t>
      </w:r>
    </w:p>
    <w:p w:rsidR="00772027" w:rsidRDefault="00772027">
      <w:pPr>
        <w:keepNext/>
        <w:keepLines/>
        <w:spacing w:before="120" w:after="120"/>
        <w:ind w:firstLine="709"/>
        <w:jc w:val="both"/>
        <w:outlineLvl w:val="3"/>
        <w:rPr>
          <w:b/>
          <w:spacing w:val="24"/>
          <w:sz w:val="28"/>
          <w:szCs w:val="28"/>
          <w:lang w:eastAsia="en-US"/>
        </w:rPr>
      </w:pPr>
    </w:p>
    <w:p w:rsidR="00772027" w:rsidRDefault="00772027">
      <w:pPr>
        <w:spacing w:after="160" w:line="259" w:lineRule="auto"/>
        <w:rPr>
          <w:b/>
          <w:spacing w:val="24"/>
          <w:sz w:val="28"/>
          <w:szCs w:val="28"/>
          <w:lang w:eastAsia="en-US"/>
        </w:rPr>
      </w:pPr>
      <w:r>
        <w:rPr>
          <w:b/>
          <w:spacing w:val="24"/>
          <w:sz w:val="28"/>
          <w:szCs w:val="28"/>
          <w:lang w:eastAsia="en-US"/>
        </w:rPr>
        <w:br w:type="page"/>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lastRenderedPageBreak/>
        <w:t>Задачи:</w:t>
      </w:r>
    </w:p>
    <w:p w:rsidR="00E618FE" w:rsidRPr="00535A4B" w:rsidRDefault="00800098">
      <w:pPr>
        <w:ind w:firstLine="709"/>
        <w:jc w:val="both"/>
        <w:rPr>
          <w:sz w:val="28"/>
          <w:szCs w:val="28"/>
          <w:lang w:eastAsia="ar-SA"/>
        </w:rPr>
      </w:pPr>
      <w:r w:rsidRPr="00535A4B">
        <w:rPr>
          <w:b/>
          <w:bCs/>
          <w:sz w:val="28"/>
          <w:szCs w:val="28"/>
          <w:lang w:eastAsia="ar-SA"/>
        </w:rPr>
        <w:t>Задача 4.5.1. Синхронизировать градостроительные политики городских округов, сельских поселений региона и инвестиционные планы</w:t>
      </w:r>
      <w:r w:rsidRPr="00535A4B">
        <w:rPr>
          <w:sz w:val="28"/>
          <w:szCs w:val="28"/>
          <w:lang w:eastAsia="ar-SA"/>
        </w:rPr>
        <w:t xml:space="preserve"> </w:t>
      </w:r>
      <w:r w:rsidRPr="00535A4B">
        <w:rPr>
          <w:b/>
          <w:bCs/>
          <w:sz w:val="28"/>
          <w:szCs w:val="28"/>
          <w:lang w:eastAsia="ar-SA"/>
        </w:rPr>
        <w:t>субъектов хозяйственной деятельности.</w:t>
      </w:r>
      <w:r w:rsidRPr="00535A4B">
        <w:rPr>
          <w:sz w:val="28"/>
          <w:szCs w:val="28"/>
          <w:lang w:eastAsia="ar-SA"/>
        </w:rPr>
        <w:t xml:space="preserve"> </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9"/>
        <w:jc w:val="both"/>
        <w:rPr>
          <w:sz w:val="26"/>
          <w:szCs w:val="26"/>
          <w:lang w:eastAsia="ar-SA"/>
        </w:rPr>
      </w:pPr>
      <w:r w:rsidRPr="00772027">
        <w:rPr>
          <w:sz w:val="26"/>
          <w:szCs w:val="26"/>
          <w:lang w:eastAsia="ar-SA"/>
        </w:rPr>
        <w:t xml:space="preserve">— анализ и сравнение текущих инвестиционных намерений бизнеса </w:t>
      </w:r>
      <w:r w:rsidR="00772027">
        <w:rPr>
          <w:sz w:val="26"/>
          <w:szCs w:val="26"/>
          <w:lang w:eastAsia="ar-SA"/>
        </w:rPr>
        <w:br/>
      </w:r>
      <w:r w:rsidRPr="00772027">
        <w:rPr>
          <w:sz w:val="26"/>
          <w:szCs w:val="26"/>
          <w:lang w:eastAsia="ar-SA"/>
        </w:rPr>
        <w:t>с действующими документами территориального планирования, выявление противоречий;</w:t>
      </w:r>
    </w:p>
    <w:p w:rsidR="00E618FE" w:rsidRPr="00772027" w:rsidRDefault="00800098">
      <w:pPr>
        <w:ind w:firstLine="709"/>
        <w:jc w:val="both"/>
        <w:rPr>
          <w:sz w:val="26"/>
          <w:szCs w:val="26"/>
          <w:lang w:eastAsia="ar-SA"/>
        </w:rPr>
      </w:pPr>
      <w:r w:rsidRPr="00772027">
        <w:rPr>
          <w:sz w:val="26"/>
          <w:szCs w:val="26"/>
          <w:lang w:eastAsia="ar-SA"/>
        </w:rPr>
        <w:t>— вовлечение бизнеса в процессы подготовки стратегий городского/ сельского развития: участие в финансировании разработки мастер-планов, инициирование и реализация локальных имиджевых объектов;</w:t>
      </w:r>
    </w:p>
    <w:p w:rsidR="00E618FE" w:rsidRPr="00772027" w:rsidRDefault="00800098">
      <w:pPr>
        <w:ind w:firstLine="709"/>
        <w:jc w:val="both"/>
        <w:rPr>
          <w:sz w:val="26"/>
          <w:szCs w:val="26"/>
          <w:lang w:eastAsia="ar-SA"/>
        </w:rPr>
      </w:pPr>
      <w:r w:rsidRPr="00772027">
        <w:rPr>
          <w:sz w:val="26"/>
          <w:szCs w:val="26"/>
          <w:lang w:eastAsia="ar-SA"/>
        </w:rPr>
        <w:t xml:space="preserve">— согласование инвестпроектов при условии долевого участия инвестора </w:t>
      </w:r>
      <w:r w:rsidR="00772027">
        <w:rPr>
          <w:sz w:val="26"/>
          <w:szCs w:val="26"/>
          <w:lang w:eastAsia="ar-SA"/>
        </w:rPr>
        <w:br/>
      </w:r>
      <w:r w:rsidRPr="00772027">
        <w:rPr>
          <w:sz w:val="26"/>
          <w:szCs w:val="26"/>
          <w:lang w:eastAsia="ar-SA"/>
        </w:rPr>
        <w:t>в развитии всех видов инфраструктуры;</w:t>
      </w:r>
    </w:p>
    <w:p w:rsidR="00E618FE" w:rsidRPr="00772027" w:rsidRDefault="00800098">
      <w:pPr>
        <w:ind w:firstLine="709"/>
        <w:jc w:val="both"/>
        <w:rPr>
          <w:sz w:val="26"/>
          <w:szCs w:val="26"/>
          <w:lang w:eastAsia="ar-SA"/>
        </w:rPr>
      </w:pPr>
      <w:r w:rsidRPr="00772027">
        <w:rPr>
          <w:sz w:val="26"/>
          <w:szCs w:val="26"/>
          <w:lang w:eastAsia="ar-SA"/>
        </w:rPr>
        <w:t xml:space="preserve">— корректировка документов территориального планирования с учетом инвестиционных проектов, сопоставление рисков и эффектов их реализации; </w:t>
      </w:r>
    </w:p>
    <w:p w:rsidR="00E618FE" w:rsidRPr="00772027" w:rsidRDefault="00800098">
      <w:pPr>
        <w:jc w:val="both"/>
        <w:rPr>
          <w:sz w:val="26"/>
          <w:szCs w:val="26"/>
        </w:rPr>
      </w:pPr>
      <w:r w:rsidRPr="00772027">
        <w:rPr>
          <w:sz w:val="26"/>
          <w:szCs w:val="26"/>
          <w:lang w:eastAsia="ar-SA"/>
        </w:rPr>
        <w:t xml:space="preserve">— мониторинг реализации в рамках информационно-аналитической системы </w:t>
      </w:r>
      <w:r w:rsidR="00772027">
        <w:rPr>
          <w:sz w:val="26"/>
          <w:szCs w:val="26"/>
          <w:lang w:eastAsia="ar-SA"/>
        </w:rPr>
        <w:br/>
      </w:r>
      <w:r w:rsidRPr="00772027">
        <w:rPr>
          <w:sz w:val="26"/>
          <w:szCs w:val="26"/>
          <w:lang w:eastAsia="ar-SA"/>
        </w:rPr>
        <w:t xml:space="preserve">(в части соблюдения градостроительных регламентов, реагирование </w:t>
      </w:r>
      <w:r w:rsidRPr="00772027">
        <w:rPr>
          <w:sz w:val="26"/>
          <w:szCs w:val="26"/>
          <w:lang w:eastAsia="ar-SA"/>
        </w:rPr>
        <w:br/>
        <w:t>на меняющиеся вызовы, выбор актуальных сценариев).</w:t>
      </w:r>
    </w:p>
    <w:p w:rsidR="00E618FE" w:rsidRPr="00535A4B" w:rsidRDefault="00E618FE">
      <w:pPr>
        <w:spacing w:line="259" w:lineRule="auto"/>
        <w:rPr>
          <w:b/>
          <w:bCs/>
          <w:sz w:val="28"/>
          <w:szCs w:val="28"/>
        </w:rPr>
      </w:pPr>
    </w:p>
    <w:p w:rsidR="00E618FE" w:rsidRPr="00535A4B" w:rsidRDefault="00800098" w:rsidP="00772027">
      <w:pPr>
        <w:spacing w:line="259" w:lineRule="auto"/>
        <w:ind w:firstLine="709"/>
        <w:rPr>
          <w:sz w:val="28"/>
          <w:szCs w:val="28"/>
          <w:lang w:eastAsia="ar-SA"/>
        </w:rPr>
      </w:pPr>
      <w:r w:rsidRPr="00535A4B">
        <w:rPr>
          <w:b/>
          <w:bCs/>
          <w:sz w:val="28"/>
          <w:szCs w:val="28"/>
          <w:lang w:eastAsia="ar-SA"/>
        </w:rPr>
        <w:t>Задача 4.5.2. Ревитализировать неэффективно используемые территории в населенных пунктах Томской области</w:t>
      </w:r>
      <w:r w:rsidRPr="00535A4B">
        <w:rPr>
          <w:sz w:val="28"/>
          <w:szCs w:val="28"/>
          <w:lang w:eastAsia="ar-SA"/>
        </w:rPr>
        <w:t xml:space="preserve">. </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9"/>
        <w:jc w:val="both"/>
        <w:rPr>
          <w:sz w:val="26"/>
          <w:szCs w:val="26"/>
          <w:lang w:eastAsia="ar-SA"/>
        </w:rPr>
      </w:pPr>
      <w:r w:rsidRPr="00772027">
        <w:rPr>
          <w:sz w:val="26"/>
          <w:szCs w:val="26"/>
          <w:lang w:eastAsia="ar-SA"/>
        </w:rPr>
        <w:t>— повышение эффективности использования застроенных территорий вместо интенсивного освоения свободных территорий;</w:t>
      </w:r>
    </w:p>
    <w:p w:rsidR="00E618FE" w:rsidRPr="00772027" w:rsidRDefault="00800098">
      <w:pPr>
        <w:ind w:firstLine="700"/>
        <w:jc w:val="both"/>
        <w:rPr>
          <w:sz w:val="26"/>
          <w:szCs w:val="26"/>
          <w:lang w:eastAsia="ar-SA"/>
        </w:rPr>
      </w:pPr>
      <w:r w:rsidRPr="00772027">
        <w:rPr>
          <w:sz w:val="26"/>
          <w:szCs w:val="26"/>
          <w:lang w:eastAsia="ar-SA"/>
        </w:rPr>
        <w:t>— вовлечение неэффективно используемых городских/сельских объектов/площадок, в том числе объектов культурного наследия/исторически</w:t>
      </w:r>
      <w:r w:rsidR="00772027">
        <w:rPr>
          <w:sz w:val="26"/>
          <w:szCs w:val="26"/>
          <w:lang w:eastAsia="ar-SA"/>
        </w:rPr>
        <w:t>х кварталов в экономику городов.</w:t>
      </w:r>
      <w:r w:rsidRPr="00772027">
        <w:rPr>
          <w:sz w:val="26"/>
          <w:szCs w:val="26"/>
          <w:lang w:eastAsia="ar-SA"/>
        </w:rPr>
        <w:t xml:space="preserve"> </w:t>
      </w:r>
    </w:p>
    <w:p w:rsidR="00772027" w:rsidRDefault="00772027">
      <w:pPr>
        <w:ind w:firstLine="709"/>
        <w:jc w:val="both"/>
        <w:rPr>
          <w:b/>
          <w:bCs/>
          <w:sz w:val="28"/>
          <w:szCs w:val="28"/>
          <w:lang w:eastAsia="ar-SA"/>
        </w:rPr>
      </w:pPr>
    </w:p>
    <w:p w:rsidR="00E618FE" w:rsidRPr="00535A4B" w:rsidRDefault="00800098">
      <w:pPr>
        <w:ind w:firstLine="709"/>
        <w:jc w:val="both"/>
        <w:rPr>
          <w:b/>
          <w:bCs/>
          <w:sz w:val="28"/>
          <w:szCs w:val="28"/>
          <w:lang w:eastAsia="ar-SA"/>
        </w:rPr>
      </w:pPr>
      <w:r w:rsidRPr="00535A4B">
        <w:rPr>
          <w:b/>
          <w:bCs/>
          <w:sz w:val="28"/>
          <w:szCs w:val="28"/>
          <w:lang w:eastAsia="ar-SA"/>
        </w:rPr>
        <w:t xml:space="preserve">Задача 4.5.3. Обеспечить опережающее развитие инфраструктуры для жизни. </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9"/>
        <w:jc w:val="both"/>
        <w:rPr>
          <w:sz w:val="26"/>
          <w:szCs w:val="26"/>
          <w:lang w:eastAsia="ar-SA"/>
        </w:rPr>
      </w:pPr>
      <w:r w:rsidRPr="00772027">
        <w:rPr>
          <w:sz w:val="26"/>
          <w:szCs w:val="26"/>
          <w:lang w:eastAsia="ar-SA"/>
        </w:rPr>
        <w:t>— создание условий для мобильности населения путем формирования капиллярной транспортной сети, обеспечивающей связность микрорайонов городов, населенных пунктов муниципальных районов;</w:t>
      </w:r>
    </w:p>
    <w:p w:rsidR="00E618FE" w:rsidRPr="00772027" w:rsidRDefault="00800098">
      <w:pPr>
        <w:ind w:firstLine="709"/>
        <w:jc w:val="both"/>
        <w:rPr>
          <w:sz w:val="26"/>
          <w:szCs w:val="26"/>
          <w:lang w:eastAsia="ar-SA"/>
        </w:rPr>
      </w:pPr>
      <w:r w:rsidRPr="00772027">
        <w:rPr>
          <w:sz w:val="26"/>
          <w:szCs w:val="26"/>
          <w:lang w:eastAsia="ar-SA"/>
        </w:rPr>
        <w:t xml:space="preserve">— реконструкция и строительство улично-дорожной инфраструктуры </w:t>
      </w:r>
      <w:r w:rsidR="00772027">
        <w:rPr>
          <w:sz w:val="26"/>
          <w:szCs w:val="26"/>
          <w:lang w:eastAsia="ar-SA"/>
        </w:rPr>
        <w:br/>
      </w:r>
      <w:r w:rsidRPr="00772027">
        <w:rPr>
          <w:sz w:val="26"/>
          <w:szCs w:val="26"/>
          <w:lang w:eastAsia="ar-SA"/>
        </w:rPr>
        <w:t xml:space="preserve">и системы водоотведения; </w:t>
      </w:r>
    </w:p>
    <w:p w:rsidR="00E618FE" w:rsidRPr="00772027" w:rsidRDefault="00800098">
      <w:pPr>
        <w:ind w:firstLine="709"/>
        <w:jc w:val="both"/>
        <w:rPr>
          <w:sz w:val="26"/>
          <w:szCs w:val="26"/>
          <w:lang w:eastAsia="ar-SA"/>
        </w:rPr>
      </w:pPr>
      <w:r w:rsidRPr="00772027">
        <w:rPr>
          <w:sz w:val="26"/>
          <w:szCs w:val="26"/>
          <w:lang w:eastAsia="ar-SA"/>
        </w:rPr>
        <w:t xml:space="preserve">— создание «пространств цивилизации» (зон доступа </w:t>
      </w:r>
      <w:r w:rsidRPr="00772027">
        <w:rPr>
          <w:sz w:val="26"/>
          <w:szCs w:val="26"/>
          <w:lang w:eastAsia="ar-SA"/>
        </w:rPr>
        <w:br/>
        <w:t xml:space="preserve">к инфраструктурным услугам современного уровня) в опорных населенных пунктах. </w:t>
      </w:r>
    </w:p>
    <w:p w:rsidR="00772027" w:rsidRDefault="00772027">
      <w:pPr>
        <w:ind w:firstLine="709"/>
        <w:jc w:val="both"/>
        <w:rPr>
          <w:b/>
          <w:bCs/>
          <w:sz w:val="28"/>
          <w:szCs w:val="28"/>
          <w:lang w:eastAsia="ar-SA"/>
        </w:rPr>
      </w:pPr>
    </w:p>
    <w:p w:rsidR="00E618FE" w:rsidRPr="00535A4B" w:rsidRDefault="00800098">
      <w:pPr>
        <w:ind w:firstLine="709"/>
        <w:jc w:val="both"/>
        <w:rPr>
          <w:b/>
          <w:bCs/>
          <w:sz w:val="28"/>
          <w:szCs w:val="28"/>
          <w:lang w:eastAsia="ar-SA"/>
        </w:rPr>
      </w:pPr>
      <w:r w:rsidRPr="00535A4B">
        <w:rPr>
          <w:b/>
          <w:bCs/>
          <w:sz w:val="28"/>
          <w:szCs w:val="28"/>
          <w:lang w:eastAsia="ar-SA"/>
        </w:rPr>
        <w:t xml:space="preserve">Задача 4.5.4. Актуализировать и соблюдать регламенты в сфере градоустройства, сохраняя идентичность территории в балансе </w:t>
      </w:r>
      <w:r w:rsidRPr="00535A4B">
        <w:rPr>
          <w:b/>
          <w:bCs/>
          <w:sz w:val="28"/>
          <w:szCs w:val="28"/>
          <w:lang w:eastAsia="ar-SA"/>
        </w:rPr>
        <w:br/>
        <w:t xml:space="preserve">с современными подходами к организации пространства для жизни. </w:t>
      </w:r>
    </w:p>
    <w:p w:rsidR="00E618FE" w:rsidRPr="00772027" w:rsidRDefault="00800098">
      <w:pPr>
        <w:ind w:firstLine="709"/>
        <w:jc w:val="both"/>
        <w:rPr>
          <w:sz w:val="26"/>
          <w:szCs w:val="26"/>
          <w:lang w:eastAsia="ar-SA"/>
        </w:rPr>
      </w:pPr>
      <w:r w:rsidRPr="00772027">
        <w:rPr>
          <w:sz w:val="26"/>
          <w:szCs w:val="26"/>
          <w:lang w:eastAsia="ar-SA"/>
        </w:rPr>
        <w:t>Ключевые направления и механизмы реализации:</w:t>
      </w:r>
    </w:p>
    <w:p w:rsidR="00E618FE" w:rsidRPr="00772027" w:rsidRDefault="00800098">
      <w:pPr>
        <w:ind w:firstLine="709"/>
        <w:jc w:val="both"/>
        <w:rPr>
          <w:sz w:val="26"/>
          <w:szCs w:val="26"/>
        </w:rPr>
      </w:pPr>
      <w:r w:rsidRPr="00772027">
        <w:rPr>
          <w:rFonts w:eastAsia="PT Astra Serif"/>
          <w:sz w:val="26"/>
          <w:szCs w:val="26"/>
          <w:lang w:eastAsia="ar-SA"/>
        </w:rPr>
        <w:t>— создание комфортных районов, приспособленных для разного образа жизни: семей с детьми, творческой молодежи, старшего поколения;</w:t>
      </w:r>
    </w:p>
    <w:p w:rsidR="00E618FE" w:rsidRPr="00772027" w:rsidRDefault="00800098">
      <w:pPr>
        <w:ind w:firstLine="709"/>
        <w:jc w:val="both"/>
        <w:rPr>
          <w:sz w:val="26"/>
          <w:szCs w:val="26"/>
        </w:rPr>
      </w:pPr>
      <w:r w:rsidRPr="00772027">
        <w:rPr>
          <w:rFonts w:eastAsia="PT Astra Serif"/>
          <w:sz w:val="26"/>
          <w:szCs w:val="26"/>
          <w:lang w:eastAsia="ar-SA"/>
        </w:rPr>
        <w:lastRenderedPageBreak/>
        <w:t>— формирование современной среды в сложившейся планировочной структуре городов и сел с использованием исторических градостроительных приемов организации пространства;</w:t>
      </w:r>
    </w:p>
    <w:p w:rsidR="00E618FE" w:rsidRPr="00772027" w:rsidRDefault="00800098">
      <w:pPr>
        <w:ind w:firstLine="709"/>
        <w:jc w:val="both"/>
        <w:rPr>
          <w:sz w:val="26"/>
          <w:szCs w:val="26"/>
        </w:rPr>
      </w:pPr>
      <w:r w:rsidRPr="00772027">
        <w:rPr>
          <w:rFonts w:eastAsia="PT Astra Serif"/>
          <w:sz w:val="26"/>
          <w:szCs w:val="26"/>
          <w:lang w:eastAsia="ar-SA"/>
        </w:rPr>
        <w:t xml:space="preserve">— интеграция водно-зеленого каркаса (больших и малых водных объектов) </w:t>
      </w:r>
      <w:r w:rsidR="00772027">
        <w:rPr>
          <w:rFonts w:eastAsia="PT Astra Serif"/>
          <w:sz w:val="26"/>
          <w:szCs w:val="26"/>
          <w:lang w:eastAsia="ar-SA"/>
        </w:rPr>
        <w:br/>
      </w:r>
      <w:r w:rsidRPr="00772027">
        <w:rPr>
          <w:rFonts w:eastAsia="PT Astra Serif"/>
          <w:sz w:val="26"/>
          <w:szCs w:val="26"/>
          <w:lang w:eastAsia="ar-SA"/>
        </w:rPr>
        <w:t>в инфраструктуру для жизни;</w:t>
      </w:r>
    </w:p>
    <w:p w:rsidR="00E618FE" w:rsidRPr="00772027" w:rsidRDefault="00800098">
      <w:pPr>
        <w:ind w:firstLine="709"/>
        <w:jc w:val="both"/>
        <w:rPr>
          <w:rFonts w:eastAsia="PT Astra Serif"/>
          <w:sz w:val="26"/>
          <w:szCs w:val="26"/>
          <w:lang w:eastAsia="ar-SA"/>
        </w:rPr>
      </w:pPr>
      <w:r w:rsidRPr="00772027">
        <w:rPr>
          <w:rFonts w:eastAsia="PT Astra Serif"/>
          <w:sz w:val="26"/>
          <w:szCs w:val="26"/>
          <w:lang w:eastAsia="ar-SA"/>
        </w:rPr>
        <w:t>— адаптация регламентов исторического поселения, обеспечивающая соблюдение баланса между сохранением аутентичности и созданием комфортной, функциональной среды:</w:t>
      </w:r>
    </w:p>
    <w:p w:rsidR="00E618FE" w:rsidRPr="00772027" w:rsidRDefault="00772027" w:rsidP="00772027">
      <w:pPr>
        <w:ind w:firstLine="709"/>
        <w:jc w:val="both"/>
        <w:rPr>
          <w:rFonts w:eastAsia="PT Astra Serif"/>
          <w:sz w:val="26"/>
          <w:szCs w:val="26"/>
          <w:lang w:eastAsia="ar-SA"/>
        </w:rPr>
      </w:pPr>
      <w:r>
        <w:rPr>
          <w:rFonts w:eastAsia="PT Astra Serif"/>
          <w:sz w:val="26"/>
          <w:szCs w:val="26"/>
          <w:lang w:eastAsia="ar-SA"/>
        </w:rPr>
        <w:t>— гибкое зонирование –</w:t>
      </w:r>
      <w:r w:rsidR="00800098" w:rsidRPr="00772027">
        <w:rPr>
          <w:rFonts w:eastAsia="PT Astra Serif"/>
          <w:sz w:val="26"/>
          <w:szCs w:val="26"/>
          <w:lang w:eastAsia="ar-SA"/>
        </w:rPr>
        <w:t xml:space="preserve"> замена жестких ограничений </w:t>
      </w:r>
      <w:r>
        <w:rPr>
          <w:rFonts w:eastAsia="PT Astra Serif"/>
          <w:sz w:val="26"/>
          <w:szCs w:val="26"/>
          <w:lang w:eastAsia="ar-SA"/>
        </w:rPr>
        <w:br/>
      </w:r>
      <w:r w:rsidR="00800098" w:rsidRPr="00772027">
        <w:rPr>
          <w:rFonts w:eastAsia="PT Astra Serif"/>
          <w:sz w:val="26"/>
          <w:szCs w:val="26"/>
          <w:lang w:eastAsia="ar-SA"/>
        </w:rPr>
        <w:t>на дифференцированные, позволяющие изменять функцию зданий (например, преобразование промзон в жилые или культурные центры),</w:t>
      </w:r>
    </w:p>
    <w:p w:rsidR="00E618FE" w:rsidRPr="00772027" w:rsidRDefault="00800098">
      <w:pPr>
        <w:ind w:firstLine="709"/>
        <w:jc w:val="both"/>
        <w:rPr>
          <w:sz w:val="26"/>
          <w:szCs w:val="26"/>
        </w:rPr>
      </w:pPr>
      <w:r w:rsidRPr="00772027">
        <w:rPr>
          <w:rFonts w:eastAsia="PT Astra Serif"/>
          <w:sz w:val="26"/>
          <w:szCs w:val="26"/>
          <w:lang w:eastAsia="ar-SA"/>
        </w:rPr>
        <w:t xml:space="preserve">— «мягкая» интеграция нового </w:t>
      </w:r>
      <w:r w:rsidR="00772027">
        <w:rPr>
          <w:rFonts w:eastAsia="PT Astra Serif"/>
          <w:sz w:val="26"/>
          <w:szCs w:val="26"/>
          <w:lang w:eastAsia="ar-SA"/>
        </w:rPr>
        <w:t>–</w:t>
      </w:r>
      <w:r w:rsidRPr="00772027">
        <w:rPr>
          <w:rFonts w:eastAsia="PT Astra Serif"/>
          <w:sz w:val="26"/>
          <w:szCs w:val="26"/>
          <w:lang w:eastAsia="ar-SA"/>
        </w:rPr>
        <w:t xml:space="preserve"> регламенты позволяют строительство новых объектов при условии их стилистического соответствия, но с использованием современных материалов и принципов энергоэффективности.</w:t>
      </w:r>
    </w:p>
    <w:p w:rsidR="00E618FE" w:rsidRPr="00535A4B" w:rsidRDefault="00800098">
      <w:pPr>
        <w:spacing w:after="160" w:line="259" w:lineRule="auto"/>
        <w:rPr>
          <w:b/>
          <w:spacing w:val="24"/>
          <w:sz w:val="28"/>
          <w:szCs w:val="28"/>
          <w:lang w:eastAsia="en-US"/>
        </w:rPr>
      </w:pPr>
      <w:r w:rsidRPr="00535A4B">
        <w:rPr>
          <w:rFonts w:eastAsia="PT Astra Serif"/>
          <w:b/>
          <w:spacing w:val="24"/>
          <w:sz w:val="28"/>
          <w:szCs w:val="28"/>
          <w:lang w:eastAsia="en-US"/>
        </w:rPr>
        <w:br w:type="page" w:clear="all"/>
      </w:r>
      <w:r w:rsidRPr="00535A4B">
        <w:rPr>
          <w:b/>
          <w:spacing w:val="24"/>
          <w:sz w:val="28"/>
          <w:szCs w:val="28"/>
          <w:lang w:eastAsia="en-US"/>
        </w:rPr>
        <w:lastRenderedPageBreak/>
        <w:t>Целевые показатели:</w:t>
      </w:r>
    </w:p>
    <w:p w:rsidR="00E618FE" w:rsidRPr="00772027" w:rsidRDefault="00800098">
      <w:pPr>
        <w:suppressLineNumbers/>
        <w:spacing w:before="180" w:after="120"/>
        <w:jc w:val="both"/>
        <w:outlineLvl w:val="8"/>
        <w:rPr>
          <w:bCs/>
          <w:sz w:val="26"/>
          <w:szCs w:val="26"/>
          <w:lang w:eastAsia="ar-SA" w:bidi="en-US"/>
        </w:rPr>
      </w:pPr>
      <w:r w:rsidRPr="00772027">
        <w:rPr>
          <w:bCs/>
          <w:sz w:val="26"/>
          <w:szCs w:val="26"/>
          <w:lang w:eastAsia="ar-SA" w:bidi="en-US"/>
        </w:rPr>
        <w:t xml:space="preserve">Таблица 12.5. Целевые показатели Стратегического приоритета 4.5. </w:t>
      </w:r>
      <w:r w:rsidRPr="00772027">
        <w:rPr>
          <w:rFonts w:eastAsiaTheme="minorHAnsi"/>
          <w:bCs/>
          <w:sz w:val="26"/>
          <w:szCs w:val="26"/>
          <w:lang w:eastAsia="ar-SA" w:bidi="en-US"/>
        </w:rPr>
        <w:t>«Развитие комфортной среды жизнедеятельности в населенных пунктах Томской области»</w:t>
      </w:r>
    </w:p>
    <w:tbl>
      <w:tblPr>
        <w:tblStyle w:val="-141"/>
        <w:tblW w:w="9460" w:type="dxa"/>
        <w:tblLayout w:type="fixed"/>
        <w:tblLook w:val="04A0" w:firstRow="1" w:lastRow="0" w:firstColumn="1" w:lastColumn="0" w:noHBand="0" w:noVBand="1"/>
      </w:tblPr>
      <w:tblGrid>
        <w:gridCol w:w="5524"/>
        <w:gridCol w:w="1417"/>
        <w:gridCol w:w="138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41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3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Качество среды для жизни в опорных населенных пунктах, %</w:t>
            </w:r>
          </w:p>
        </w:tc>
        <w:tc>
          <w:tcPr>
            <w:tcW w:w="141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22,29</w:t>
            </w:r>
          </w:p>
        </w:tc>
        <w:tc>
          <w:tcPr>
            <w:tcW w:w="138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30,23</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60,00</w:t>
            </w:r>
          </w:p>
        </w:tc>
      </w:tr>
    </w:tbl>
    <w:p w:rsidR="00E618FE" w:rsidRPr="00535A4B" w:rsidRDefault="00E618FE">
      <w:pPr>
        <w:ind w:firstLine="709"/>
        <w:jc w:val="both"/>
        <w:rPr>
          <w:sz w:val="28"/>
          <w:szCs w:val="28"/>
          <w:lang w:eastAsia="ar-SA"/>
        </w:rPr>
      </w:pPr>
    </w:p>
    <w:p w:rsidR="00E618FE" w:rsidRPr="00535A4B" w:rsidRDefault="00800098">
      <w:pPr>
        <w:keepNext/>
        <w:keepLines/>
        <w:ind w:firstLine="709"/>
        <w:jc w:val="both"/>
        <w:outlineLvl w:val="1"/>
        <w:rPr>
          <w:rFonts w:eastAsiaTheme="majorEastAsia"/>
          <w:b/>
          <w:bCs/>
          <w:sz w:val="28"/>
          <w:szCs w:val="26"/>
          <w:lang w:eastAsia="en-US" w:bidi="en-US"/>
        </w:rPr>
      </w:pPr>
      <w:bookmarkStart w:id="183" w:name="_Toc229484490"/>
      <w:bookmarkStart w:id="184" w:name="_Toc229962284"/>
      <w:bookmarkStart w:id="185" w:name="_Toc235810165"/>
      <w:bookmarkStart w:id="186" w:name="_Toc238554553"/>
      <w:r w:rsidRPr="00535A4B">
        <w:rPr>
          <w:rFonts w:eastAsiaTheme="majorEastAsia"/>
          <w:b/>
          <w:bCs/>
          <w:sz w:val="28"/>
          <w:szCs w:val="26"/>
          <w:lang w:eastAsia="en-US" w:bidi="en-US"/>
        </w:rPr>
        <w:t>Стратегический приоритет 4.6. «Обеспечение безопасности жизнедеятельности»</w:t>
      </w:r>
      <w:bookmarkEnd w:id="183"/>
      <w:bookmarkEnd w:id="184"/>
      <w:bookmarkEnd w:id="185"/>
      <w:bookmarkEnd w:id="186"/>
      <w:r w:rsidRPr="00535A4B">
        <w:rPr>
          <w:rFonts w:eastAsiaTheme="majorEastAsia"/>
          <w:b/>
          <w:bCs/>
          <w:sz w:val="28"/>
          <w:szCs w:val="26"/>
          <w:lang w:eastAsia="en-US" w:bidi="en-US"/>
        </w:rPr>
        <w:t xml:space="preserve"> </w:t>
      </w:r>
    </w:p>
    <w:p w:rsidR="00E618FE" w:rsidRPr="00535A4B" w:rsidRDefault="00E618FE">
      <w:pPr>
        <w:ind w:firstLine="709"/>
        <w:jc w:val="both"/>
        <w:rPr>
          <w:sz w:val="28"/>
          <w:szCs w:val="28"/>
          <w:lang w:eastAsia="ar-SA"/>
        </w:rPr>
      </w:pPr>
    </w:p>
    <w:p w:rsidR="00E618FE" w:rsidRPr="00772027" w:rsidRDefault="00800098">
      <w:pPr>
        <w:ind w:firstLine="709"/>
        <w:jc w:val="both"/>
        <w:rPr>
          <w:sz w:val="26"/>
          <w:szCs w:val="26"/>
          <w:lang w:eastAsia="ar-SA"/>
        </w:rPr>
      </w:pPr>
      <w:r w:rsidRPr="00772027">
        <w:rPr>
          <w:sz w:val="26"/>
          <w:szCs w:val="26"/>
          <w:lang w:eastAsia="ar-SA"/>
        </w:rPr>
        <w:t xml:space="preserve">В Томской области вопросам обеспечения общественной безопасности </w:t>
      </w:r>
      <w:r w:rsidR="00772027">
        <w:rPr>
          <w:sz w:val="26"/>
          <w:szCs w:val="26"/>
          <w:lang w:eastAsia="ar-SA"/>
        </w:rPr>
        <w:br/>
      </w:r>
      <w:r w:rsidRPr="00772027">
        <w:rPr>
          <w:sz w:val="26"/>
          <w:szCs w:val="26"/>
          <w:lang w:eastAsia="ar-SA"/>
        </w:rPr>
        <w:t>и охраны правопорядка уделяется большое внимание. Проводятся оперативно-профилактические мероприятия, направленные на формирование законопослушного поведения граждан, оказывается содействие семьям, оказавшимся в трудной жизненной ситуации или в социально опасном положении (в том числе вследствие угрозы насилия или жестокого обращения, пострадавших от насилия и пр.).</w:t>
      </w:r>
    </w:p>
    <w:p w:rsidR="00E618FE" w:rsidRPr="00772027" w:rsidRDefault="00800098">
      <w:pPr>
        <w:ind w:firstLine="709"/>
        <w:jc w:val="both"/>
        <w:rPr>
          <w:sz w:val="26"/>
          <w:szCs w:val="26"/>
          <w:lang w:eastAsia="ar-SA"/>
        </w:rPr>
      </w:pPr>
      <w:r w:rsidRPr="00772027">
        <w:rPr>
          <w:sz w:val="26"/>
          <w:szCs w:val="26"/>
          <w:lang w:eastAsia="ar-SA"/>
        </w:rPr>
        <w:t xml:space="preserve">Одним из важнейших направлений деятельности по обеспечению безопасности является снижение уровня преступности. Особого внимания требует работа по сокращению количества тяжких и особо тяжких преступлений, в том числе убийств, а также преступлений, связанных с незаконным оборотом наркотиков. Значительные усилия необходимо прилагать к снижению киберпреступности. Необходимо закрепить положительные тенденции снижения числа случаев умышленного причинения тяжкого вреда здоровью, краж, грабежей, разбойных нападений, поджогов, вымогательств, незаконных рубок леса. Положительные результаты требуется сохранить и в сфере безопасности дорожного движения. </w:t>
      </w:r>
      <w:r w:rsidR="00772027">
        <w:rPr>
          <w:sz w:val="26"/>
          <w:szCs w:val="26"/>
          <w:lang w:eastAsia="ar-SA"/>
        </w:rPr>
        <w:br/>
      </w:r>
      <w:r w:rsidRPr="00772027">
        <w:rPr>
          <w:sz w:val="26"/>
          <w:szCs w:val="26"/>
          <w:lang w:eastAsia="ar-SA"/>
        </w:rPr>
        <w:t xml:space="preserve">В Томской области один из самых низких в России уровней аварийности </w:t>
      </w:r>
      <w:r w:rsidR="00772027">
        <w:rPr>
          <w:sz w:val="26"/>
          <w:szCs w:val="26"/>
          <w:lang w:eastAsia="ar-SA"/>
        </w:rPr>
        <w:br/>
      </w:r>
      <w:r w:rsidRPr="00772027">
        <w:rPr>
          <w:sz w:val="26"/>
          <w:szCs w:val="26"/>
          <w:lang w:eastAsia="ar-SA"/>
        </w:rPr>
        <w:t xml:space="preserve">на автомобильных дорогах. Число погибших в ДТП в расчете </w:t>
      </w:r>
      <w:r w:rsidRPr="00772027">
        <w:rPr>
          <w:sz w:val="26"/>
          <w:szCs w:val="26"/>
          <w:lang w:eastAsia="ar-SA"/>
        </w:rPr>
        <w:br/>
        <w:t xml:space="preserve">на 100 тыс. человек населения значительно ниже, чем в среднем по России </w:t>
      </w:r>
      <w:r w:rsidRPr="00772027">
        <w:rPr>
          <w:sz w:val="26"/>
          <w:szCs w:val="26"/>
          <w:lang w:eastAsia="ar-SA"/>
        </w:rPr>
        <w:br/>
        <w:t>и по Сибирском федеральному округу.</w:t>
      </w:r>
    </w:p>
    <w:p w:rsidR="00E618FE" w:rsidRPr="00772027" w:rsidRDefault="00800098">
      <w:pPr>
        <w:ind w:firstLine="709"/>
        <w:jc w:val="both"/>
        <w:rPr>
          <w:sz w:val="26"/>
          <w:szCs w:val="26"/>
          <w:lang w:eastAsia="ar-SA"/>
        </w:rPr>
      </w:pPr>
      <w:r w:rsidRPr="00772027">
        <w:rPr>
          <w:sz w:val="26"/>
          <w:szCs w:val="26"/>
          <w:lang w:eastAsia="ar-SA"/>
        </w:rPr>
        <w:t xml:space="preserve">Для улучшения ситуации с общественной безопасностью необходимы: усиление работы по профилактике преступности, расширение масштабов использования современных высокотехнологичных средств (системы видеонаблюдения, в том числе с технологией распознавания лиц, охранных сигнализаций и пр.), более широкое вовлечение в работу по обеспечению безопасности гражданских активистов, общественных организаций </w:t>
      </w:r>
      <w:r w:rsidRPr="00772027">
        <w:rPr>
          <w:sz w:val="26"/>
          <w:szCs w:val="26"/>
          <w:lang w:eastAsia="ar-SA"/>
        </w:rPr>
        <w:br/>
        <w:t xml:space="preserve">и объединений (в том числе в рамках народных дружин). </w:t>
      </w:r>
    </w:p>
    <w:p w:rsidR="00E618FE" w:rsidRPr="00772027" w:rsidRDefault="00800098">
      <w:pPr>
        <w:ind w:firstLine="709"/>
        <w:jc w:val="both"/>
        <w:rPr>
          <w:sz w:val="26"/>
          <w:szCs w:val="26"/>
          <w:lang w:eastAsia="ar-SA"/>
        </w:rPr>
      </w:pPr>
      <w:r w:rsidRPr="00772027">
        <w:rPr>
          <w:sz w:val="26"/>
          <w:szCs w:val="26"/>
          <w:lang w:eastAsia="ar-SA"/>
        </w:rPr>
        <w:t>Стратегический приоритет направлен на формирование высокого уровня с</w:t>
      </w:r>
      <w:r w:rsidRPr="00772027">
        <w:rPr>
          <w:sz w:val="26"/>
          <w:szCs w:val="26"/>
        </w:rPr>
        <w:t xml:space="preserve">остояния защищенности жизненно важных интересов личности, общества </w:t>
      </w:r>
      <w:r w:rsidR="00772027">
        <w:rPr>
          <w:sz w:val="26"/>
          <w:szCs w:val="26"/>
        </w:rPr>
        <w:br/>
      </w:r>
      <w:r w:rsidRPr="00772027">
        <w:rPr>
          <w:sz w:val="26"/>
          <w:szCs w:val="26"/>
        </w:rPr>
        <w:t xml:space="preserve">и государства от внутренних и внешних угроз. В отношении личности должна обеспечиваться защищенность ее прав и свобод. В отношении общества </w:t>
      </w:r>
      <w:r w:rsidR="00772027">
        <w:rPr>
          <w:sz w:val="26"/>
          <w:szCs w:val="26"/>
        </w:rPr>
        <w:t>–</w:t>
      </w:r>
      <w:r w:rsidRPr="00772027">
        <w:rPr>
          <w:sz w:val="26"/>
          <w:szCs w:val="26"/>
        </w:rPr>
        <w:t xml:space="preserve"> защищенность его материальных и духовных ценн</w:t>
      </w:r>
      <w:r w:rsidR="00772027">
        <w:rPr>
          <w:sz w:val="26"/>
          <w:szCs w:val="26"/>
        </w:rPr>
        <w:t xml:space="preserve">остей. В отношении </w:t>
      </w:r>
      <w:r w:rsidR="00772027">
        <w:rPr>
          <w:sz w:val="26"/>
          <w:szCs w:val="26"/>
        </w:rPr>
        <w:br/>
        <w:t>государства –</w:t>
      </w:r>
      <w:r w:rsidRPr="00772027">
        <w:rPr>
          <w:sz w:val="26"/>
          <w:szCs w:val="26"/>
        </w:rPr>
        <w:t xml:space="preserve"> защита его конституционного строя, суверенитета и территориальной целостности. К 2036 году планируется достичь существенного повышения уровня безопасности и обеспечить вхождение Томской области в число наиболее безопасных регионов России</w:t>
      </w:r>
      <w:r w:rsidRPr="00772027">
        <w:rPr>
          <w:sz w:val="26"/>
          <w:szCs w:val="26"/>
          <w:lang w:eastAsia="ar-SA"/>
        </w:rPr>
        <w:t>.</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lastRenderedPageBreak/>
        <w:t>Задачи:</w:t>
      </w:r>
    </w:p>
    <w:p w:rsidR="00E618FE" w:rsidRPr="00535A4B" w:rsidRDefault="00800098">
      <w:pPr>
        <w:ind w:firstLine="709"/>
        <w:jc w:val="both"/>
        <w:rPr>
          <w:bCs/>
          <w:sz w:val="28"/>
          <w:szCs w:val="28"/>
          <w:lang w:eastAsia="ar-SA"/>
        </w:rPr>
      </w:pPr>
      <w:bookmarkStart w:id="187" w:name="_Hlk235400542"/>
      <w:r w:rsidRPr="00535A4B">
        <w:rPr>
          <w:b/>
          <w:sz w:val="28"/>
          <w:szCs w:val="28"/>
          <w:lang w:eastAsia="ar-SA"/>
        </w:rPr>
        <w:t>Задача 4.6.1. Снизить уровень преступности (снизить число зарегистрированных преступлений на территории Томской области).</w:t>
      </w:r>
      <w:r w:rsidRPr="00535A4B">
        <w:rPr>
          <w:bCs/>
          <w:sz w:val="28"/>
          <w:szCs w:val="28"/>
          <w:lang w:eastAsia="ar-SA"/>
        </w:rPr>
        <w:t xml:space="preserve"> </w:t>
      </w:r>
    </w:p>
    <w:p w:rsidR="00E618FE" w:rsidRPr="00772027" w:rsidRDefault="00800098">
      <w:pPr>
        <w:ind w:firstLine="709"/>
        <w:jc w:val="both"/>
        <w:rPr>
          <w:b/>
          <w:sz w:val="26"/>
          <w:szCs w:val="26"/>
          <w:lang w:eastAsia="ar-SA"/>
        </w:rPr>
      </w:pPr>
      <w:r w:rsidRPr="00772027">
        <w:rPr>
          <w:sz w:val="26"/>
          <w:szCs w:val="26"/>
          <w:lang w:eastAsia="ar-SA"/>
        </w:rPr>
        <w:t xml:space="preserve">Ключевые направления и механизмы реализации: </w:t>
      </w:r>
    </w:p>
    <w:p w:rsidR="00E618FE" w:rsidRPr="00772027" w:rsidRDefault="00800098">
      <w:pPr>
        <w:ind w:firstLine="709"/>
        <w:jc w:val="both"/>
        <w:rPr>
          <w:bCs/>
          <w:sz w:val="26"/>
          <w:szCs w:val="26"/>
          <w:lang w:eastAsia="ar-SA"/>
        </w:rPr>
      </w:pPr>
      <w:r w:rsidRPr="00772027">
        <w:rPr>
          <w:bCs/>
          <w:sz w:val="26"/>
          <w:szCs w:val="26"/>
          <w:lang w:eastAsia="ar-SA"/>
        </w:rPr>
        <w:t>—</w:t>
      </w:r>
      <w:r w:rsidRPr="00772027">
        <w:rPr>
          <w:b/>
          <w:sz w:val="26"/>
          <w:szCs w:val="26"/>
          <w:lang w:eastAsia="ar-SA"/>
        </w:rPr>
        <w:t> </w:t>
      </w:r>
      <w:r w:rsidRPr="00772027">
        <w:rPr>
          <w:bCs/>
          <w:sz w:val="26"/>
          <w:szCs w:val="26"/>
          <w:lang w:eastAsia="ar-SA"/>
        </w:rPr>
        <w:t>укрепление законности и правопорядка, противодействие экстремистской деятельности и терроризму;</w:t>
      </w:r>
    </w:p>
    <w:p w:rsidR="00E618FE" w:rsidRPr="00772027" w:rsidRDefault="00800098">
      <w:pPr>
        <w:ind w:firstLine="709"/>
        <w:jc w:val="both"/>
        <w:rPr>
          <w:bCs/>
          <w:sz w:val="26"/>
          <w:szCs w:val="26"/>
          <w:lang w:eastAsia="ar-SA"/>
        </w:rPr>
      </w:pPr>
      <w:r w:rsidRPr="00772027">
        <w:rPr>
          <w:bCs/>
          <w:sz w:val="26"/>
          <w:szCs w:val="26"/>
          <w:lang w:eastAsia="ar-SA"/>
        </w:rPr>
        <w:t>— профилактика правонарушений, совершенствование правового сознания (правосознания) и правовой культуры населения, в том числе на основе правового воспитания и просвещения, содействие в оказании гражданам бесплатной юридической помощи;</w:t>
      </w:r>
    </w:p>
    <w:p w:rsidR="00E618FE" w:rsidRPr="00772027" w:rsidRDefault="00800098">
      <w:pPr>
        <w:ind w:firstLine="709"/>
        <w:jc w:val="both"/>
        <w:rPr>
          <w:sz w:val="26"/>
          <w:szCs w:val="26"/>
        </w:rPr>
      </w:pPr>
      <w:r w:rsidRPr="00772027">
        <w:rPr>
          <w:bCs/>
          <w:sz w:val="26"/>
          <w:szCs w:val="26"/>
          <w:lang w:eastAsia="ar-SA"/>
        </w:rPr>
        <w:t xml:space="preserve">— профилактика преступности, в том числе преступлений несовершеннолетних, преступлений, совершаемых </w:t>
      </w:r>
      <w:r w:rsidRPr="00772027">
        <w:rPr>
          <w:sz w:val="26"/>
          <w:szCs w:val="26"/>
        </w:rPr>
        <w:t xml:space="preserve">гражданами, находящимися </w:t>
      </w:r>
      <w:r w:rsidR="00772027">
        <w:rPr>
          <w:sz w:val="26"/>
          <w:szCs w:val="26"/>
        </w:rPr>
        <w:br/>
      </w:r>
      <w:r w:rsidRPr="00772027">
        <w:rPr>
          <w:sz w:val="26"/>
          <w:szCs w:val="26"/>
        </w:rPr>
        <w:t xml:space="preserve">в состоянии алкогольного опьянения, рецидивной преступности (индивидуальная работа с гражданами, входящими в группы риска, укрепление административного </w:t>
      </w:r>
      <w:r w:rsidR="00772027">
        <w:rPr>
          <w:sz w:val="26"/>
          <w:szCs w:val="26"/>
        </w:rPr>
        <w:br/>
      </w:r>
      <w:r w:rsidRPr="00772027">
        <w:rPr>
          <w:sz w:val="26"/>
          <w:szCs w:val="26"/>
        </w:rPr>
        <w:t>и социального контроля, выявление административных правонарушений в ходе обеспечения общественного порядка, принятие мер социального характера, включая пропаганду здорового образа жизни и пр.);</w:t>
      </w:r>
    </w:p>
    <w:p w:rsidR="00E618FE" w:rsidRPr="00772027" w:rsidRDefault="00800098">
      <w:pPr>
        <w:ind w:firstLine="709"/>
        <w:jc w:val="both"/>
        <w:rPr>
          <w:bCs/>
          <w:sz w:val="26"/>
          <w:szCs w:val="26"/>
          <w:lang w:eastAsia="ar-SA"/>
        </w:rPr>
      </w:pPr>
      <w:r w:rsidRPr="00772027">
        <w:rPr>
          <w:bCs/>
          <w:sz w:val="26"/>
          <w:szCs w:val="26"/>
          <w:lang w:eastAsia="ar-SA"/>
        </w:rPr>
        <w:t>— расширение масштабов использования современных технологий, в том числе информационно-коммуникационных технологий, обеспечивающих профилактику, пресечение и раскрытие преступлений (АПК «Безопасный город», система обеспечения вызова экстренных оперативных служб по единому номеру «112» и пр.);</w:t>
      </w:r>
    </w:p>
    <w:p w:rsidR="00E618FE" w:rsidRPr="00772027" w:rsidRDefault="00800098">
      <w:pPr>
        <w:ind w:firstLine="709"/>
        <w:jc w:val="both"/>
        <w:rPr>
          <w:bCs/>
          <w:sz w:val="26"/>
          <w:szCs w:val="26"/>
          <w:lang w:eastAsia="ar-SA"/>
        </w:rPr>
      </w:pPr>
      <w:r w:rsidRPr="00772027">
        <w:rPr>
          <w:bCs/>
          <w:sz w:val="26"/>
          <w:szCs w:val="26"/>
          <w:lang w:eastAsia="ar-SA"/>
        </w:rPr>
        <w:t>— </w:t>
      </w:r>
      <w:r w:rsidRPr="00772027">
        <w:rPr>
          <w:sz w:val="26"/>
          <w:szCs w:val="26"/>
        </w:rPr>
        <w:t xml:space="preserve">внедрение нейросетевых технологий верификации лиц, включая </w:t>
      </w:r>
      <w:r w:rsidR="00772027">
        <w:rPr>
          <w:sz w:val="26"/>
          <w:szCs w:val="26"/>
        </w:rPr>
        <w:br/>
      </w:r>
      <w:r w:rsidRPr="00772027">
        <w:rPr>
          <w:sz w:val="26"/>
          <w:szCs w:val="26"/>
        </w:rPr>
        <w:t>их интеграцию с АПК «Безопасный город», создание центров мониторинга видеоаналитики для повышения эффективности реагирования органов внутренних дел;</w:t>
      </w:r>
    </w:p>
    <w:p w:rsidR="00E618FE" w:rsidRPr="00772027" w:rsidRDefault="00800098">
      <w:pPr>
        <w:pStyle w:val="a4"/>
        <w:rPr>
          <w:rFonts w:ascii="Times New Roman" w:hAnsi="Times New Roman"/>
          <w:color w:val="auto"/>
          <w:sz w:val="26"/>
          <w:szCs w:val="26"/>
        </w:rPr>
      </w:pPr>
      <w:bookmarkStart w:id="188" w:name="_Hlk231303884"/>
      <w:r w:rsidRPr="00772027">
        <w:rPr>
          <w:rFonts w:ascii="Times New Roman" w:hAnsi="Times New Roman"/>
          <w:bCs/>
          <w:color w:val="auto"/>
          <w:sz w:val="26"/>
          <w:szCs w:val="26"/>
        </w:rPr>
        <w:t>— о</w:t>
      </w:r>
      <w:r w:rsidRPr="00772027">
        <w:rPr>
          <w:rFonts w:ascii="Times New Roman" w:hAnsi="Times New Roman"/>
          <w:color w:val="auto"/>
          <w:sz w:val="26"/>
          <w:szCs w:val="26"/>
        </w:rPr>
        <w:t xml:space="preserve">беспечение межведомственного взаимодействия органов государственной власти, органов местного самоуправления, институтов гражданского общества, организаций и физических лиц в пределах их полномочий в сфере противодействия киберпреступности (преступлениям, совершаемым </w:t>
      </w:r>
      <w:r w:rsidR="00772027">
        <w:rPr>
          <w:rFonts w:ascii="Times New Roman" w:hAnsi="Times New Roman"/>
          <w:color w:val="auto"/>
          <w:sz w:val="26"/>
          <w:szCs w:val="26"/>
        </w:rPr>
        <w:br/>
      </w:r>
      <w:r w:rsidRPr="00772027">
        <w:rPr>
          <w:rFonts w:ascii="Times New Roman" w:hAnsi="Times New Roman"/>
          <w:color w:val="auto"/>
          <w:sz w:val="26"/>
          <w:szCs w:val="26"/>
        </w:rPr>
        <w:t xml:space="preserve">с использованием информационно-коммуникационных технологий), в том числе </w:t>
      </w:r>
      <w:r w:rsidR="00772027">
        <w:rPr>
          <w:rFonts w:ascii="Times New Roman" w:hAnsi="Times New Roman"/>
          <w:color w:val="auto"/>
          <w:sz w:val="26"/>
          <w:szCs w:val="26"/>
        </w:rPr>
        <w:br/>
      </w:r>
      <w:r w:rsidRPr="00772027">
        <w:rPr>
          <w:rFonts w:ascii="Times New Roman" w:hAnsi="Times New Roman"/>
          <w:color w:val="auto"/>
          <w:sz w:val="26"/>
          <w:szCs w:val="26"/>
        </w:rPr>
        <w:t>по вопросам совершенствования правовой базы, повышения уровня защиты персональных данных от неправомерного доступа, безопасности предоставления банковских и иных финансовых услуг в электронной форме, повышения уровня финансовой культуры и грамотности граждан;</w:t>
      </w:r>
      <w:bookmarkEnd w:id="188"/>
    </w:p>
    <w:p w:rsidR="00E618FE" w:rsidRPr="00772027" w:rsidRDefault="00800098">
      <w:pPr>
        <w:ind w:firstLine="709"/>
        <w:jc w:val="both"/>
        <w:rPr>
          <w:bCs/>
          <w:sz w:val="26"/>
          <w:szCs w:val="26"/>
          <w:lang w:eastAsia="ar-SA"/>
        </w:rPr>
      </w:pPr>
      <w:r w:rsidRPr="00772027">
        <w:rPr>
          <w:bCs/>
          <w:sz w:val="26"/>
          <w:szCs w:val="26"/>
          <w:lang w:eastAsia="ar-SA"/>
        </w:rPr>
        <w:t>— привлечение граждан и их объединений, в том числе добровольных народных дружин, волонтерских организаций и казачьих обществ к охране общественного порядка; поддержка развития общественных организаций и иных объединений правоохранительной направленности, антинаркотического движения, общественных антинаркотических объединений и организаций;</w:t>
      </w:r>
    </w:p>
    <w:p w:rsidR="00E618FE" w:rsidRPr="00772027" w:rsidRDefault="00800098">
      <w:pPr>
        <w:ind w:firstLine="709"/>
        <w:jc w:val="both"/>
        <w:rPr>
          <w:bCs/>
          <w:sz w:val="26"/>
          <w:szCs w:val="26"/>
          <w:lang w:eastAsia="ar-SA"/>
        </w:rPr>
      </w:pPr>
      <w:r w:rsidRPr="00772027">
        <w:rPr>
          <w:bCs/>
          <w:sz w:val="26"/>
          <w:szCs w:val="26"/>
          <w:lang w:eastAsia="ar-SA"/>
        </w:rPr>
        <w:t>— создание условий для своевременного и качественного осуществления правосудия в мировых судах;</w:t>
      </w:r>
    </w:p>
    <w:p w:rsidR="00E618FE" w:rsidRPr="00772027" w:rsidRDefault="00800098">
      <w:pPr>
        <w:ind w:firstLine="709"/>
        <w:jc w:val="both"/>
        <w:rPr>
          <w:bCs/>
          <w:sz w:val="26"/>
          <w:szCs w:val="26"/>
          <w:lang w:eastAsia="ar-SA"/>
        </w:rPr>
      </w:pPr>
      <w:r w:rsidRPr="00772027">
        <w:rPr>
          <w:bCs/>
          <w:sz w:val="26"/>
          <w:szCs w:val="26"/>
          <w:lang w:eastAsia="ar-SA"/>
        </w:rPr>
        <w:t>— </w:t>
      </w:r>
      <w:r w:rsidRPr="00772027">
        <w:rPr>
          <w:sz w:val="26"/>
          <w:szCs w:val="26"/>
        </w:rPr>
        <w:t xml:space="preserve">обеспечение безопасности при проведении культурно-зрелищных </w:t>
      </w:r>
      <w:r w:rsidR="00772027">
        <w:rPr>
          <w:sz w:val="26"/>
          <w:szCs w:val="26"/>
        </w:rPr>
        <w:br/>
      </w:r>
      <w:r w:rsidRPr="00772027">
        <w:rPr>
          <w:sz w:val="26"/>
          <w:szCs w:val="26"/>
        </w:rPr>
        <w:t>и массовых спортивных мероприятий;</w:t>
      </w:r>
    </w:p>
    <w:p w:rsidR="00E618FE" w:rsidRPr="00772027" w:rsidRDefault="00800098">
      <w:pPr>
        <w:ind w:firstLine="709"/>
        <w:jc w:val="both"/>
        <w:rPr>
          <w:sz w:val="26"/>
          <w:szCs w:val="26"/>
          <w:lang w:eastAsia="ar-SA"/>
        </w:rPr>
      </w:pPr>
      <w:r w:rsidRPr="00772027">
        <w:rPr>
          <w:bCs/>
          <w:sz w:val="26"/>
          <w:szCs w:val="26"/>
          <w:lang w:eastAsia="ar-SA"/>
        </w:rPr>
        <w:t>— с</w:t>
      </w:r>
      <w:r w:rsidRPr="00772027">
        <w:rPr>
          <w:sz w:val="26"/>
          <w:szCs w:val="26"/>
          <w:lang w:eastAsia="ar-SA"/>
        </w:rPr>
        <w:t xml:space="preserve">оздание регионального сегмента национальной системы комплексной реабилитации и ресоциализации граждан, потребляющих наркотические средства; </w:t>
      </w:r>
      <w:r w:rsidRPr="00772027">
        <w:rPr>
          <w:sz w:val="26"/>
          <w:szCs w:val="26"/>
          <w:lang w:eastAsia="ar-SA"/>
        </w:rPr>
        <w:lastRenderedPageBreak/>
        <w:t>расширение (создание) сети центров реабилитации и адаптации с целью оказания комплексной помощи лицам, освобожденным из пенитенциарных учреждений;</w:t>
      </w:r>
    </w:p>
    <w:p w:rsidR="00E618FE" w:rsidRPr="00772027" w:rsidRDefault="00800098">
      <w:pPr>
        <w:ind w:firstLine="709"/>
        <w:jc w:val="both"/>
        <w:rPr>
          <w:sz w:val="26"/>
          <w:szCs w:val="26"/>
        </w:rPr>
      </w:pPr>
      <w:r w:rsidRPr="00772027">
        <w:rPr>
          <w:bCs/>
          <w:sz w:val="26"/>
          <w:szCs w:val="26"/>
          <w:lang w:eastAsia="ar-SA"/>
        </w:rPr>
        <w:t>— </w:t>
      </w:r>
      <w:r w:rsidRPr="00772027">
        <w:rPr>
          <w:sz w:val="26"/>
          <w:szCs w:val="26"/>
        </w:rPr>
        <w:t>совершенствование работы, направленной на обеспечение безопасности детей, предупреждение противоправных деяний в отношении несовершеннолетних в сфере половой неприкосновенности и половой свободы личности;</w:t>
      </w:r>
    </w:p>
    <w:p w:rsidR="00E618FE" w:rsidRPr="00772027" w:rsidRDefault="00800098">
      <w:pPr>
        <w:ind w:firstLine="709"/>
        <w:jc w:val="both"/>
        <w:rPr>
          <w:sz w:val="26"/>
          <w:szCs w:val="26"/>
        </w:rPr>
      </w:pPr>
      <w:r w:rsidRPr="00772027">
        <w:rPr>
          <w:bCs/>
          <w:sz w:val="26"/>
          <w:szCs w:val="26"/>
          <w:lang w:eastAsia="ar-SA"/>
        </w:rPr>
        <w:t>— </w:t>
      </w:r>
      <w:r w:rsidRPr="00772027">
        <w:rPr>
          <w:sz w:val="26"/>
          <w:szCs w:val="26"/>
        </w:rPr>
        <w:t xml:space="preserve">создание специализированных помещений для опроса несовершеннолетних, ставших жертвами преступлений против половой неприкосновенности («зеленых комнат»), включая подготовку соответствующих специалистов (психологов, педагогов-психологов) в рамках реализации программ повышения квалификации, профессиональной подготовки/переподготовки; </w:t>
      </w:r>
    </w:p>
    <w:p w:rsidR="00E618FE" w:rsidRPr="00772027" w:rsidRDefault="00800098">
      <w:pPr>
        <w:ind w:firstLine="709"/>
        <w:jc w:val="both"/>
        <w:rPr>
          <w:sz w:val="26"/>
          <w:szCs w:val="26"/>
        </w:rPr>
      </w:pPr>
      <w:r w:rsidRPr="00772027">
        <w:rPr>
          <w:bCs/>
          <w:sz w:val="26"/>
          <w:szCs w:val="26"/>
          <w:lang w:eastAsia="ar-SA"/>
        </w:rPr>
        <w:t>— </w:t>
      </w:r>
      <w:r w:rsidRPr="00772027">
        <w:rPr>
          <w:sz w:val="26"/>
          <w:szCs w:val="26"/>
        </w:rPr>
        <w:t xml:space="preserve">оказание комплексной помощи в ресоциализации и социальной адаптации участникам специальной военной операции, в том числе освобожденным </w:t>
      </w:r>
      <w:r w:rsidR="00772027">
        <w:rPr>
          <w:sz w:val="26"/>
          <w:szCs w:val="26"/>
        </w:rPr>
        <w:br/>
      </w:r>
      <w:r w:rsidRPr="00772027">
        <w:rPr>
          <w:sz w:val="26"/>
          <w:szCs w:val="26"/>
        </w:rPr>
        <w:t>от уголовной ответственности.</w:t>
      </w:r>
      <w:bookmarkEnd w:id="187"/>
    </w:p>
    <w:p w:rsidR="00772027" w:rsidRDefault="00772027">
      <w:pPr>
        <w:ind w:firstLine="709"/>
        <w:jc w:val="both"/>
        <w:rPr>
          <w:b/>
          <w:bCs/>
          <w:sz w:val="28"/>
          <w:szCs w:val="28"/>
          <w:lang w:eastAsia="ar-SA"/>
        </w:rPr>
      </w:pPr>
    </w:p>
    <w:p w:rsidR="00E618FE" w:rsidRPr="00535A4B" w:rsidRDefault="00800098">
      <w:pPr>
        <w:ind w:firstLine="709"/>
        <w:jc w:val="both"/>
        <w:rPr>
          <w:b/>
          <w:bCs/>
          <w:sz w:val="28"/>
          <w:szCs w:val="28"/>
          <w:lang w:eastAsia="ar-SA"/>
        </w:rPr>
      </w:pPr>
      <w:r w:rsidRPr="00535A4B">
        <w:rPr>
          <w:b/>
          <w:bCs/>
          <w:sz w:val="28"/>
          <w:szCs w:val="28"/>
          <w:lang w:eastAsia="ar-SA"/>
        </w:rPr>
        <w:t>Задача 4.6.2. Обеспечить высокий уровень безопасности дорожного движения.</w:t>
      </w:r>
    </w:p>
    <w:p w:rsidR="00E618FE" w:rsidRPr="00772027" w:rsidRDefault="00800098">
      <w:pPr>
        <w:ind w:firstLine="709"/>
        <w:jc w:val="both"/>
        <w:rPr>
          <w:b/>
          <w:sz w:val="26"/>
          <w:szCs w:val="26"/>
          <w:lang w:eastAsia="ar-SA"/>
        </w:rPr>
      </w:pPr>
      <w:r w:rsidRPr="00772027">
        <w:rPr>
          <w:sz w:val="26"/>
          <w:szCs w:val="26"/>
          <w:lang w:eastAsia="ar-SA"/>
        </w:rPr>
        <w:t xml:space="preserve">Ключевые направления и механизмы реализации: </w:t>
      </w:r>
    </w:p>
    <w:p w:rsidR="00E618FE" w:rsidRPr="00772027" w:rsidRDefault="00800098">
      <w:pPr>
        <w:ind w:firstLine="709"/>
        <w:jc w:val="both"/>
        <w:rPr>
          <w:bCs/>
          <w:sz w:val="26"/>
          <w:szCs w:val="26"/>
          <w:lang w:eastAsia="ar-SA"/>
        </w:rPr>
      </w:pPr>
      <w:r w:rsidRPr="00772027">
        <w:rPr>
          <w:bCs/>
          <w:sz w:val="26"/>
          <w:szCs w:val="26"/>
          <w:lang w:eastAsia="ar-SA"/>
        </w:rPr>
        <w:t xml:space="preserve">— развитие дорожной инфраструктуры как одного из главных условий повышения безопасности дорожного движения (улучшение качества дорожного покрытия, установка разделительных барьеров, обустройство освещения </w:t>
      </w:r>
      <w:r w:rsidR="00772027">
        <w:rPr>
          <w:bCs/>
          <w:sz w:val="26"/>
          <w:szCs w:val="26"/>
          <w:lang w:eastAsia="ar-SA"/>
        </w:rPr>
        <w:br/>
      </w:r>
      <w:r w:rsidRPr="00772027">
        <w:rPr>
          <w:bCs/>
          <w:sz w:val="26"/>
          <w:szCs w:val="26"/>
          <w:lang w:eastAsia="ar-SA"/>
        </w:rPr>
        <w:t>и регулируемых пешеходных переходов, внедрение интеллектуальных транспортных систем и прочее);</w:t>
      </w:r>
    </w:p>
    <w:p w:rsidR="00E618FE" w:rsidRPr="00772027" w:rsidRDefault="00800098">
      <w:pPr>
        <w:ind w:firstLine="709"/>
        <w:jc w:val="both"/>
        <w:rPr>
          <w:sz w:val="26"/>
          <w:szCs w:val="26"/>
        </w:rPr>
      </w:pPr>
      <w:r w:rsidRPr="00772027">
        <w:rPr>
          <w:bCs/>
          <w:sz w:val="26"/>
          <w:szCs w:val="26"/>
          <w:lang w:eastAsia="ar-SA"/>
        </w:rPr>
        <w:t xml:space="preserve">— совершенствование </w:t>
      </w:r>
      <w:r w:rsidRPr="00772027">
        <w:rPr>
          <w:sz w:val="26"/>
          <w:szCs w:val="26"/>
        </w:rPr>
        <w:t>механизмов координации и взаимодействия органов государственной власти Томской области с другими субъектами системы обеспечения безопасности дорожного движения;</w:t>
      </w:r>
    </w:p>
    <w:p w:rsidR="00E618FE" w:rsidRPr="00772027" w:rsidRDefault="00800098">
      <w:pPr>
        <w:ind w:firstLine="709"/>
        <w:jc w:val="both"/>
        <w:rPr>
          <w:sz w:val="26"/>
          <w:szCs w:val="26"/>
        </w:rPr>
      </w:pPr>
      <w:r w:rsidRPr="00772027">
        <w:rPr>
          <w:bCs/>
          <w:sz w:val="26"/>
          <w:szCs w:val="26"/>
          <w:lang w:eastAsia="ar-SA"/>
        </w:rPr>
        <w:t>— </w:t>
      </w:r>
      <w:r w:rsidRPr="00772027">
        <w:rPr>
          <w:sz w:val="26"/>
          <w:szCs w:val="26"/>
        </w:rPr>
        <w:t xml:space="preserve">обеспечение согласованности государственных и муниципальных программ, проектов, включая их целевые показатели, в сферах правоохранительной деятельности, транспорта, здравоохранения, просвещения, образования, культуры </w:t>
      </w:r>
      <w:r w:rsidR="00772027">
        <w:rPr>
          <w:sz w:val="26"/>
          <w:szCs w:val="26"/>
        </w:rPr>
        <w:br/>
      </w:r>
      <w:r w:rsidRPr="00772027">
        <w:rPr>
          <w:sz w:val="26"/>
          <w:szCs w:val="26"/>
        </w:rPr>
        <w:t>и цифровизации в целях повышения эффективности обеспечения безопасности дорожного движения;</w:t>
      </w:r>
    </w:p>
    <w:p w:rsidR="00E618FE" w:rsidRPr="00772027" w:rsidRDefault="00800098">
      <w:pPr>
        <w:ind w:firstLine="709"/>
        <w:jc w:val="both"/>
        <w:rPr>
          <w:sz w:val="26"/>
          <w:szCs w:val="26"/>
        </w:rPr>
      </w:pPr>
      <w:r w:rsidRPr="00772027">
        <w:rPr>
          <w:bCs/>
          <w:sz w:val="26"/>
          <w:szCs w:val="26"/>
          <w:lang w:eastAsia="ar-SA"/>
        </w:rPr>
        <w:t>—</w:t>
      </w:r>
      <w:r w:rsidRPr="00772027">
        <w:rPr>
          <w:bCs/>
          <w:sz w:val="26"/>
          <w:szCs w:val="26"/>
          <w:lang w:val="en-US" w:eastAsia="ar-SA"/>
        </w:rPr>
        <w:t> </w:t>
      </w:r>
      <w:r w:rsidRPr="00772027">
        <w:rPr>
          <w:bCs/>
          <w:sz w:val="26"/>
          <w:szCs w:val="26"/>
          <w:lang w:eastAsia="ar-SA"/>
        </w:rPr>
        <w:t xml:space="preserve">создание условий для </w:t>
      </w:r>
      <w:r w:rsidRPr="00772027">
        <w:rPr>
          <w:sz w:val="26"/>
          <w:szCs w:val="26"/>
        </w:rPr>
        <w:t xml:space="preserve">привлечения внебюджетных источников </w:t>
      </w:r>
      <w:r w:rsidR="00772027">
        <w:rPr>
          <w:sz w:val="26"/>
          <w:szCs w:val="26"/>
        </w:rPr>
        <w:br/>
      </w:r>
      <w:r w:rsidRPr="00772027">
        <w:rPr>
          <w:sz w:val="26"/>
          <w:szCs w:val="26"/>
        </w:rPr>
        <w:t>и применения механизмов государственно-частного партнерства для эффективного финансирования мероприятий по обеспечению безопасности дорожного движения;</w:t>
      </w:r>
    </w:p>
    <w:p w:rsidR="00E618FE" w:rsidRPr="00772027" w:rsidRDefault="00800098">
      <w:pPr>
        <w:ind w:firstLine="709"/>
        <w:jc w:val="both"/>
        <w:rPr>
          <w:sz w:val="26"/>
          <w:szCs w:val="26"/>
        </w:rPr>
      </w:pPr>
      <w:r w:rsidRPr="00772027">
        <w:rPr>
          <w:bCs/>
          <w:sz w:val="26"/>
          <w:szCs w:val="26"/>
          <w:lang w:eastAsia="ar-SA"/>
        </w:rPr>
        <w:t>—</w:t>
      </w:r>
      <w:r w:rsidRPr="00772027">
        <w:rPr>
          <w:bCs/>
          <w:sz w:val="26"/>
          <w:szCs w:val="26"/>
          <w:lang w:val="en-US" w:eastAsia="ar-SA"/>
        </w:rPr>
        <w:t> </w:t>
      </w:r>
      <w:r w:rsidRPr="00772027">
        <w:rPr>
          <w:sz w:val="26"/>
          <w:szCs w:val="26"/>
        </w:rPr>
        <w:t xml:space="preserve">содействие внедрению передовых технологий, информатизации </w:t>
      </w:r>
      <w:r w:rsidR="00772027">
        <w:rPr>
          <w:sz w:val="26"/>
          <w:szCs w:val="26"/>
        </w:rPr>
        <w:br/>
      </w:r>
      <w:r w:rsidRPr="00772027">
        <w:rPr>
          <w:sz w:val="26"/>
          <w:szCs w:val="26"/>
        </w:rPr>
        <w:t>и цифровизации в области обеспечения безопасности дорожного движения;</w:t>
      </w:r>
    </w:p>
    <w:p w:rsidR="00E618FE" w:rsidRPr="00772027" w:rsidRDefault="00800098">
      <w:pPr>
        <w:ind w:firstLine="709"/>
        <w:jc w:val="both"/>
        <w:rPr>
          <w:sz w:val="26"/>
          <w:szCs w:val="26"/>
        </w:rPr>
      </w:pPr>
      <w:r w:rsidRPr="00772027">
        <w:rPr>
          <w:bCs/>
          <w:sz w:val="26"/>
          <w:szCs w:val="26"/>
          <w:lang w:eastAsia="ar-SA"/>
        </w:rPr>
        <w:t>—</w:t>
      </w:r>
      <w:r w:rsidRPr="00772027">
        <w:rPr>
          <w:bCs/>
          <w:sz w:val="26"/>
          <w:szCs w:val="26"/>
          <w:lang w:val="en-US" w:eastAsia="ar-SA"/>
        </w:rPr>
        <w:t> </w:t>
      </w:r>
      <w:r w:rsidRPr="00772027">
        <w:rPr>
          <w:bCs/>
          <w:sz w:val="26"/>
          <w:szCs w:val="26"/>
          <w:lang w:eastAsia="ar-SA"/>
        </w:rPr>
        <w:t xml:space="preserve">повышение эффективности взаимодействия, </w:t>
      </w:r>
      <w:r w:rsidRPr="00772027">
        <w:rPr>
          <w:sz w:val="26"/>
          <w:szCs w:val="26"/>
        </w:rPr>
        <w:t>синхронизация механизмов регионального государственного контроля (надзора) с федеральным государственным контролем (надзором) и муниципальным контролем, осуществляемыми при функционировании транспортного комплекса;</w:t>
      </w:r>
    </w:p>
    <w:p w:rsidR="00E618FE" w:rsidRPr="00772027" w:rsidRDefault="00800098">
      <w:pPr>
        <w:ind w:firstLine="709"/>
        <w:jc w:val="both"/>
        <w:rPr>
          <w:sz w:val="26"/>
          <w:szCs w:val="26"/>
          <w:lang w:eastAsia="ar-SA"/>
        </w:rPr>
      </w:pPr>
      <w:r w:rsidRPr="00772027">
        <w:rPr>
          <w:bCs/>
          <w:sz w:val="26"/>
          <w:szCs w:val="26"/>
          <w:lang w:eastAsia="ar-SA"/>
        </w:rPr>
        <w:t>—</w:t>
      </w:r>
      <w:r w:rsidRPr="00772027">
        <w:rPr>
          <w:b/>
          <w:sz w:val="26"/>
          <w:szCs w:val="26"/>
          <w:lang w:eastAsia="ar-SA"/>
        </w:rPr>
        <w:t> </w:t>
      </w:r>
      <w:r w:rsidRPr="00772027">
        <w:rPr>
          <w:bCs/>
          <w:sz w:val="26"/>
          <w:szCs w:val="26"/>
          <w:lang w:eastAsia="ar-SA"/>
        </w:rPr>
        <w:t xml:space="preserve">обеспечение профилактической работы по предупреждению случаев </w:t>
      </w:r>
      <w:r w:rsidRPr="00772027">
        <w:rPr>
          <w:sz w:val="26"/>
          <w:szCs w:val="26"/>
          <w:shd w:val="clear" w:color="auto" w:fill="FFFFFF"/>
          <w:lang w:eastAsia="ar-SA"/>
        </w:rPr>
        <w:t>управления транспортом в состоянии опьянения; снижение числа ДТП</w:t>
      </w:r>
      <w:r w:rsidRPr="00772027">
        <w:rPr>
          <w:sz w:val="26"/>
          <w:szCs w:val="26"/>
          <w:lang w:eastAsia="ar-SA"/>
        </w:rPr>
        <w:t xml:space="preserve"> с участием водителей с признаками опьянения;</w:t>
      </w:r>
    </w:p>
    <w:p w:rsidR="00E618FE" w:rsidRPr="00772027" w:rsidRDefault="00800098">
      <w:pPr>
        <w:ind w:firstLine="709"/>
        <w:jc w:val="both"/>
        <w:rPr>
          <w:bCs/>
          <w:sz w:val="26"/>
          <w:szCs w:val="26"/>
          <w:lang w:eastAsia="ar-SA"/>
        </w:rPr>
      </w:pPr>
      <w:r w:rsidRPr="00772027">
        <w:rPr>
          <w:bCs/>
          <w:sz w:val="26"/>
          <w:szCs w:val="26"/>
          <w:lang w:eastAsia="ar-SA"/>
        </w:rPr>
        <w:t xml:space="preserve">— разработка и реализация системы мер, направленных на практическое применение принципа «нулевой терпимости» к смертности в результате ДТП </w:t>
      </w:r>
      <w:r w:rsidR="00772027">
        <w:rPr>
          <w:bCs/>
          <w:sz w:val="26"/>
          <w:szCs w:val="26"/>
          <w:lang w:eastAsia="ar-SA"/>
        </w:rPr>
        <w:br/>
      </w:r>
      <w:r w:rsidRPr="00772027">
        <w:rPr>
          <w:bCs/>
          <w:sz w:val="26"/>
          <w:szCs w:val="26"/>
          <w:lang w:eastAsia="ar-SA"/>
        </w:rPr>
        <w:t>(по типу международной концепции Vision Zero);</w:t>
      </w:r>
    </w:p>
    <w:p w:rsidR="00E618FE" w:rsidRPr="00772027" w:rsidRDefault="00800098">
      <w:pPr>
        <w:ind w:firstLine="709"/>
        <w:jc w:val="both"/>
        <w:rPr>
          <w:bCs/>
          <w:sz w:val="26"/>
          <w:szCs w:val="26"/>
          <w:lang w:eastAsia="ar-SA"/>
        </w:rPr>
      </w:pPr>
      <w:r w:rsidRPr="00772027">
        <w:rPr>
          <w:bCs/>
          <w:sz w:val="26"/>
          <w:szCs w:val="26"/>
          <w:lang w:eastAsia="ar-SA"/>
        </w:rPr>
        <w:t xml:space="preserve">— проведение профилактических рейдов по соблюдению правил дорожного движения (ПДД), использование специальных технических средств, работающих </w:t>
      </w:r>
      <w:r w:rsidR="00772027">
        <w:rPr>
          <w:bCs/>
          <w:sz w:val="26"/>
          <w:szCs w:val="26"/>
          <w:lang w:eastAsia="ar-SA"/>
        </w:rPr>
        <w:br/>
      </w:r>
      <w:r w:rsidRPr="00772027">
        <w:rPr>
          <w:bCs/>
          <w:sz w:val="26"/>
          <w:szCs w:val="26"/>
          <w:lang w:eastAsia="ar-SA"/>
        </w:rPr>
        <w:t>в автоматическом режиме, фиксирующих нарушение ПДД;</w:t>
      </w:r>
    </w:p>
    <w:p w:rsidR="00E618FE" w:rsidRPr="00772027" w:rsidRDefault="00800098">
      <w:pPr>
        <w:ind w:firstLine="709"/>
        <w:jc w:val="both"/>
        <w:rPr>
          <w:sz w:val="26"/>
          <w:szCs w:val="26"/>
        </w:rPr>
      </w:pPr>
      <w:r w:rsidRPr="00772027">
        <w:rPr>
          <w:bCs/>
          <w:sz w:val="26"/>
          <w:szCs w:val="26"/>
          <w:lang w:eastAsia="ar-SA"/>
        </w:rPr>
        <w:lastRenderedPageBreak/>
        <w:t>—</w:t>
      </w:r>
      <w:r w:rsidRPr="00772027">
        <w:rPr>
          <w:bCs/>
          <w:sz w:val="26"/>
          <w:szCs w:val="26"/>
          <w:lang w:val="en-US" w:eastAsia="ar-SA"/>
        </w:rPr>
        <w:t> </w:t>
      </w:r>
      <w:r w:rsidRPr="00772027">
        <w:rPr>
          <w:sz w:val="26"/>
          <w:szCs w:val="26"/>
        </w:rPr>
        <w:t xml:space="preserve">повышение защищенности от ДТП и их последствий для пешеходов, </w:t>
      </w:r>
      <w:r w:rsidR="00772027">
        <w:rPr>
          <w:sz w:val="26"/>
          <w:szCs w:val="26"/>
        </w:rPr>
        <w:br/>
      </w:r>
      <w:r w:rsidRPr="00772027">
        <w:rPr>
          <w:sz w:val="26"/>
          <w:szCs w:val="26"/>
        </w:rPr>
        <w:t>а также оптимизация логистики доставления пострадавших в медицинские организации;</w:t>
      </w:r>
    </w:p>
    <w:p w:rsidR="00E618FE" w:rsidRPr="00772027" w:rsidRDefault="00800098">
      <w:pPr>
        <w:ind w:firstLine="709"/>
        <w:jc w:val="both"/>
        <w:rPr>
          <w:sz w:val="26"/>
          <w:szCs w:val="26"/>
        </w:rPr>
      </w:pPr>
      <w:r w:rsidRPr="00772027">
        <w:rPr>
          <w:bCs/>
          <w:sz w:val="26"/>
          <w:szCs w:val="26"/>
          <w:lang w:eastAsia="ar-SA"/>
        </w:rPr>
        <w:t>—</w:t>
      </w:r>
      <w:r w:rsidRPr="00772027">
        <w:rPr>
          <w:bCs/>
          <w:sz w:val="26"/>
          <w:szCs w:val="26"/>
          <w:lang w:val="en-US" w:eastAsia="ar-SA"/>
        </w:rPr>
        <w:t> </w:t>
      </w:r>
      <w:r w:rsidRPr="00772027">
        <w:rPr>
          <w:sz w:val="26"/>
          <w:szCs w:val="26"/>
        </w:rPr>
        <w:t xml:space="preserve">увеличение доли транспортных средств, отвечающих современным требованиям активной, пассивной и послеаварийной безопасности; </w:t>
      </w:r>
    </w:p>
    <w:p w:rsidR="00E618FE" w:rsidRPr="00772027" w:rsidRDefault="00800098">
      <w:pPr>
        <w:ind w:firstLine="709"/>
        <w:jc w:val="both"/>
        <w:rPr>
          <w:bCs/>
          <w:sz w:val="26"/>
          <w:szCs w:val="26"/>
          <w:lang w:eastAsia="ar-SA"/>
        </w:rPr>
      </w:pPr>
      <w:r w:rsidRPr="00772027">
        <w:rPr>
          <w:bCs/>
          <w:sz w:val="26"/>
          <w:szCs w:val="26"/>
          <w:lang w:eastAsia="ar-SA"/>
        </w:rPr>
        <w:t>—</w:t>
      </w:r>
      <w:r w:rsidRPr="00772027">
        <w:rPr>
          <w:bCs/>
          <w:sz w:val="26"/>
          <w:szCs w:val="26"/>
          <w:lang w:val="en-US" w:eastAsia="ar-SA"/>
        </w:rPr>
        <w:t> </w:t>
      </w:r>
      <w:r w:rsidRPr="00772027">
        <w:rPr>
          <w:sz w:val="26"/>
          <w:szCs w:val="26"/>
        </w:rPr>
        <w:t>повышение информированности населения об обеспечении безопасности дорожного движения;</w:t>
      </w:r>
    </w:p>
    <w:p w:rsidR="00E618FE" w:rsidRPr="00772027" w:rsidRDefault="00800098">
      <w:pPr>
        <w:ind w:firstLine="709"/>
        <w:jc w:val="both"/>
        <w:rPr>
          <w:sz w:val="26"/>
          <w:szCs w:val="26"/>
          <w:lang w:eastAsia="ar-SA"/>
        </w:rPr>
      </w:pPr>
      <w:r w:rsidRPr="00772027">
        <w:rPr>
          <w:bCs/>
          <w:sz w:val="26"/>
          <w:szCs w:val="26"/>
          <w:lang w:eastAsia="ar-SA"/>
        </w:rPr>
        <w:t>— с</w:t>
      </w:r>
      <w:r w:rsidRPr="00772027">
        <w:rPr>
          <w:sz w:val="26"/>
          <w:szCs w:val="26"/>
          <w:lang w:eastAsia="ar-SA"/>
        </w:rPr>
        <w:t xml:space="preserve">овершенствование программ дополнительного образования по обучению детей и подростков правилам безопасного поведения на автомобильных дорогах, </w:t>
      </w:r>
      <w:r w:rsidR="00772027">
        <w:rPr>
          <w:sz w:val="26"/>
          <w:szCs w:val="26"/>
          <w:lang w:eastAsia="ar-SA"/>
        </w:rPr>
        <w:br/>
      </w:r>
      <w:r w:rsidRPr="00772027">
        <w:rPr>
          <w:sz w:val="26"/>
          <w:szCs w:val="26"/>
          <w:lang w:eastAsia="ar-SA"/>
        </w:rPr>
        <w:t>а также развитие современной системы оказания помощи пострадавшим в ДТП.</w:t>
      </w:r>
    </w:p>
    <w:p w:rsidR="00772027" w:rsidRDefault="00772027">
      <w:pPr>
        <w:ind w:firstLine="709"/>
        <w:jc w:val="both"/>
        <w:rPr>
          <w:b/>
          <w:bCs/>
          <w:sz w:val="28"/>
          <w:szCs w:val="28"/>
          <w:lang w:eastAsia="ar-SA"/>
        </w:rPr>
      </w:pPr>
    </w:p>
    <w:p w:rsidR="00E618FE" w:rsidRPr="00535A4B" w:rsidRDefault="00800098">
      <w:pPr>
        <w:ind w:firstLine="709"/>
        <w:jc w:val="both"/>
        <w:rPr>
          <w:b/>
          <w:bCs/>
          <w:sz w:val="28"/>
          <w:szCs w:val="28"/>
          <w:lang w:eastAsia="ar-SA"/>
        </w:rPr>
      </w:pPr>
      <w:r w:rsidRPr="00535A4B">
        <w:rPr>
          <w:b/>
          <w:bCs/>
          <w:sz w:val="28"/>
          <w:szCs w:val="28"/>
          <w:lang w:eastAsia="ar-SA"/>
        </w:rPr>
        <w:t>Задача 4.6.3. Обеспечить высокий уровень защищенности населения, материальных и культурных ценностей от чрезвычайных ситуаций природного, техногенного и военного характера.</w:t>
      </w:r>
    </w:p>
    <w:p w:rsidR="00E618FE" w:rsidRPr="00772027" w:rsidRDefault="00800098">
      <w:pPr>
        <w:ind w:firstLine="709"/>
        <w:jc w:val="both"/>
        <w:rPr>
          <w:b/>
          <w:sz w:val="26"/>
          <w:szCs w:val="26"/>
          <w:lang w:eastAsia="ar-SA"/>
        </w:rPr>
      </w:pPr>
      <w:r w:rsidRPr="00772027">
        <w:rPr>
          <w:sz w:val="26"/>
          <w:szCs w:val="26"/>
          <w:lang w:eastAsia="ar-SA"/>
        </w:rPr>
        <w:t xml:space="preserve">Ключевые направления и механизмы реализации: </w:t>
      </w:r>
    </w:p>
    <w:p w:rsidR="00E618FE" w:rsidRPr="00772027" w:rsidRDefault="00800098">
      <w:pPr>
        <w:ind w:firstLine="709"/>
        <w:jc w:val="both"/>
        <w:rPr>
          <w:bCs/>
          <w:sz w:val="26"/>
          <w:szCs w:val="26"/>
          <w:lang w:eastAsia="ar-SA"/>
        </w:rPr>
      </w:pPr>
      <w:r w:rsidRPr="00772027">
        <w:rPr>
          <w:bCs/>
          <w:sz w:val="26"/>
          <w:szCs w:val="26"/>
          <w:lang w:eastAsia="ar-SA"/>
        </w:rPr>
        <w:t xml:space="preserve">— обеспечение пожарной безопасности, в том числе на основе осуществления мониторинга, функционирования систем пожарной сигнализации, наличия </w:t>
      </w:r>
      <w:r w:rsidR="00772027">
        <w:rPr>
          <w:bCs/>
          <w:sz w:val="26"/>
          <w:szCs w:val="26"/>
          <w:lang w:eastAsia="ar-SA"/>
        </w:rPr>
        <w:br/>
      </w:r>
      <w:r w:rsidRPr="00772027">
        <w:rPr>
          <w:bCs/>
          <w:sz w:val="26"/>
          <w:szCs w:val="26"/>
          <w:lang w:eastAsia="ar-SA"/>
        </w:rPr>
        <w:t>и готовности средств пожаротушения и иной пожарно-технической продукции;</w:t>
      </w:r>
    </w:p>
    <w:p w:rsidR="00E618FE" w:rsidRPr="00772027" w:rsidRDefault="00800098">
      <w:pPr>
        <w:ind w:firstLine="709"/>
        <w:jc w:val="both"/>
        <w:rPr>
          <w:bCs/>
          <w:sz w:val="26"/>
          <w:szCs w:val="26"/>
          <w:lang w:eastAsia="ar-SA"/>
        </w:rPr>
      </w:pPr>
      <w:r w:rsidRPr="00772027">
        <w:rPr>
          <w:bCs/>
          <w:sz w:val="26"/>
          <w:szCs w:val="26"/>
          <w:lang w:eastAsia="ar-SA"/>
        </w:rPr>
        <w:t>—</w:t>
      </w:r>
      <w:r w:rsidRPr="00772027">
        <w:rPr>
          <w:b/>
          <w:sz w:val="26"/>
          <w:szCs w:val="26"/>
          <w:lang w:eastAsia="ar-SA"/>
        </w:rPr>
        <w:t> </w:t>
      </w:r>
      <w:r w:rsidRPr="00772027">
        <w:rPr>
          <w:bCs/>
          <w:sz w:val="26"/>
          <w:szCs w:val="26"/>
          <w:lang w:eastAsia="ar-SA"/>
        </w:rPr>
        <w:t>предупреждение происшествий на воде, в лесу и иных природных объектах;</w:t>
      </w:r>
    </w:p>
    <w:p w:rsidR="00E618FE" w:rsidRPr="00772027" w:rsidRDefault="00800098">
      <w:pPr>
        <w:ind w:firstLine="709"/>
        <w:jc w:val="both"/>
        <w:rPr>
          <w:bCs/>
          <w:sz w:val="26"/>
          <w:szCs w:val="26"/>
          <w:lang w:eastAsia="ar-SA"/>
        </w:rPr>
      </w:pPr>
      <w:r w:rsidRPr="00772027">
        <w:rPr>
          <w:bCs/>
          <w:sz w:val="26"/>
          <w:szCs w:val="26"/>
          <w:lang w:eastAsia="ar-SA"/>
        </w:rPr>
        <w:t>— обеспечение эффективного функционирования региональной</w:t>
      </w:r>
      <w:r w:rsidRPr="00772027">
        <w:rPr>
          <w:sz w:val="26"/>
          <w:szCs w:val="26"/>
          <w:lang w:eastAsia="ar-SA"/>
        </w:rPr>
        <w:t xml:space="preserve"> подсистемы единой государственной системы предупреждения и ликвидации чрезвычайных ситуаций</w:t>
      </w:r>
      <w:r w:rsidRPr="00772027">
        <w:rPr>
          <w:bCs/>
          <w:sz w:val="26"/>
          <w:szCs w:val="26"/>
          <w:lang w:eastAsia="ar-SA"/>
        </w:rPr>
        <w:t xml:space="preserve"> природного, техногенного и военного характера (обеспечение готовности системы оповещения населения о чрезвычайных ситуациях и угрозах </w:t>
      </w:r>
      <w:r w:rsidR="004F4597">
        <w:rPr>
          <w:bCs/>
          <w:sz w:val="26"/>
          <w:szCs w:val="26"/>
          <w:lang w:eastAsia="ar-SA"/>
        </w:rPr>
        <w:br/>
      </w:r>
      <w:r w:rsidRPr="00772027">
        <w:rPr>
          <w:bCs/>
          <w:sz w:val="26"/>
          <w:szCs w:val="26"/>
          <w:lang w:eastAsia="ar-SA"/>
        </w:rPr>
        <w:t xml:space="preserve">их наступления; пунктов временного размещения граждан, пострадавших </w:t>
      </w:r>
      <w:r w:rsidR="004F4597">
        <w:rPr>
          <w:bCs/>
          <w:sz w:val="26"/>
          <w:szCs w:val="26"/>
          <w:lang w:eastAsia="ar-SA"/>
        </w:rPr>
        <w:br/>
      </w:r>
      <w:r w:rsidRPr="00772027">
        <w:rPr>
          <w:bCs/>
          <w:sz w:val="26"/>
          <w:szCs w:val="26"/>
          <w:lang w:eastAsia="ar-SA"/>
        </w:rPr>
        <w:t>при чрезвычайной ситуации; защитных сооружений, предназначенных для укрытия населения; сил и средств гражданской обороны; эвакуационных органов к эвакуации населения, материальных и культурных ценностей из зон возможных чрезвычайных ситуаций);</w:t>
      </w:r>
    </w:p>
    <w:p w:rsidR="00E618FE" w:rsidRPr="00772027" w:rsidRDefault="00800098">
      <w:pPr>
        <w:ind w:firstLine="709"/>
        <w:jc w:val="both"/>
        <w:rPr>
          <w:bCs/>
          <w:sz w:val="26"/>
          <w:szCs w:val="26"/>
          <w:lang w:eastAsia="ar-SA"/>
        </w:rPr>
      </w:pPr>
      <w:r w:rsidRPr="00772027">
        <w:rPr>
          <w:bCs/>
          <w:sz w:val="26"/>
          <w:szCs w:val="26"/>
          <w:lang w:eastAsia="ar-SA"/>
        </w:rPr>
        <w:t xml:space="preserve">— подготовка населения в области гражданской обороны и защиты </w:t>
      </w:r>
      <w:r w:rsidR="004F4597">
        <w:rPr>
          <w:bCs/>
          <w:sz w:val="26"/>
          <w:szCs w:val="26"/>
          <w:lang w:eastAsia="ar-SA"/>
        </w:rPr>
        <w:br/>
      </w:r>
      <w:r w:rsidRPr="00772027">
        <w:rPr>
          <w:bCs/>
          <w:sz w:val="26"/>
          <w:szCs w:val="26"/>
          <w:lang w:eastAsia="ar-SA"/>
        </w:rPr>
        <w:t>от чрезвычайных ситуаций, обеспечение постоянной готовности предоставить населению средства индивидуальной и коллективной защиты;</w:t>
      </w:r>
    </w:p>
    <w:p w:rsidR="00E618FE" w:rsidRPr="00772027" w:rsidRDefault="00800098">
      <w:pPr>
        <w:ind w:firstLine="709"/>
        <w:jc w:val="both"/>
        <w:rPr>
          <w:bCs/>
          <w:sz w:val="26"/>
          <w:szCs w:val="26"/>
          <w:lang w:eastAsia="ar-SA"/>
        </w:rPr>
      </w:pPr>
      <w:r w:rsidRPr="00772027">
        <w:rPr>
          <w:bCs/>
          <w:sz w:val="26"/>
          <w:szCs w:val="26"/>
          <w:lang w:eastAsia="ar-SA"/>
        </w:rPr>
        <w:t>— создание резерва материальных ресурсов и организация материально-технического обеспечения для ликвидации последствий возможных чрезвычайных ситуаций, включая первоочередное жизнеобеспечение пострадавшего населения;</w:t>
      </w:r>
    </w:p>
    <w:p w:rsidR="00E618FE" w:rsidRPr="00772027" w:rsidRDefault="00800098">
      <w:pPr>
        <w:ind w:firstLine="709"/>
        <w:jc w:val="both"/>
        <w:rPr>
          <w:bCs/>
          <w:sz w:val="26"/>
          <w:szCs w:val="26"/>
          <w:lang w:eastAsia="ar-SA"/>
        </w:rPr>
      </w:pPr>
      <w:r w:rsidRPr="00772027">
        <w:rPr>
          <w:bCs/>
          <w:sz w:val="26"/>
          <w:szCs w:val="26"/>
          <w:lang w:eastAsia="ar-SA"/>
        </w:rPr>
        <w:t xml:space="preserve">— обеспечение безопасности обучающихся во время их пребывания </w:t>
      </w:r>
      <w:r w:rsidR="004F4597">
        <w:rPr>
          <w:bCs/>
          <w:sz w:val="26"/>
          <w:szCs w:val="26"/>
          <w:lang w:eastAsia="ar-SA"/>
        </w:rPr>
        <w:br/>
      </w:r>
      <w:r w:rsidRPr="00772027">
        <w:rPr>
          <w:bCs/>
          <w:sz w:val="26"/>
          <w:szCs w:val="26"/>
          <w:lang w:eastAsia="ar-SA"/>
        </w:rPr>
        <w:t>в организациях, осуществляющих образовательную деятельность;</w:t>
      </w:r>
    </w:p>
    <w:p w:rsidR="00E618FE" w:rsidRPr="00772027" w:rsidRDefault="00800098">
      <w:pPr>
        <w:ind w:firstLine="709"/>
        <w:jc w:val="both"/>
        <w:rPr>
          <w:bCs/>
          <w:sz w:val="26"/>
          <w:szCs w:val="26"/>
          <w:lang w:eastAsia="ar-SA"/>
        </w:rPr>
      </w:pPr>
      <w:r w:rsidRPr="00772027">
        <w:rPr>
          <w:bCs/>
          <w:sz w:val="26"/>
          <w:szCs w:val="26"/>
          <w:lang w:eastAsia="ar-SA"/>
        </w:rPr>
        <w:t xml:space="preserve">— сбор, хранение и поддержание в актуальном состоянии информации </w:t>
      </w:r>
      <w:r w:rsidR="004F4597">
        <w:rPr>
          <w:bCs/>
          <w:sz w:val="26"/>
          <w:szCs w:val="26"/>
          <w:lang w:eastAsia="ar-SA"/>
        </w:rPr>
        <w:br/>
      </w:r>
      <w:r w:rsidRPr="00772027">
        <w:rPr>
          <w:bCs/>
          <w:sz w:val="26"/>
          <w:szCs w:val="26"/>
          <w:lang w:eastAsia="ar-SA"/>
        </w:rPr>
        <w:t>о территориях, подверженных опасным природным процессам и явлениям (геологическим, гидрологическим и пр.), включая реестры оползневых участков, территорий, подверженных подтоплениям и затоплениям и др., как части единой региональной информационной системы на базе геоинформационных технологий;</w:t>
      </w:r>
    </w:p>
    <w:p w:rsidR="00E618FE" w:rsidRPr="00772027" w:rsidRDefault="00800098">
      <w:pPr>
        <w:ind w:firstLine="709"/>
        <w:jc w:val="both"/>
        <w:rPr>
          <w:bCs/>
          <w:sz w:val="26"/>
          <w:szCs w:val="26"/>
          <w:lang w:eastAsia="ar-SA"/>
        </w:rPr>
      </w:pPr>
      <w:r w:rsidRPr="00772027">
        <w:rPr>
          <w:bCs/>
          <w:sz w:val="26"/>
          <w:szCs w:val="26"/>
          <w:lang w:eastAsia="ar-SA"/>
        </w:rPr>
        <w:t xml:space="preserve">— обеспечение безопасности населения, проживающего и находящегося </w:t>
      </w:r>
      <w:r w:rsidR="004F4597">
        <w:rPr>
          <w:bCs/>
          <w:sz w:val="26"/>
          <w:szCs w:val="26"/>
          <w:lang w:eastAsia="ar-SA"/>
        </w:rPr>
        <w:br/>
      </w:r>
      <w:r w:rsidRPr="00772027">
        <w:rPr>
          <w:bCs/>
          <w:sz w:val="26"/>
          <w:szCs w:val="26"/>
          <w:lang w:eastAsia="ar-SA"/>
        </w:rPr>
        <w:t>на территориях, подверженных опасным природным процессам, а также расположенных на них материальных и культурных ценностей;</w:t>
      </w:r>
    </w:p>
    <w:p w:rsidR="00E618FE" w:rsidRPr="00772027" w:rsidRDefault="00800098">
      <w:pPr>
        <w:ind w:firstLine="709"/>
        <w:jc w:val="both"/>
        <w:rPr>
          <w:bCs/>
          <w:sz w:val="26"/>
          <w:szCs w:val="26"/>
          <w:lang w:eastAsia="ar-SA"/>
        </w:rPr>
      </w:pPr>
      <w:r w:rsidRPr="00772027">
        <w:rPr>
          <w:bCs/>
          <w:sz w:val="26"/>
          <w:szCs w:val="26"/>
          <w:lang w:eastAsia="ar-SA"/>
        </w:rPr>
        <w:t xml:space="preserve">— обеспечение высокого уровня безопасности трудовой деятельности </w:t>
      </w:r>
      <w:r w:rsidR="004F4597">
        <w:rPr>
          <w:bCs/>
          <w:sz w:val="26"/>
          <w:szCs w:val="26"/>
          <w:lang w:eastAsia="ar-SA"/>
        </w:rPr>
        <w:br/>
      </w:r>
      <w:r w:rsidRPr="00772027">
        <w:rPr>
          <w:bCs/>
          <w:sz w:val="26"/>
          <w:szCs w:val="26"/>
          <w:lang w:eastAsia="ar-SA"/>
        </w:rPr>
        <w:t>на производстве.</w:t>
      </w:r>
    </w:p>
    <w:p w:rsidR="00E618FE" w:rsidRPr="00535A4B" w:rsidRDefault="00800098">
      <w:pPr>
        <w:ind w:firstLine="709"/>
        <w:jc w:val="both"/>
        <w:rPr>
          <w:b/>
          <w:bCs/>
          <w:sz w:val="28"/>
          <w:szCs w:val="28"/>
        </w:rPr>
      </w:pPr>
      <w:r w:rsidRPr="00535A4B">
        <w:rPr>
          <w:b/>
          <w:bCs/>
          <w:sz w:val="28"/>
          <w:szCs w:val="28"/>
          <w:lang w:eastAsia="ar-SA"/>
        </w:rPr>
        <w:lastRenderedPageBreak/>
        <w:t xml:space="preserve">Задача 4.6.4. </w:t>
      </w:r>
      <w:r w:rsidRPr="00535A4B">
        <w:rPr>
          <w:b/>
          <w:bCs/>
          <w:sz w:val="28"/>
          <w:szCs w:val="28"/>
        </w:rPr>
        <w:t>Противодействие незаконной миграции, создание условий для адаптации и интеграции иностранных граждан.</w:t>
      </w:r>
    </w:p>
    <w:p w:rsidR="00E618FE" w:rsidRPr="004F4597" w:rsidRDefault="00800098">
      <w:pPr>
        <w:ind w:firstLine="709"/>
        <w:jc w:val="both"/>
        <w:rPr>
          <w:b/>
          <w:sz w:val="26"/>
          <w:szCs w:val="26"/>
          <w:lang w:eastAsia="ar-SA"/>
        </w:rPr>
      </w:pPr>
      <w:r w:rsidRPr="004F4597">
        <w:rPr>
          <w:sz w:val="26"/>
          <w:szCs w:val="26"/>
          <w:lang w:eastAsia="ar-SA"/>
        </w:rPr>
        <w:t xml:space="preserve">Ключевые направления и механизмы реализации: </w:t>
      </w:r>
    </w:p>
    <w:p w:rsidR="00E618FE" w:rsidRPr="004F4597" w:rsidRDefault="00800098">
      <w:pPr>
        <w:ind w:firstLine="709"/>
        <w:jc w:val="both"/>
        <w:rPr>
          <w:sz w:val="26"/>
          <w:szCs w:val="26"/>
        </w:rPr>
      </w:pPr>
      <w:r w:rsidRPr="004F4597">
        <w:rPr>
          <w:bCs/>
          <w:sz w:val="26"/>
          <w:szCs w:val="26"/>
          <w:lang w:eastAsia="ar-SA"/>
        </w:rPr>
        <w:t>— </w:t>
      </w:r>
      <w:r w:rsidRPr="004F4597">
        <w:rPr>
          <w:sz w:val="26"/>
          <w:szCs w:val="26"/>
        </w:rPr>
        <w:t xml:space="preserve">содействие социокультурной адаптации и интеграции иностранных граждан, формирование конструктивного взаимодействия между иностранными гражданами и жителями региона; </w:t>
      </w:r>
    </w:p>
    <w:p w:rsidR="00E618FE" w:rsidRPr="004F4597" w:rsidRDefault="00800098">
      <w:pPr>
        <w:ind w:firstLine="709"/>
        <w:jc w:val="both"/>
        <w:rPr>
          <w:sz w:val="26"/>
          <w:szCs w:val="26"/>
        </w:rPr>
      </w:pPr>
      <w:r w:rsidRPr="004F4597">
        <w:rPr>
          <w:bCs/>
          <w:sz w:val="26"/>
          <w:szCs w:val="26"/>
          <w:lang w:eastAsia="ar-SA"/>
        </w:rPr>
        <w:t>—</w:t>
      </w:r>
      <w:r w:rsidRPr="004F4597">
        <w:rPr>
          <w:bCs/>
          <w:sz w:val="26"/>
          <w:szCs w:val="26"/>
          <w:lang w:val="en-US" w:eastAsia="ar-SA"/>
        </w:rPr>
        <w:t> </w:t>
      </w:r>
      <w:r w:rsidRPr="004F4597">
        <w:rPr>
          <w:sz w:val="26"/>
          <w:szCs w:val="26"/>
        </w:rPr>
        <w:t>модернизация программ адаптации и интеграции иностранных граждан;</w:t>
      </w:r>
    </w:p>
    <w:p w:rsidR="00E618FE" w:rsidRPr="004F4597" w:rsidRDefault="00800098">
      <w:pPr>
        <w:ind w:firstLine="709"/>
        <w:jc w:val="both"/>
        <w:rPr>
          <w:sz w:val="26"/>
          <w:szCs w:val="26"/>
        </w:rPr>
      </w:pPr>
      <w:r w:rsidRPr="004F4597">
        <w:rPr>
          <w:bCs/>
          <w:sz w:val="26"/>
          <w:szCs w:val="26"/>
          <w:lang w:eastAsia="ar-SA"/>
        </w:rPr>
        <w:t xml:space="preserve">— </w:t>
      </w:r>
      <w:r w:rsidRPr="004F4597">
        <w:rPr>
          <w:sz w:val="26"/>
          <w:szCs w:val="26"/>
        </w:rPr>
        <w:t xml:space="preserve">создание инфраструктуры, содействующей адаптации иностранных граждан, включая пространства их информационной и правовой поддержки, а также изучению истории, культуры и традиций Российской Федерации; усиление информационной и разъяснительной работы с иностранными гражданами </w:t>
      </w:r>
      <w:r w:rsidR="004F4597">
        <w:rPr>
          <w:sz w:val="26"/>
          <w:szCs w:val="26"/>
        </w:rPr>
        <w:br/>
      </w:r>
      <w:r w:rsidRPr="004F4597">
        <w:rPr>
          <w:sz w:val="26"/>
          <w:szCs w:val="26"/>
        </w:rPr>
        <w:t xml:space="preserve">и работодателями; </w:t>
      </w:r>
    </w:p>
    <w:p w:rsidR="00E618FE" w:rsidRPr="004F4597" w:rsidRDefault="00800098">
      <w:pPr>
        <w:ind w:firstLine="709"/>
        <w:jc w:val="both"/>
        <w:rPr>
          <w:sz w:val="26"/>
          <w:szCs w:val="26"/>
        </w:rPr>
      </w:pPr>
      <w:r w:rsidRPr="004F4597">
        <w:rPr>
          <w:bCs/>
          <w:sz w:val="26"/>
          <w:szCs w:val="26"/>
          <w:lang w:eastAsia="ar-SA"/>
        </w:rPr>
        <w:t xml:space="preserve">— создание </w:t>
      </w:r>
      <w:r w:rsidRPr="004F4597">
        <w:rPr>
          <w:sz w:val="26"/>
          <w:szCs w:val="26"/>
        </w:rPr>
        <w:t xml:space="preserve">специализированного учреждения временного содержания иностранных граждан и лиц без гражданства, подлежащих административному выдворению с территории Российской Федерации, депортации или реадмиссии </w:t>
      </w:r>
      <w:r w:rsidR="004F4597">
        <w:rPr>
          <w:sz w:val="26"/>
          <w:szCs w:val="26"/>
        </w:rPr>
        <w:br/>
      </w:r>
      <w:r w:rsidRPr="004F4597">
        <w:rPr>
          <w:sz w:val="26"/>
          <w:szCs w:val="26"/>
        </w:rPr>
        <w:t>с лимитом наполняемости 100 мест;</w:t>
      </w:r>
    </w:p>
    <w:p w:rsidR="00E618FE" w:rsidRPr="004F4597" w:rsidRDefault="00800098">
      <w:pPr>
        <w:ind w:firstLine="709"/>
        <w:jc w:val="both"/>
        <w:rPr>
          <w:sz w:val="26"/>
          <w:szCs w:val="26"/>
          <w:lang w:eastAsia="ar-SA"/>
        </w:rPr>
      </w:pPr>
      <w:r w:rsidRPr="004F4597">
        <w:rPr>
          <w:bCs/>
          <w:sz w:val="26"/>
          <w:szCs w:val="26"/>
          <w:lang w:eastAsia="ar-SA"/>
        </w:rPr>
        <w:t xml:space="preserve">— недопущение возникновения пространственной сегрегации и этнических анклавов (районов компактного проживания мигрантов, отличающихся </w:t>
      </w:r>
      <w:r w:rsidR="004F4597">
        <w:rPr>
          <w:bCs/>
          <w:sz w:val="26"/>
          <w:szCs w:val="26"/>
          <w:lang w:eastAsia="ar-SA"/>
        </w:rPr>
        <w:br/>
      </w:r>
      <w:r w:rsidRPr="004F4597">
        <w:rPr>
          <w:bCs/>
          <w:sz w:val="26"/>
          <w:szCs w:val="26"/>
          <w:lang w:eastAsia="ar-SA"/>
        </w:rPr>
        <w:t>от большинства населения по культуре, языку, социальным укладам), маргинализации иностранных граждан, находящихся на территории Томской области.</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Целевые показатели:</w:t>
      </w:r>
    </w:p>
    <w:p w:rsidR="00E618FE" w:rsidRPr="004F4597" w:rsidRDefault="00800098">
      <w:pPr>
        <w:suppressLineNumbers/>
        <w:spacing w:before="180" w:after="120"/>
        <w:jc w:val="both"/>
        <w:outlineLvl w:val="8"/>
        <w:rPr>
          <w:bCs/>
          <w:sz w:val="26"/>
          <w:szCs w:val="26"/>
          <w:lang w:eastAsia="ar-SA" w:bidi="en-US"/>
        </w:rPr>
      </w:pPr>
      <w:r w:rsidRPr="004F4597">
        <w:rPr>
          <w:bCs/>
          <w:sz w:val="26"/>
          <w:szCs w:val="26"/>
          <w:lang w:eastAsia="ar-SA" w:bidi="en-US"/>
        </w:rPr>
        <w:t>Таблица 12.6. Целевые показатели Стратегического приоритета 4.6. «Обеспечение безопасности жизнедеятельности»</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Показатели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 xml:space="preserve">Количество зарегистрированных преступлений, ед. </w:t>
            </w:r>
            <w:r w:rsidRPr="00535A4B">
              <w:rPr>
                <w:rFonts w:eastAsiaTheme="minorHAnsi"/>
                <w:b w:val="0"/>
                <w:bCs w:val="0"/>
              </w:rPr>
              <w:br/>
              <w:t xml:space="preserve">на 100 тыс. населения </w:t>
            </w:r>
          </w:p>
        </w:tc>
        <w:tc>
          <w:tcPr>
            <w:tcW w:w="112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1561,00</w:t>
            </w:r>
          </w:p>
        </w:tc>
        <w:tc>
          <w:tcPr>
            <w:tcW w:w="10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1510,00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1450,00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rFonts w:eastAsiaTheme="minorHAnsi"/>
                <w:b w:val="0"/>
                <w:bCs w:val="0"/>
              </w:rPr>
              <w:t xml:space="preserve">Количество населения, погибшего и пострадавшего </w:t>
            </w:r>
            <w:r w:rsidRPr="00535A4B">
              <w:rPr>
                <w:rFonts w:eastAsiaTheme="minorHAnsi"/>
                <w:b w:val="0"/>
                <w:bCs w:val="0"/>
              </w:rPr>
              <w:br/>
              <w:t xml:space="preserve">при чрезвычайных ситуациях, погибших на пожарах, чел. </w:t>
            </w:r>
          </w:p>
        </w:tc>
        <w:tc>
          <w:tcPr>
            <w:tcW w:w="112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37,00</w:t>
            </w:r>
          </w:p>
        </w:tc>
        <w:tc>
          <w:tcPr>
            <w:tcW w:w="10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32,00</w:t>
            </w:r>
          </w:p>
        </w:tc>
        <w:tc>
          <w:tcPr>
            <w:tcW w:w="113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Theme="minorHAnsi"/>
              </w:rPr>
              <w:t>25,00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Theme="minorHAnsi"/>
              </w:rPr>
            </w:pPr>
            <w:r w:rsidRPr="00535A4B">
              <w:rPr>
                <w:rFonts w:eastAsiaTheme="minorHAnsi"/>
                <w:b w:val="0"/>
                <w:bCs w:val="0"/>
              </w:rPr>
              <w:t xml:space="preserve">Оперативный расчет количества погибших в ДТП </w:t>
            </w:r>
            <w:r w:rsidRPr="00535A4B">
              <w:rPr>
                <w:rFonts w:eastAsiaTheme="minorHAnsi"/>
                <w:b w:val="0"/>
                <w:bCs w:val="0"/>
              </w:rPr>
              <w:br/>
              <w:t>на 10 тыс. транспортных средств, чел.</w:t>
            </w:r>
          </w:p>
        </w:tc>
        <w:tc>
          <w:tcPr>
            <w:tcW w:w="112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1,2184</w:t>
            </w:r>
          </w:p>
        </w:tc>
        <w:tc>
          <w:tcPr>
            <w:tcW w:w="10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0,75</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rFonts w:eastAsiaTheme="minorHAnsi"/>
              </w:rPr>
            </w:pPr>
            <w:r w:rsidRPr="00535A4B">
              <w:rPr>
                <w:b w:val="0"/>
                <w:bCs w:val="0"/>
                <w:iCs/>
                <w:szCs w:val="28"/>
              </w:rPr>
              <w:t>Количество зарегистрированных киберпреступлений, ед.</w:t>
            </w:r>
          </w:p>
        </w:tc>
        <w:tc>
          <w:tcPr>
            <w:tcW w:w="112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7320,00</w:t>
            </w:r>
          </w:p>
        </w:tc>
        <w:tc>
          <w:tcPr>
            <w:tcW w:w="10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4300,00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1840,00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rPr>
                <w:iCs/>
                <w:szCs w:val="28"/>
              </w:rPr>
            </w:pPr>
            <w:r w:rsidRPr="00535A4B">
              <w:rPr>
                <w:b w:val="0"/>
                <w:bCs w:val="0"/>
                <w:iCs/>
                <w:szCs w:val="28"/>
              </w:rPr>
              <w:t xml:space="preserve">Доля преступлений, совершенных лицами, </w:t>
            </w:r>
            <w:r w:rsidRPr="00535A4B">
              <w:rPr>
                <w:b w:val="0"/>
                <w:bCs w:val="0"/>
                <w:szCs w:val="28"/>
              </w:rPr>
              <w:t>ранее судимыми, в общем ко</w:t>
            </w:r>
            <w:r w:rsidRPr="00535A4B">
              <w:rPr>
                <w:rFonts w:eastAsiaTheme="minorHAnsi"/>
                <w:b w:val="0"/>
                <w:bCs w:val="0"/>
              </w:rPr>
              <w:t>личестве зарегистрированных преступлений, %</w:t>
            </w:r>
          </w:p>
        </w:tc>
        <w:tc>
          <w:tcPr>
            <w:tcW w:w="112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17,50</w:t>
            </w:r>
          </w:p>
        </w:tc>
        <w:tc>
          <w:tcPr>
            <w:tcW w:w="10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15,00</w:t>
            </w:r>
          </w:p>
        </w:tc>
        <w:tc>
          <w:tcPr>
            <w:tcW w:w="113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12,00</w:t>
            </w:r>
          </w:p>
        </w:tc>
      </w:tr>
    </w:tbl>
    <w:p w:rsidR="00E618FE" w:rsidRPr="00535A4B" w:rsidRDefault="00800098">
      <w:pPr>
        <w:pStyle w:val="41"/>
        <w:rPr>
          <w:rFonts w:ascii="Times New Roman" w:eastAsia="Calibri" w:hAnsi="Times New Roman"/>
          <w:lang w:val="ru-RU"/>
        </w:rPr>
      </w:pPr>
      <w:r w:rsidRPr="00535A4B">
        <w:rPr>
          <w:rFonts w:ascii="Times New Roman" w:eastAsia="Calibri" w:hAnsi="Times New Roman"/>
          <w:lang w:val="ru-RU"/>
        </w:rPr>
        <w:t>Флагманские инициативы:</w:t>
      </w:r>
    </w:p>
    <w:p w:rsidR="00E618FE" w:rsidRPr="004F4597" w:rsidRDefault="00800098">
      <w:pPr>
        <w:pStyle w:val="a4"/>
        <w:rPr>
          <w:rFonts w:ascii="Times New Roman" w:eastAsia="Calibri" w:hAnsi="Times New Roman"/>
          <w:color w:val="auto"/>
          <w:sz w:val="26"/>
          <w:szCs w:val="26"/>
        </w:rPr>
      </w:pPr>
      <w:r w:rsidRPr="004F4597">
        <w:rPr>
          <w:rFonts w:ascii="Times New Roman" w:eastAsia="Calibri" w:hAnsi="Times New Roman"/>
          <w:color w:val="auto"/>
          <w:sz w:val="26"/>
          <w:szCs w:val="26"/>
        </w:rPr>
        <w:t xml:space="preserve">Достижению Региональной цели 4 содействует реализация Комплексной флагманской инициативы «Пространство для жизни», включающей </w:t>
      </w:r>
      <w:r w:rsidR="004F4597">
        <w:rPr>
          <w:rFonts w:ascii="Times New Roman" w:eastAsia="Calibri" w:hAnsi="Times New Roman"/>
          <w:color w:val="auto"/>
          <w:sz w:val="26"/>
          <w:szCs w:val="26"/>
        </w:rPr>
        <w:br/>
      </w:r>
      <w:r w:rsidRPr="004F4597">
        <w:rPr>
          <w:rFonts w:ascii="Times New Roman" w:eastAsia="Calibri" w:hAnsi="Times New Roman"/>
          <w:color w:val="auto"/>
          <w:sz w:val="26"/>
          <w:szCs w:val="26"/>
        </w:rPr>
        <w:t xml:space="preserve">три флагманских инициативы: </w:t>
      </w:r>
    </w:p>
    <w:p w:rsidR="00E618FE" w:rsidRPr="004F4597" w:rsidRDefault="00800098">
      <w:pPr>
        <w:pStyle w:val="a4"/>
        <w:ind w:left="708" w:firstLine="0"/>
        <w:rPr>
          <w:rFonts w:ascii="Times New Roman" w:eastAsia="Calibri" w:hAnsi="Times New Roman"/>
          <w:color w:val="auto"/>
          <w:sz w:val="26"/>
          <w:szCs w:val="26"/>
        </w:rPr>
      </w:pPr>
      <w:r w:rsidRPr="004F4597">
        <w:rPr>
          <w:rFonts w:ascii="Times New Roman" w:eastAsia="Calibri" w:hAnsi="Times New Roman"/>
          <w:color w:val="auto"/>
          <w:sz w:val="26"/>
          <w:szCs w:val="26"/>
        </w:rPr>
        <w:t>— «Стратегический пространственный каркас Томской области»,</w:t>
      </w:r>
    </w:p>
    <w:p w:rsidR="00E618FE" w:rsidRPr="004F4597" w:rsidRDefault="00800098">
      <w:pPr>
        <w:pStyle w:val="a4"/>
        <w:ind w:left="708" w:firstLine="0"/>
        <w:rPr>
          <w:rFonts w:ascii="Times New Roman" w:eastAsia="Calibri" w:hAnsi="Times New Roman"/>
          <w:color w:val="auto"/>
          <w:sz w:val="26"/>
          <w:szCs w:val="26"/>
        </w:rPr>
      </w:pPr>
      <w:r w:rsidRPr="004F4597">
        <w:rPr>
          <w:rFonts w:ascii="Times New Roman" w:eastAsia="Calibri" w:hAnsi="Times New Roman"/>
          <w:color w:val="auto"/>
          <w:sz w:val="26"/>
          <w:szCs w:val="26"/>
        </w:rPr>
        <w:t>—  «Градостроительное развитие территории «Большой Томск»,</w:t>
      </w:r>
    </w:p>
    <w:p w:rsidR="00E618FE" w:rsidRPr="004F4597" w:rsidRDefault="00800098">
      <w:pPr>
        <w:pStyle w:val="a4"/>
        <w:ind w:left="708" w:firstLine="0"/>
        <w:rPr>
          <w:rFonts w:ascii="Times New Roman" w:eastAsia="Calibri" w:hAnsi="Times New Roman"/>
          <w:color w:val="auto"/>
          <w:sz w:val="26"/>
          <w:szCs w:val="26"/>
        </w:rPr>
      </w:pPr>
      <w:r w:rsidRPr="004F4597">
        <w:rPr>
          <w:rFonts w:ascii="Times New Roman" w:eastAsia="Calibri" w:hAnsi="Times New Roman"/>
          <w:color w:val="auto"/>
          <w:sz w:val="26"/>
          <w:szCs w:val="26"/>
        </w:rPr>
        <w:t xml:space="preserve">—  </w:t>
      </w:r>
      <w:r w:rsidRPr="004F4597">
        <w:rPr>
          <w:rFonts w:ascii="Times New Roman" w:hAnsi="Times New Roman"/>
          <w:color w:val="auto"/>
          <w:sz w:val="26"/>
          <w:szCs w:val="26"/>
        </w:rPr>
        <w:t>«Томск исторический: наследие как ресурс развития».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Информация по всем флагманским инициативам представлена </w:t>
      </w:r>
      <w:r w:rsidRPr="004F4597">
        <w:rPr>
          <w:rFonts w:ascii="Times New Roman" w:hAnsi="Times New Roman"/>
          <w:color w:val="auto"/>
          <w:sz w:val="26"/>
          <w:szCs w:val="26"/>
        </w:rPr>
        <w:br/>
        <w:t>в приложении Д.</w:t>
      </w:r>
    </w:p>
    <w:p w:rsidR="00E618FE" w:rsidRPr="00535A4B" w:rsidRDefault="00800098">
      <w:pPr>
        <w:pStyle w:val="41"/>
        <w:rPr>
          <w:rFonts w:ascii="Times New Roman" w:eastAsia="Calibri" w:hAnsi="Times New Roman"/>
          <w:lang w:val="ru-RU"/>
        </w:rPr>
      </w:pPr>
      <w:r w:rsidRPr="00535A4B">
        <w:rPr>
          <w:rFonts w:ascii="Times New Roman" w:eastAsia="Calibri" w:hAnsi="Times New Roman"/>
          <w:lang w:val="ru-RU"/>
        </w:rPr>
        <w:lastRenderedPageBreak/>
        <w:t>Необходимость корректировки документов территориального планирования:</w:t>
      </w:r>
    </w:p>
    <w:p w:rsidR="00E618FE" w:rsidRPr="004F4597" w:rsidRDefault="00800098">
      <w:pPr>
        <w:ind w:firstLine="709"/>
        <w:jc w:val="both"/>
        <w:rPr>
          <w:rFonts w:eastAsia="Calibri"/>
          <w:sz w:val="26"/>
          <w:szCs w:val="26"/>
          <w:lang w:eastAsia="ar-SA"/>
        </w:rPr>
      </w:pPr>
      <w:r w:rsidRPr="004F4597">
        <w:rPr>
          <w:rFonts w:eastAsia="Calibri"/>
          <w:sz w:val="26"/>
          <w:szCs w:val="26"/>
          <w:lang w:eastAsia="ar-SA"/>
        </w:rPr>
        <w:t xml:space="preserve">В процессе выполнения научно-исследовательской работы «Внесение изменений в схему территориального планирования Томской области» осуществлялась координация с разработкой Стратегии социально-экономического развития Томской области на период до 2036 года. Изменения в схему территориального планирования Томской области утверждены постановлением Правительства Томской области от 16.07.2026 № 72п. </w:t>
      </w:r>
    </w:p>
    <w:p w:rsidR="00E618FE" w:rsidRPr="004F4597" w:rsidRDefault="00800098">
      <w:pPr>
        <w:ind w:firstLine="709"/>
        <w:jc w:val="both"/>
        <w:rPr>
          <w:rFonts w:eastAsia="Calibri"/>
          <w:sz w:val="26"/>
          <w:szCs w:val="26"/>
          <w:lang w:eastAsia="ar-SA"/>
        </w:rPr>
      </w:pPr>
      <w:r w:rsidRPr="004F4597">
        <w:rPr>
          <w:rFonts w:eastAsia="Calibri"/>
          <w:sz w:val="26"/>
          <w:szCs w:val="26"/>
          <w:lang w:eastAsia="ar-SA"/>
        </w:rPr>
        <w:t xml:space="preserve">В дальнейшем должна быть осуществлена корректировка документов территориального планирования ряда муниципальных образований области </w:t>
      </w:r>
      <w:r w:rsidRPr="004F4597">
        <w:rPr>
          <w:rFonts w:eastAsia="Calibri"/>
          <w:sz w:val="26"/>
          <w:szCs w:val="26"/>
          <w:lang w:eastAsia="ar-SA"/>
        </w:rPr>
        <w:br/>
        <w:t>в целях обеспечения их соответствия новым редакциям Схемы территориального планирования и Стратегии социально-экономического развития Томской области.</w:t>
      </w:r>
    </w:p>
    <w:p w:rsidR="00E618FE" w:rsidRPr="00535A4B" w:rsidRDefault="00800098">
      <w:pPr>
        <w:spacing w:after="160" w:line="259" w:lineRule="auto"/>
        <w:rPr>
          <w:rFonts w:eastAsia="PT Astra Serif"/>
          <w:b/>
          <w:caps/>
          <w:sz w:val="28"/>
          <w:szCs w:val="32"/>
          <w:lang w:eastAsia="en-US" w:bidi="en-US"/>
        </w:rPr>
      </w:pPr>
      <w:r w:rsidRPr="00535A4B">
        <w:rPr>
          <w:rFonts w:eastAsia="PT Astra Serif"/>
          <w:b/>
          <w:caps/>
          <w:szCs w:val="32"/>
          <w:lang w:eastAsia="en-US" w:bidi="en-US"/>
        </w:rPr>
        <w:br w:type="page" w:clear="all"/>
      </w:r>
    </w:p>
    <w:p w:rsidR="00E618FE" w:rsidRPr="00535A4B" w:rsidRDefault="00800098">
      <w:pPr>
        <w:pStyle w:val="10"/>
        <w:rPr>
          <w:rFonts w:ascii="Times New Roman" w:eastAsia="Times New Roman" w:hAnsi="Times New Roman" w:cs="Times New Roman"/>
          <w:lang w:val="ru-RU"/>
        </w:rPr>
      </w:pPr>
      <w:bookmarkStart w:id="189" w:name="_Toc228472002"/>
      <w:bookmarkStart w:id="190" w:name="_Toc235810166"/>
      <w:bookmarkStart w:id="191" w:name="_Toc238554554"/>
      <w:bookmarkStart w:id="192" w:name="_Hlk228534713"/>
      <w:r w:rsidRPr="00535A4B">
        <w:rPr>
          <w:rFonts w:ascii="Times New Roman" w:eastAsia="Times New Roman" w:hAnsi="Times New Roman" w:cs="Times New Roman"/>
          <w:lang w:val="ru-RU"/>
        </w:rPr>
        <w:lastRenderedPageBreak/>
        <w:t xml:space="preserve">13 Региональная цель 5 </w:t>
      </w:r>
      <w:bookmarkEnd w:id="189"/>
      <w:r w:rsidRPr="00535A4B">
        <w:rPr>
          <w:rFonts w:ascii="Times New Roman" w:eastAsia="Times New Roman" w:hAnsi="Times New Roman" w:cs="Times New Roman"/>
          <w:lang w:val="ru-RU"/>
        </w:rPr>
        <w:t>«Рациональное использование природного капитала, экологическое благополучие и адаптация к изменениям климата»</w:t>
      </w:r>
      <w:bookmarkEnd w:id="190"/>
      <w:bookmarkEnd w:id="191"/>
    </w:p>
    <w:p w:rsidR="00E618FE" w:rsidRPr="00535A4B" w:rsidRDefault="00E618FE">
      <w:pPr>
        <w:pStyle w:val="a4"/>
        <w:rPr>
          <w:rFonts w:ascii="Times New Roman" w:eastAsia="Calibri" w:hAnsi="Times New Roman"/>
          <w:color w:val="auto"/>
        </w:rPr>
      </w:pPr>
    </w:p>
    <w:p w:rsidR="00E618FE" w:rsidRPr="004F4597" w:rsidRDefault="00800098">
      <w:pPr>
        <w:pStyle w:val="a4"/>
        <w:rPr>
          <w:rFonts w:ascii="Times New Roman" w:eastAsia="Calibri" w:hAnsi="Times New Roman"/>
          <w:color w:val="auto"/>
          <w:sz w:val="26"/>
          <w:szCs w:val="26"/>
        </w:rPr>
      </w:pPr>
      <w:r w:rsidRPr="004F4597">
        <w:rPr>
          <w:rFonts w:ascii="Times New Roman" w:eastAsia="Calibri" w:hAnsi="Times New Roman"/>
          <w:color w:val="auto"/>
          <w:sz w:val="26"/>
          <w:szCs w:val="26"/>
        </w:rPr>
        <w:t xml:space="preserve">Региональная цель 5 «Рациональное использование природного капитала, экологическое благополучие и адаптация к изменениям климата» направлена </w:t>
      </w:r>
      <w:r w:rsidR="004F4597">
        <w:rPr>
          <w:rFonts w:ascii="Times New Roman" w:eastAsia="Calibri" w:hAnsi="Times New Roman"/>
          <w:color w:val="auto"/>
          <w:sz w:val="26"/>
          <w:szCs w:val="26"/>
        </w:rPr>
        <w:br/>
      </w:r>
      <w:r w:rsidRPr="004F4597">
        <w:rPr>
          <w:rFonts w:ascii="Times New Roman" w:eastAsia="Calibri" w:hAnsi="Times New Roman"/>
          <w:color w:val="auto"/>
          <w:sz w:val="26"/>
          <w:szCs w:val="26"/>
        </w:rPr>
        <w:t xml:space="preserve">на обеспечение благоприятной окружающей среды, эффективное использование природно-ресурсного потенциала, переход к </w:t>
      </w:r>
      <w:r w:rsidRPr="004F4597">
        <w:rPr>
          <w:rFonts w:ascii="Times New Roman" w:hAnsi="Times New Roman"/>
          <w:color w:val="auto"/>
          <w:sz w:val="26"/>
          <w:szCs w:val="26"/>
        </w:rPr>
        <w:t xml:space="preserve">экономике замкнутого цикла, </w:t>
      </w:r>
      <w:r w:rsidRPr="004F4597">
        <w:rPr>
          <w:rFonts w:ascii="Times New Roman" w:eastAsia="Calibri" w:hAnsi="Times New Roman"/>
          <w:color w:val="auto"/>
          <w:sz w:val="26"/>
          <w:szCs w:val="26"/>
        </w:rPr>
        <w:t>устойчивое развитие агропромышленного комплекса (АПК) и адаптацию социально-экономической системы региона к климатическим изменениям.</w:t>
      </w:r>
    </w:p>
    <w:p w:rsidR="00E618FE" w:rsidRPr="004F4597" w:rsidRDefault="00800098">
      <w:pPr>
        <w:pStyle w:val="a4"/>
        <w:rPr>
          <w:rFonts w:ascii="Times New Roman" w:eastAsia="Calibri" w:hAnsi="Times New Roman"/>
          <w:color w:val="auto"/>
          <w:sz w:val="26"/>
          <w:szCs w:val="26"/>
        </w:rPr>
      </w:pPr>
      <w:r w:rsidRPr="004F4597">
        <w:rPr>
          <w:rFonts w:ascii="Times New Roman" w:eastAsia="Calibri" w:hAnsi="Times New Roman"/>
          <w:color w:val="auto"/>
          <w:sz w:val="26"/>
          <w:szCs w:val="26"/>
        </w:rPr>
        <w:t xml:space="preserve">Достижение региональной цели обеспечивается реализацией </w:t>
      </w:r>
      <w:r w:rsidRPr="004F4597">
        <w:rPr>
          <w:rFonts w:ascii="Times New Roman" w:eastAsia="Calibri" w:hAnsi="Times New Roman"/>
          <w:b/>
          <w:bCs/>
          <w:color w:val="auto"/>
          <w:sz w:val="26"/>
          <w:szCs w:val="26"/>
        </w:rPr>
        <w:t>четырех стратегических приоритетов</w:t>
      </w:r>
      <w:r w:rsidRPr="004F4597">
        <w:rPr>
          <w:rFonts w:ascii="Times New Roman" w:eastAsia="Calibri" w:hAnsi="Times New Roman"/>
          <w:color w:val="auto"/>
          <w:sz w:val="26"/>
          <w:szCs w:val="26"/>
        </w:rPr>
        <w:t>:</w:t>
      </w:r>
    </w:p>
    <w:p w:rsidR="00E618FE" w:rsidRPr="004F4597" w:rsidRDefault="00800098">
      <w:pPr>
        <w:pStyle w:val="a4"/>
        <w:rPr>
          <w:rFonts w:ascii="Times New Roman" w:eastAsia="Calibri" w:hAnsi="Times New Roman"/>
          <w:color w:val="auto"/>
          <w:sz w:val="26"/>
          <w:szCs w:val="26"/>
        </w:rPr>
      </w:pPr>
      <w:r w:rsidRPr="004F4597">
        <w:rPr>
          <w:rFonts w:ascii="Times New Roman" w:eastAsia="Calibri" w:hAnsi="Times New Roman"/>
          <w:color w:val="auto"/>
          <w:sz w:val="26"/>
          <w:szCs w:val="26"/>
        </w:rPr>
        <w:t>— стратегический приоритет 5.1. «Экономика замкнутого цикла»;</w:t>
      </w:r>
    </w:p>
    <w:p w:rsidR="00E618FE" w:rsidRPr="004F4597" w:rsidRDefault="00800098">
      <w:pPr>
        <w:pStyle w:val="a4"/>
        <w:rPr>
          <w:rFonts w:ascii="Times New Roman" w:eastAsia="Calibri" w:hAnsi="Times New Roman"/>
          <w:color w:val="auto"/>
          <w:sz w:val="26"/>
          <w:szCs w:val="26"/>
        </w:rPr>
      </w:pPr>
      <w:r w:rsidRPr="004F4597">
        <w:rPr>
          <w:rFonts w:ascii="Times New Roman" w:eastAsia="Calibri" w:hAnsi="Times New Roman"/>
          <w:color w:val="auto"/>
          <w:sz w:val="26"/>
          <w:szCs w:val="26"/>
        </w:rPr>
        <w:t>— стратегический приоритет 5.2. «Устойчивое развитие агропромышленного комплекса»;</w:t>
      </w:r>
    </w:p>
    <w:p w:rsidR="00E618FE" w:rsidRPr="004F4597" w:rsidRDefault="00800098">
      <w:pPr>
        <w:pStyle w:val="a4"/>
        <w:rPr>
          <w:rFonts w:ascii="Times New Roman" w:eastAsia="Calibri" w:hAnsi="Times New Roman"/>
          <w:color w:val="auto"/>
          <w:sz w:val="26"/>
          <w:szCs w:val="26"/>
        </w:rPr>
      </w:pPr>
      <w:r w:rsidRPr="004F4597">
        <w:rPr>
          <w:rFonts w:ascii="Times New Roman" w:eastAsia="Calibri" w:hAnsi="Times New Roman"/>
          <w:color w:val="auto"/>
          <w:sz w:val="26"/>
          <w:szCs w:val="26"/>
        </w:rPr>
        <w:t xml:space="preserve">— стратегический приоритет 5.3. «Экологическое благополучие </w:t>
      </w:r>
      <w:r w:rsidRPr="004F4597">
        <w:rPr>
          <w:rFonts w:ascii="Times New Roman" w:eastAsia="Calibri" w:hAnsi="Times New Roman"/>
          <w:color w:val="auto"/>
          <w:sz w:val="26"/>
          <w:szCs w:val="26"/>
        </w:rPr>
        <w:br/>
        <w:t>и адаптация к изменениям климата»;</w:t>
      </w:r>
    </w:p>
    <w:p w:rsidR="00E618FE" w:rsidRPr="004F4597" w:rsidRDefault="00800098">
      <w:pPr>
        <w:pStyle w:val="a4"/>
        <w:rPr>
          <w:rFonts w:ascii="Times New Roman" w:eastAsia="Calibri" w:hAnsi="Times New Roman"/>
          <w:color w:val="auto"/>
          <w:sz w:val="26"/>
          <w:szCs w:val="26"/>
        </w:rPr>
      </w:pPr>
      <w:r w:rsidRPr="004F4597">
        <w:rPr>
          <w:rFonts w:ascii="Times New Roman" w:eastAsia="Calibri" w:hAnsi="Times New Roman"/>
          <w:color w:val="auto"/>
          <w:sz w:val="26"/>
          <w:szCs w:val="26"/>
        </w:rPr>
        <w:t>— стратегический приоритет 5.4. «Растущий и эффективно используемый природно-ресурсный потенциал».</w:t>
      </w:r>
    </w:p>
    <w:p w:rsidR="00E618FE" w:rsidRPr="004F4597" w:rsidRDefault="00800098">
      <w:pPr>
        <w:pStyle w:val="a4"/>
        <w:rPr>
          <w:rFonts w:ascii="Times New Roman" w:hAnsi="Times New Roman"/>
          <w:color w:val="auto"/>
          <w:sz w:val="26"/>
          <w:szCs w:val="26"/>
        </w:rPr>
      </w:pPr>
      <w:r w:rsidRPr="004F4597">
        <w:rPr>
          <w:rFonts w:ascii="Times New Roman" w:eastAsia="Calibri" w:hAnsi="Times New Roman"/>
          <w:color w:val="auto"/>
          <w:sz w:val="26"/>
          <w:szCs w:val="26"/>
        </w:rPr>
        <w:t>Согласованная работа по реализации стратегических приоритетов позволит повысить качество окружающей среды, которое обеспечит устойчивое функционирование естественных экологических систем, природных и природно-антропогенных объектов. Возрастет эффективность использования природно-ресурсного потенциала. Усилятся конкурентные позиции агропромышленного комплекса и повысится уровень продовольственной безопасности региона. Будут созданы основы э</w:t>
      </w:r>
      <w:r w:rsidRPr="004F4597">
        <w:rPr>
          <w:rFonts w:ascii="Times New Roman" w:hAnsi="Times New Roman"/>
          <w:color w:val="auto"/>
          <w:sz w:val="26"/>
          <w:szCs w:val="26"/>
        </w:rPr>
        <w:t xml:space="preserve">кономики замкнутого цикла. Природная, социальная </w:t>
      </w:r>
      <w:r w:rsidR="004F4597">
        <w:rPr>
          <w:rFonts w:ascii="Times New Roman" w:hAnsi="Times New Roman"/>
          <w:color w:val="auto"/>
          <w:sz w:val="26"/>
          <w:szCs w:val="26"/>
        </w:rPr>
        <w:br/>
      </w:r>
      <w:r w:rsidRPr="004F4597">
        <w:rPr>
          <w:rFonts w:ascii="Times New Roman" w:hAnsi="Times New Roman"/>
          <w:color w:val="auto"/>
          <w:sz w:val="26"/>
          <w:szCs w:val="26"/>
        </w:rPr>
        <w:t>и экономическая системы региона будут адаптированы к изменениям климата.</w:t>
      </w:r>
    </w:p>
    <w:p w:rsidR="00E618FE" w:rsidRPr="00535A4B" w:rsidRDefault="00E618FE">
      <w:pPr>
        <w:pStyle w:val="a4"/>
        <w:rPr>
          <w:rFonts w:ascii="Times New Roman" w:hAnsi="Times New Roman"/>
          <w:color w:val="auto"/>
        </w:rPr>
      </w:pPr>
    </w:p>
    <w:p w:rsidR="00E618FE" w:rsidRPr="00535A4B" w:rsidRDefault="00800098">
      <w:pPr>
        <w:pStyle w:val="21"/>
        <w:rPr>
          <w:rFonts w:ascii="Times New Roman" w:hAnsi="Times New Roman" w:cs="Times New Roman"/>
        </w:rPr>
      </w:pPr>
      <w:bookmarkStart w:id="193" w:name="_Toc235810167"/>
      <w:bookmarkStart w:id="194" w:name="_Toc238554555"/>
      <w:r w:rsidRPr="00535A4B">
        <w:rPr>
          <w:rFonts w:ascii="Times New Roman" w:hAnsi="Times New Roman" w:cs="Times New Roman"/>
        </w:rPr>
        <w:t>Стратегический приоритет 5.1. «Экономика замкнутого цикла»</w:t>
      </w:r>
      <w:bookmarkEnd w:id="193"/>
      <w:bookmarkEnd w:id="194"/>
    </w:p>
    <w:p w:rsidR="00E618FE" w:rsidRPr="00535A4B" w:rsidRDefault="00E618FE">
      <w:pPr>
        <w:pStyle w:val="a4"/>
        <w:rPr>
          <w:rFonts w:ascii="Times New Roman" w:hAnsi="Times New Roman"/>
          <w:color w:val="auto"/>
        </w:rPr>
      </w:pP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Переход к модели экономики замкнутого цикла представляет собой долгосрочный процесс, непосредственно затрагивающий все отрасли экономики, </w:t>
      </w:r>
      <w:r w:rsidR="004F4597">
        <w:rPr>
          <w:rFonts w:ascii="Times New Roman" w:hAnsi="Times New Roman"/>
          <w:color w:val="auto"/>
          <w:sz w:val="26"/>
          <w:szCs w:val="26"/>
        </w:rPr>
        <w:br/>
      </w:r>
      <w:r w:rsidRPr="004F4597">
        <w:rPr>
          <w:rFonts w:ascii="Times New Roman" w:hAnsi="Times New Roman"/>
          <w:color w:val="auto"/>
          <w:sz w:val="26"/>
          <w:szCs w:val="26"/>
        </w:rPr>
        <w:t xml:space="preserve">а также оказывающий существенное влияние на социальные аспекты жизнедеятельности человека и общественные отношения. Концепция экономики замкнутого цикла направлена не только на формирование системы обращения </w:t>
      </w:r>
      <w:r w:rsidR="004F4597">
        <w:rPr>
          <w:rFonts w:ascii="Times New Roman" w:hAnsi="Times New Roman"/>
          <w:color w:val="auto"/>
          <w:sz w:val="26"/>
          <w:szCs w:val="26"/>
        </w:rPr>
        <w:br/>
      </w:r>
      <w:r w:rsidRPr="004F4597">
        <w:rPr>
          <w:rFonts w:ascii="Times New Roman" w:hAnsi="Times New Roman"/>
          <w:color w:val="auto"/>
          <w:sz w:val="26"/>
          <w:szCs w:val="26"/>
        </w:rPr>
        <w:t xml:space="preserve">с отходами, основанной на максимальной утилизации отходов и полезном применении вторичных ресурсов и вторичного сырья, но и на формирование модели ресурсоэффективности за счет продления срока службы изделий целиком </w:t>
      </w:r>
      <w:r w:rsidR="004F4597">
        <w:rPr>
          <w:rFonts w:ascii="Times New Roman" w:hAnsi="Times New Roman"/>
          <w:color w:val="auto"/>
          <w:sz w:val="26"/>
          <w:szCs w:val="26"/>
        </w:rPr>
        <w:br/>
      </w:r>
      <w:r w:rsidRPr="004F4597">
        <w:rPr>
          <w:rFonts w:ascii="Times New Roman" w:hAnsi="Times New Roman"/>
          <w:color w:val="auto"/>
          <w:sz w:val="26"/>
          <w:szCs w:val="26"/>
        </w:rPr>
        <w:t>или частично и более экономного производства и потребления.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На территории Томской области расположено значительное количество промышленных и иных объектов, при эксплуатации которых образуется </w:t>
      </w:r>
      <w:r w:rsidR="004F4597">
        <w:rPr>
          <w:rFonts w:ascii="Times New Roman" w:hAnsi="Times New Roman"/>
          <w:color w:val="auto"/>
          <w:sz w:val="26"/>
          <w:szCs w:val="26"/>
        </w:rPr>
        <w:br/>
      </w:r>
      <w:r w:rsidRPr="004F4597">
        <w:rPr>
          <w:rFonts w:ascii="Times New Roman" w:hAnsi="Times New Roman"/>
          <w:color w:val="auto"/>
          <w:sz w:val="26"/>
          <w:szCs w:val="26"/>
        </w:rPr>
        <w:t xml:space="preserve">более 400 различных видов отходов. Нарушение установленных законодательством требований при обращении с отходами производства и потребления может создавать угрозу причинения вреда окружающей среде и здоровью населения, связанную </w:t>
      </w:r>
      <w:r w:rsidR="004F4597">
        <w:rPr>
          <w:rFonts w:ascii="Times New Roman" w:hAnsi="Times New Roman"/>
          <w:color w:val="auto"/>
          <w:sz w:val="26"/>
          <w:szCs w:val="26"/>
        </w:rPr>
        <w:br/>
      </w:r>
      <w:r w:rsidRPr="004F4597">
        <w:rPr>
          <w:rFonts w:ascii="Times New Roman" w:hAnsi="Times New Roman"/>
          <w:color w:val="auto"/>
          <w:sz w:val="26"/>
          <w:szCs w:val="26"/>
        </w:rPr>
        <w:t xml:space="preserve">с химическим загрязнением почв, атмосферного воздуха, поверхностных </w:t>
      </w:r>
      <w:r w:rsidR="004F4597">
        <w:rPr>
          <w:rFonts w:ascii="Times New Roman" w:hAnsi="Times New Roman"/>
          <w:color w:val="auto"/>
          <w:sz w:val="26"/>
          <w:szCs w:val="26"/>
        </w:rPr>
        <w:br/>
      </w:r>
      <w:r w:rsidRPr="004F4597">
        <w:rPr>
          <w:rFonts w:ascii="Times New Roman" w:hAnsi="Times New Roman"/>
          <w:color w:val="auto"/>
          <w:sz w:val="26"/>
          <w:szCs w:val="26"/>
        </w:rPr>
        <w:t xml:space="preserve">и подземных водных объектов. Соответственно, предотвращение негативного воздействия на окружающую среду при обращении с отходами является одной </w:t>
      </w:r>
      <w:r w:rsidR="004F4597">
        <w:rPr>
          <w:rFonts w:ascii="Times New Roman" w:hAnsi="Times New Roman"/>
          <w:color w:val="auto"/>
          <w:sz w:val="26"/>
          <w:szCs w:val="26"/>
        </w:rPr>
        <w:br/>
      </w:r>
      <w:r w:rsidRPr="004F4597">
        <w:rPr>
          <w:rFonts w:ascii="Times New Roman" w:hAnsi="Times New Roman"/>
          <w:color w:val="auto"/>
          <w:sz w:val="26"/>
          <w:szCs w:val="26"/>
        </w:rPr>
        <w:lastRenderedPageBreak/>
        <w:t>из наиболее важных задач, стоящих перед исполнительными органами Томской области и органами местного самоуправления.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Реализация стратегического приоритета предусматривает выполнение </w:t>
      </w:r>
      <w:r w:rsidR="004F4597">
        <w:rPr>
          <w:rFonts w:ascii="Times New Roman" w:hAnsi="Times New Roman"/>
          <w:color w:val="auto"/>
          <w:sz w:val="26"/>
          <w:szCs w:val="26"/>
        </w:rPr>
        <w:br/>
      </w:r>
      <w:r w:rsidRPr="004F4597">
        <w:rPr>
          <w:rFonts w:ascii="Times New Roman" w:hAnsi="Times New Roman"/>
          <w:color w:val="auto"/>
          <w:sz w:val="26"/>
          <w:szCs w:val="26"/>
        </w:rPr>
        <w:t xml:space="preserve">трех задач. Первая задача касается создания эффективной системы обращения </w:t>
      </w:r>
      <w:r w:rsidR="004F4597">
        <w:rPr>
          <w:rFonts w:ascii="Times New Roman" w:hAnsi="Times New Roman"/>
          <w:color w:val="auto"/>
          <w:sz w:val="26"/>
          <w:szCs w:val="26"/>
        </w:rPr>
        <w:br/>
      </w:r>
      <w:r w:rsidRPr="004F4597">
        <w:rPr>
          <w:rFonts w:ascii="Times New Roman" w:hAnsi="Times New Roman"/>
          <w:color w:val="auto"/>
          <w:sz w:val="26"/>
          <w:szCs w:val="26"/>
        </w:rPr>
        <w:t xml:space="preserve">с отходами. Вторая направлена на устранение накопленного вреда окружающей среде. Решение третьей задачи связано с формированием экономики замкнутого цикла. </w:t>
      </w:r>
    </w:p>
    <w:p w:rsidR="004F4597" w:rsidRDefault="004F4597">
      <w:pPr>
        <w:pStyle w:val="41"/>
        <w:rPr>
          <w:rFonts w:ascii="Times New Roman" w:hAnsi="Times New Roman"/>
          <w:lang w:val="ru-RU"/>
        </w:rPr>
      </w:pPr>
    </w:p>
    <w:p w:rsidR="00E618FE" w:rsidRPr="00535A4B" w:rsidRDefault="00800098">
      <w:pPr>
        <w:pStyle w:val="41"/>
        <w:rPr>
          <w:rFonts w:ascii="Times New Roman" w:hAnsi="Times New Roman"/>
          <w:lang w:val="ru-RU"/>
        </w:rPr>
      </w:pPr>
      <w:r w:rsidRPr="00535A4B">
        <w:rPr>
          <w:rFonts w:ascii="Times New Roman" w:hAnsi="Times New Roman"/>
          <w:lang w:val="ru-RU"/>
        </w:rPr>
        <w:t>Задачи:</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5.1.1. Создать эффективную систему обращения с отходами производства и потребления.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увеличение доли замещения первичных ресурсов вторичными в отдельных секторах экономики;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снижение объемов образования отходов в отдельных секторах экономики;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повышение объема инвестиций в секторы производства продукции </w:t>
      </w:r>
      <w:r w:rsidR="004F4597">
        <w:rPr>
          <w:rFonts w:ascii="Times New Roman" w:hAnsi="Times New Roman"/>
          <w:color w:val="auto"/>
          <w:sz w:val="26"/>
          <w:szCs w:val="26"/>
        </w:rPr>
        <w:br/>
      </w:r>
      <w:r w:rsidRPr="004F4597">
        <w:rPr>
          <w:rFonts w:ascii="Times New Roman" w:hAnsi="Times New Roman"/>
          <w:color w:val="auto"/>
          <w:sz w:val="26"/>
          <w:szCs w:val="26"/>
        </w:rPr>
        <w:t>из вторичного сырья и обращения с отходами;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увеличение доли золошлаковых отходов (золошлаковой смеси), вовлеченных в хозяйственный оборот;</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увеличение мощностей по обработке и утилизации твердых коммунальных отходов;</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создание инфраструктуры по накоплению и утилизации отходов, образующихся у физических лиц и не относящихся к твердым коммунальным отходам;</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внедрение механизмов, обеспечивающих развитие рынка вторичных ресурсов и формирование спроса на продукцию, произведенную </w:t>
      </w:r>
      <w:r w:rsidRPr="004F4597">
        <w:rPr>
          <w:rFonts w:ascii="Times New Roman" w:hAnsi="Times New Roman"/>
          <w:color w:val="auto"/>
          <w:sz w:val="26"/>
          <w:szCs w:val="26"/>
        </w:rPr>
        <w:br/>
        <w:t>с использованием вторичного сырья.</w:t>
      </w:r>
    </w:p>
    <w:p w:rsidR="004F4597" w:rsidRDefault="004F4597">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5.1.2. Осуществлять ликвидацию накопленного вреда окружающей среде. </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выявление объектов накопленного вреда окружающей среде, участие </w:t>
      </w:r>
      <w:r w:rsidR="004F4597">
        <w:rPr>
          <w:rFonts w:ascii="Times New Roman" w:hAnsi="Times New Roman"/>
          <w:color w:val="auto"/>
          <w:sz w:val="26"/>
          <w:szCs w:val="26"/>
        </w:rPr>
        <w:br/>
      </w:r>
      <w:r w:rsidRPr="004F4597">
        <w:rPr>
          <w:rFonts w:ascii="Times New Roman" w:hAnsi="Times New Roman"/>
          <w:color w:val="auto"/>
          <w:sz w:val="26"/>
          <w:szCs w:val="26"/>
        </w:rPr>
        <w:t xml:space="preserve">в формировании данных, необходимых для ведения Государственного реестра объектов накопленного вреда окружающей среде (в части объектов, находящихся </w:t>
      </w:r>
      <w:r w:rsidR="004F4597">
        <w:rPr>
          <w:rFonts w:ascii="Times New Roman" w:hAnsi="Times New Roman"/>
          <w:color w:val="auto"/>
          <w:sz w:val="26"/>
          <w:szCs w:val="26"/>
        </w:rPr>
        <w:br/>
      </w:r>
      <w:r w:rsidRPr="004F4597">
        <w:rPr>
          <w:rFonts w:ascii="Times New Roman" w:hAnsi="Times New Roman"/>
          <w:color w:val="auto"/>
          <w:sz w:val="26"/>
          <w:szCs w:val="26"/>
        </w:rPr>
        <w:t>на территории Томской области);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проведение необходимых обследований, разработка и утверждение проектов ликвидации накопленного вреда окружающей среде;</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организация и проведение работ по ликвидации накопленного вреда окружающей среде;</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экологическая реабилитация территорий и иных объектов, подвергшихся негативному воздействию хозяйственной деятельности, для их восстановления </w:t>
      </w:r>
      <w:r w:rsidR="004F4597">
        <w:rPr>
          <w:rFonts w:ascii="Times New Roman" w:hAnsi="Times New Roman"/>
          <w:color w:val="auto"/>
          <w:sz w:val="26"/>
          <w:szCs w:val="26"/>
        </w:rPr>
        <w:br/>
      </w:r>
      <w:r w:rsidRPr="004F4597">
        <w:rPr>
          <w:rFonts w:ascii="Times New Roman" w:hAnsi="Times New Roman"/>
          <w:color w:val="auto"/>
          <w:sz w:val="26"/>
          <w:szCs w:val="26"/>
        </w:rPr>
        <w:t xml:space="preserve">до состояния, обеспечивающего экологически благоприятные условия жизни населения; </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ликвидация загрязнений территорий, образовавшихся от отходов нефте- </w:t>
      </w:r>
      <w:r w:rsidR="004F4597">
        <w:rPr>
          <w:rFonts w:ascii="Times New Roman" w:hAnsi="Times New Roman"/>
          <w:color w:val="auto"/>
          <w:sz w:val="26"/>
          <w:szCs w:val="26"/>
        </w:rPr>
        <w:br/>
      </w:r>
      <w:r w:rsidRPr="004F4597">
        <w:rPr>
          <w:rFonts w:ascii="Times New Roman" w:hAnsi="Times New Roman"/>
          <w:color w:val="auto"/>
          <w:sz w:val="26"/>
          <w:szCs w:val="26"/>
        </w:rPr>
        <w:t>и газодобычи.</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lastRenderedPageBreak/>
        <w:t xml:space="preserve">Задача 5.1.3. Внедрить механизмы экономики замкнутого цикла </w:t>
      </w:r>
      <w:r w:rsidRPr="00535A4B">
        <w:rPr>
          <w:rFonts w:ascii="Times New Roman" w:hAnsi="Times New Roman"/>
          <w:b/>
          <w:bCs/>
          <w:color w:val="auto"/>
        </w:rPr>
        <w:br/>
        <w:t>в социальную и экономическую системы Томской области.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реализация проектов комплексной безотходной переработки природных ресурсов и продуктов природопользования в АПК, ТЭК, лесном и строительном комплексах, ЖКХ, добывающей и обрабатывающих отраслях промышленности;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создание системы мер государственной поддержки, стимулирующих внедрение природосберегающих (инновационных, экологически чистых </w:t>
      </w:r>
      <w:r w:rsidR="004F4597">
        <w:rPr>
          <w:rFonts w:ascii="Times New Roman" w:hAnsi="Times New Roman"/>
          <w:color w:val="auto"/>
          <w:sz w:val="26"/>
          <w:szCs w:val="26"/>
        </w:rPr>
        <w:br/>
      </w:r>
      <w:r w:rsidRPr="004F4597">
        <w:rPr>
          <w:rFonts w:ascii="Times New Roman" w:hAnsi="Times New Roman"/>
          <w:color w:val="auto"/>
          <w:sz w:val="26"/>
          <w:szCs w:val="26"/>
        </w:rPr>
        <w:t>и безопасных) и природоподобных технологий, экологических проектов и программ по охране природной среды;</w:t>
      </w:r>
    </w:p>
    <w:p w:rsidR="00E618FE" w:rsidRPr="004F4597" w:rsidRDefault="00800098">
      <w:pPr>
        <w:pStyle w:val="a4"/>
        <w:rPr>
          <w:rFonts w:ascii="Times New Roman" w:eastAsia="PT Astra Serif" w:hAnsi="Times New Roman"/>
          <w:color w:val="auto"/>
          <w:sz w:val="26"/>
          <w:szCs w:val="26"/>
        </w:rPr>
      </w:pPr>
      <w:r w:rsidRPr="004F4597">
        <w:rPr>
          <w:rFonts w:ascii="Times New Roman" w:eastAsia="PT Astra Serif" w:hAnsi="Times New Roman"/>
          <w:color w:val="auto"/>
          <w:sz w:val="26"/>
          <w:szCs w:val="26"/>
        </w:rPr>
        <w:t xml:space="preserve">— проведение научных исследований для совершенствования инструментов анализа и оценки экологической ситуации и расширения межрегионального </w:t>
      </w:r>
      <w:r w:rsidR="004F4597">
        <w:rPr>
          <w:rFonts w:ascii="Times New Roman" w:eastAsia="PT Astra Serif" w:hAnsi="Times New Roman"/>
          <w:color w:val="auto"/>
          <w:sz w:val="26"/>
          <w:szCs w:val="26"/>
        </w:rPr>
        <w:br/>
      </w:r>
      <w:r w:rsidRPr="004F4597">
        <w:rPr>
          <w:rFonts w:ascii="Times New Roman" w:eastAsia="PT Astra Serif" w:hAnsi="Times New Roman"/>
          <w:color w:val="auto"/>
          <w:sz w:val="26"/>
          <w:szCs w:val="26"/>
        </w:rPr>
        <w:t xml:space="preserve">и международного научно-технического и образовательного сотрудничества </w:t>
      </w:r>
      <w:r w:rsidR="004F4597">
        <w:rPr>
          <w:rFonts w:ascii="Times New Roman" w:eastAsia="PT Astra Serif" w:hAnsi="Times New Roman"/>
          <w:color w:val="auto"/>
          <w:sz w:val="26"/>
          <w:szCs w:val="26"/>
        </w:rPr>
        <w:br/>
      </w:r>
      <w:r w:rsidRPr="004F4597">
        <w:rPr>
          <w:rFonts w:ascii="Times New Roman" w:eastAsia="PT Astra Serif" w:hAnsi="Times New Roman"/>
          <w:color w:val="auto"/>
          <w:sz w:val="26"/>
          <w:szCs w:val="26"/>
        </w:rPr>
        <w:t>по вопросам развития экономики замкнутого цикла;</w:t>
      </w:r>
    </w:p>
    <w:p w:rsidR="00E618FE" w:rsidRPr="004F4597" w:rsidRDefault="00800098">
      <w:pPr>
        <w:pStyle w:val="a4"/>
        <w:rPr>
          <w:rFonts w:ascii="Times New Roman" w:eastAsia="PT Astra Serif" w:hAnsi="Times New Roman"/>
          <w:color w:val="auto"/>
          <w:sz w:val="26"/>
          <w:szCs w:val="26"/>
        </w:rPr>
      </w:pPr>
      <w:r w:rsidRPr="004F4597">
        <w:rPr>
          <w:rFonts w:ascii="Times New Roman" w:eastAsia="PT Astra Serif" w:hAnsi="Times New Roman"/>
          <w:color w:val="auto"/>
          <w:sz w:val="26"/>
          <w:szCs w:val="26"/>
        </w:rPr>
        <w:t xml:space="preserve">— повышение научно-технического потенциала Томской области в части развития технологий утилизации вторичных ресурсов, производства продукции </w:t>
      </w:r>
      <w:r w:rsidR="004F4597">
        <w:rPr>
          <w:rFonts w:ascii="Times New Roman" w:eastAsia="PT Astra Serif" w:hAnsi="Times New Roman"/>
          <w:color w:val="auto"/>
          <w:sz w:val="26"/>
          <w:szCs w:val="26"/>
        </w:rPr>
        <w:br/>
      </w:r>
      <w:r w:rsidRPr="004F4597">
        <w:rPr>
          <w:rFonts w:ascii="Times New Roman" w:eastAsia="PT Astra Serif" w:hAnsi="Times New Roman"/>
          <w:color w:val="auto"/>
          <w:sz w:val="26"/>
          <w:szCs w:val="26"/>
        </w:rPr>
        <w:t>из вторичного сырья, повышения ресурсоэффективности производственных процессов и отраслей;</w:t>
      </w:r>
    </w:p>
    <w:p w:rsidR="00E618FE" w:rsidRPr="004F4597" w:rsidRDefault="00800098">
      <w:pPr>
        <w:pStyle w:val="a4"/>
        <w:rPr>
          <w:rFonts w:ascii="Times New Roman" w:eastAsia="PT Astra Serif" w:hAnsi="Times New Roman"/>
          <w:color w:val="auto"/>
          <w:sz w:val="26"/>
          <w:szCs w:val="26"/>
        </w:rPr>
      </w:pPr>
      <w:r w:rsidRPr="004F4597">
        <w:rPr>
          <w:rFonts w:ascii="Times New Roman" w:eastAsia="PT Astra Serif" w:hAnsi="Times New Roman"/>
          <w:color w:val="auto"/>
          <w:sz w:val="26"/>
          <w:szCs w:val="26"/>
        </w:rPr>
        <w:t>— развитие кадрового потенциала перехода к экономике замкнутого цикла;</w:t>
      </w:r>
    </w:p>
    <w:p w:rsidR="00E618FE" w:rsidRPr="004F4597" w:rsidRDefault="00800098">
      <w:pPr>
        <w:pStyle w:val="a4"/>
        <w:rPr>
          <w:rFonts w:ascii="Times New Roman" w:eastAsia="PT Astra Serif" w:hAnsi="Times New Roman"/>
          <w:color w:val="auto"/>
          <w:sz w:val="26"/>
          <w:szCs w:val="26"/>
        </w:rPr>
      </w:pPr>
      <w:r w:rsidRPr="004F4597">
        <w:rPr>
          <w:rFonts w:ascii="Times New Roman" w:eastAsia="PT Astra Serif" w:hAnsi="Times New Roman"/>
          <w:color w:val="auto"/>
          <w:sz w:val="26"/>
          <w:szCs w:val="26"/>
        </w:rPr>
        <w:t>— формирование комплексной системы экологического воспитания, образования и просвещения населения, включая разработку учебно-методической литературы и реализацию образовательных программ в организациях, осуществляющих образовательную деятельность;</w:t>
      </w:r>
    </w:p>
    <w:p w:rsidR="00E618FE" w:rsidRPr="004F4597" w:rsidRDefault="00800098">
      <w:pPr>
        <w:pStyle w:val="a4"/>
        <w:rPr>
          <w:rFonts w:ascii="Times New Roman" w:eastAsia="PT Astra Serif" w:hAnsi="Times New Roman"/>
          <w:color w:val="auto"/>
          <w:sz w:val="26"/>
          <w:szCs w:val="26"/>
        </w:rPr>
      </w:pPr>
      <w:r w:rsidRPr="004F4597">
        <w:rPr>
          <w:rFonts w:ascii="Times New Roman" w:hAnsi="Times New Roman"/>
          <w:color w:val="auto"/>
          <w:sz w:val="26"/>
          <w:szCs w:val="26"/>
        </w:rPr>
        <w:t>— </w:t>
      </w:r>
      <w:r w:rsidRPr="004F4597">
        <w:rPr>
          <w:rFonts w:ascii="Times New Roman" w:eastAsia="PT Astra Serif" w:hAnsi="Times New Roman"/>
          <w:color w:val="auto"/>
          <w:sz w:val="26"/>
          <w:szCs w:val="26"/>
        </w:rPr>
        <w:t xml:space="preserve">реализация мероприятий по экологическому просвещению </w:t>
      </w:r>
      <w:r w:rsidR="004F4597">
        <w:rPr>
          <w:rFonts w:ascii="Times New Roman" w:eastAsia="PT Astra Serif" w:hAnsi="Times New Roman"/>
          <w:color w:val="auto"/>
          <w:sz w:val="26"/>
          <w:szCs w:val="26"/>
        </w:rPr>
        <w:br/>
      </w:r>
      <w:r w:rsidRPr="004F4597">
        <w:rPr>
          <w:rFonts w:ascii="Times New Roman" w:eastAsia="PT Astra Serif" w:hAnsi="Times New Roman"/>
          <w:color w:val="auto"/>
          <w:sz w:val="26"/>
          <w:szCs w:val="26"/>
        </w:rPr>
        <w:t>и популяризации принципов экономики замкнутого цикла, проведение рекламных, информационных, просветительских кампаний;</w:t>
      </w:r>
    </w:p>
    <w:p w:rsidR="00E618FE" w:rsidRPr="004F4597" w:rsidRDefault="00800098">
      <w:pPr>
        <w:pStyle w:val="a4"/>
        <w:rPr>
          <w:rFonts w:ascii="Times New Roman" w:eastAsia="PT Astra Serif" w:hAnsi="Times New Roman"/>
          <w:color w:val="auto"/>
          <w:sz w:val="26"/>
          <w:szCs w:val="26"/>
        </w:rPr>
      </w:pPr>
      <w:r w:rsidRPr="004F4597">
        <w:rPr>
          <w:rFonts w:ascii="Times New Roman" w:hAnsi="Times New Roman"/>
          <w:color w:val="auto"/>
          <w:sz w:val="26"/>
          <w:szCs w:val="26"/>
        </w:rPr>
        <w:t>— </w:t>
      </w:r>
      <w:r w:rsidRPr="004F4597">
        <w:rPr>
          <w:rFonts w:ascii="Times New Roman" w:eastAsia="PT Astra Serif" w:hAnsi="Times New Roman"/>
          <w:color w:val="auto"/>
          <w:sz w:val="26"/>
          <w:szCs w:val="26"/>
        </w:rPr>
        <w:t>оказание мер государственной поддержки некоммерческим организациям, реализующим проекты в сфере развития экономики замкнутого цикла.</w:t>
      </w:r>
    </w:p>
    <w:p w:rsidR="00E618FE" w:rsidRPr="00535A4B" w:rsidRDefault="00E618FE">
      <w:pPr>
        <w:spacing w:after="160" w:line="259" w:lineRule="auto"/>
        <w:rPr>
          <w:b/>
          <w:spacing w:val="24"/>
          <w:sz w:val="28"/>
          <w:szCs w:val="28"/>
          <w:lang w:eastAsia="en-US"/>
        </w:rPr>
      </w:pPr>
    </w:p>
    <w:p w:rsidR="00E618FE" w:rsidRPr="00535A4B" w:rsidRDefault="00800098">
      <w:pPr>
        <w:pStyle w:val="41"/>
        <w:rPr>
          <w:rFonts w:ascii="Times New Roman" w:hAnsi="Times New Roman"/>
          <w:bCs/>
          <w:lang w:val="ru-RU"/>
        </w:rPr>
      </w:pPr>
      <w:r w:rsidRPr="00535A4B">
        <w:rPr>
          <w:rFonts w:ascii="Times New Roman" w:hAnsi="Times New Roman"/>
          <w:lang w:val="ru-RU"/>
        </w:rPr>
        <w:t>Целевые показатели:</w:t>
      </w:r>
    </w:p>
    <w:p w:rsidR="00E618FE" w:rsidRPr="00535A4B" w:rsidRDefault="00800098">
      <w:pPr>
        <w:pStyle w:val="aff"/>
        <w:rPr>
          <w:rFonts w:ascii="Times New Roman" w:hAnsi="Times New Roman"/>
          <w:bCs w:val="0"/>
          <w:szCs w:val="28"/>
          <w:lang w:val="ru-RU"/>
        </w:rPr>
      </w:pPr>
      <w:r w:rsidRPr="00535A4B">
        <w:rPr>
          <w:rFonts w:ascii="Times New Roman" w:hAnsi="Times New Roman"/>
          <w:szCs w:val="28"/>
          <w:lang w:val="ru-RU"/>
        </w:rPr>
        <w:t>Таблица 13.1. Целевые показатели Стратегического приоритета 5.1. «Экономика замкнутого цикла»</w:t>
      </w:r>
    </w:p>
    <w:tbl>
      <w:tblPr>
        <w:tblStyle w:val="-18"/>
        <w:tblW w:w="9351" w:type="dxa"/>
        <w:tblLayout w:type="fixed"/>
        <w:tblLook w:val="04A0" w:firstRow="1" w:lastRow="0" w:firstColumn="1" w:lastColumn="0" w:noHBand="0" w:noVBand="1"/>
      </w:tblPr>
      <w:tblGrid>
        <w:gridCol w:w="6378"/>
        <w:gridCol w:w="992"/>
        <w:gridCol w:w="992"/>
        <w:gridCol w:w="989"/>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rFonts w:eastAsia="PT Astra Serif"/>
                <w:b w:val="0"/>
                <w:bCs w:val="0"/>
              </w:rPr>
              <w:t>Показатели</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rFonts w:eastAsia="PT Astra Serif"/>
                <w:b w:val="0"/>
                <w:bCs w:val="0"/>
              </w:rPr>
              <w:t>2025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rFonts w:eastAsia="PT Astra Serif"/>
                <w:b w:val="0"/>
                <w:bCs w:val="0"/>
              </w:rPr>
              <w:t>2030 г.</w:t>
            </w:r>
          </w:p>
        </w:tc>
        <w:tc>
          <w:tcPr>
            <w:tcW w:w="98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rFonts w:eastAsia="PT Astra Serif"/>
                <w:b w:val="0"/>
                <w:bCs w:val="0"/>
                <w:iCs/>
              </w:rPr>
              <w:t>2036 г.</w:t>
            </w:r>
          </w:p>
        </w:tc>
      </w:tr>
      <w:tr w:rsidR="00E618FE" w:rsidRPr="00535A4B" w:rsidTr="00E618FE">
        <w:trPr>
          <w:trHeight w:val="677"/>
        </w:trPr>
        <w:tc>
          <w:tcPr>
            <w:cnfStyle w:val="001000000000" w:firstRow="0" w:lastRow="0" w:firstColumn="1" w:lastColumn="0" w:oddVBand="0" w:evenVBand="0" w:oddHBand="0" w:evenHBand="0" w:firstRowFirstColumn="0" w:firstRowLastColumn="0" w:lastRowFirstColumn="0" w:lastRowLastColumn="0"/>
            <w:tcW w:w="6378"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rFonts w:eastAsia="PT Astra Serif"/>
                <w:b w:val="0"/>
                <w:bCs w:val="0"/>
              </w:rPr>
              <w:t xml:space="preserve">Доля обрабатываемых твердых коммунальных отходов </w:t>
            </w:r>
            <w:r w:rsidRPr="00535A4B">
              <w:rPr>
                <w:rFonts w:eastAsia="PT Astra Serif"/>
                <w:b w:val="0"/>
                <w:bCs w:val="0"/>
              </w:rPr>
              <w:br/>
              <w:t>в общей массе образованных твердых коммунальных отходов, %</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19,00</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100,00</w:t>
            </w:r>
          </w:p>
        </w:tc>
        <w:tc>
          <w:tcPr>
            <w:tcW w:w="98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100,00</w:t>
            </w:r>
          </w:p>
        </w:tc>
      </w:tr>
      <w:tr w:rsidR="00E618FE" w:rsidRPr="00535A4B" w:rsidTr="00E618FE">
        <w:trPr>
          <w:trHeight w:val="677"/>
        </w:trPr>
        <w:tc>
          <w:tcPr>
            <w:cnfStyle w:val="001000000000" w:firstRow="0" w:lastRow="0" w:firstColumn="1" w:lastColumn="0" w:oddVBand="0" w:evenVBand="0" w:oddHBand="0" w:evenHBand="0" w:firstRowFirstColumn="0" w:firstRowLastColumn="0" w:lastRowFirstColumn="0" w:lastRowLastColumn="0"/>
            <w:tcW w:w="637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Default"/>
              <w:rPr>
                <w:rFonts w:ascii="Times New Roman" w:eastAsia="PT Astra Serif" w:hAnsi="Times New Roman"/>
                <w:color w:val="auto"/>
              </w:rPr>
            </w:pPr>
            <w:r w:rsidRPr="00535A4B">
              <w:rPr>
                <w:rFonts w:ascii="Times New Roman" w:hAnsi="Times New Roman"/>
                <w:b w:val="0"/>
                <w:bCs w:val="0"/>
                <w:color w:val="auto"/>
              </w:rPr>
              <w:t xml:space="preserve">Доля захораниваемых твердых коммунальных отходов </w:t>
            </w:r>
            <w:r w:rsidRPr="00535A4B">
              <w:rPr>
                <w:rFonts w:ascii="Times New Roman" w:hAnsi="Times New Roman"/>
                <w:b w:val="0"/>
                <w:bCs w:val="0"/>
                <w:color w:val="auto"/>
              </w:rPr>
              <w:br/>
              <w:t xml:space="preserve">в общей массе образованных твердых коммунальных отходов, % </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92,4</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51,4</w:t>
            </w:r>
          </w:p>
        </w:tc>
        <w:tc>
          <w:tcPr>
            <w:tcW w:w="98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51,4</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378" w:type="dxa"/>
            <w:tcBorders>
              <w:top w:val="single" w:sz="4" w:space="0" w:color="000000"/>
              <w:left w:val="single" w:sz="4" w:space="0" w:color="000000"/>
              <w:bottom w:val="single" w:sz="4" w:space="0" w:color="000000"/>
              <w:right w:val="single" w:sz="4" w:space="0" w:color="000000"/>
            </w:tcBorders>
          </w:tcPr>
          <w:p w:rsidR="00E618FE" w:rsidRPr="00535A4B" w:rsidRDefault="00800098">
            <w:pPr>
              <w:pBdr>
                <w:top w:val="none" w:sz="4" w:space="0" w:color="000000"/>
                <w:left w:val="none" w:sz="4" w:space="0" w:color="000000"/>
                <w:bottom w:val="none" w:sz="4" w:space="0" w:color="000000"/>
                <w:right w:val="none" w:sz="4" w:space="0" w:color="000000"/>
              </w:pBdr>
              <w:spacing w:before="31"/>
              <w:ind w:right="1037"/>
              <w:rPr>
                <w:rFonts w:eastAsia="PT Astra Serif"/>
              </w:rPr>
            </w:pPr>
            <w:r w:rsidRPr="00535A4B">
              <w:rPr>
                <w:rFonts w:eastAsia="PT Astra Serif"/>
                <w:b w:val="0"/>
                <w:bCs w:val="0"/>
              </w:rPr>
              <w:t>Доля отходов производства и потребления, вовлеченных в хозяйственный оборот в качестве вторичных ресурсов и сырья, %</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39,00</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42,00</w:t>
            </w:r>
          </w:p>
        </w:tc>
        <w:tc>
          <w:tcPr>
            <w:tcW w:w="989"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45,00</w:t>
            </w:r>
          </w:p>
        </w:tc>
      </w:tr>
    </w:tbl>
    <w:p w:rsidR="004F4597" w:rsidRDefault="004F4597">
      <w:pPr>
        <w:pStyle w:val="a4"/>
        <w:rPr>
          <w:rFonts w:ascii="Times New Roman" w:hAnsi="Times New Roman"/>
          <w:color w:val="auto"/>
        </w:rPr>
      </w:pPr>
    </w:p>
    <w:p w:rsidR="004F4597" w:rsidRDefault="004F4597">
      <w:pPr>
        <w:spacing w:after="160" w:line="259" w:lineRule="auto"/>
        <w:rPr>
          <w:sz w:val="28"/>
          <w:szCs w:val="28"/>
          <w:lang w:eastAsia="ar-SA"/>
        </w:rPr>
      </w:pPr>
      <w:r>
        <w:br w:type="page"/>
      </w:r>
    </w:p>
    <w:p w:rsidR="00E618FE" w:rsidRPr="00535A4B" w:rsidRDefault="00800098">
      <w:pPr>
        <w:pStyle w:val="21"/>
        <w:rPr>
          <w:rFonts w:ascii="Times New Roman" w:eastAsia="Calibri" w:hAnsi="Times New Roman" w:cs="Times New Roman"/>
          <w:szCs w:val="28"/>
        </w:rPr>
      </w:pPr>
      <w:bookmarkStart w:id="195" w:name="_Toc235810168"/>
      <w:bookmarkStart w:id="196" w:name="_Toc238554556"/>
      <w:r w:rsidRPr="00535A4B">
        <w:rPr>
          <w:rFonts w:ascii="Times New Roman" w:hAnsi="Times New Roman" w:cs="Times New Roman"/>
          <w:szCs w:val="28"/>
          <w:lang w:eastAsia="ar-SA"/>
        </w:rPr>
        <w:lastRenderedPageBreak/>
        <w:t>Стратегический приоритет 5.2. «</w:t>
      </w:r>
      <w:r w:rsidRPr="00535A4B">
        <w:rPr>
          <w:rFonts w:ascii="Times New Roman" w:eastAsia="Calibri" w:hAnsi="Times New Roman" w:cs="Times New Roman"/>
          <w:szCs w:val="28"/>
        </w:rPr>
        <w:t>Устойчивое развитие агропромышленного комплекса»</w:t>
      </w:r>
      <w:bookmarkEnd w:id="195"/>
      <w:bookmarkEnd w:id="196"/>
    </w:p>
    <w:p w:rsidR="00E618FE" w:rsidRPr="00535A4B" w:rsidRDefault="00E618FE">
      <w:pPr>
        <w:pStyle w:val="a4"/>
        <w:rPr>
          <w:rFonts w:ascii="Times New Roman" w:hAnsi="Times New Roman"/>
          <w:color w:val="auto"/>
          <w:lang w:eastAsia="en-US" w:bidi="en-US"/>
        </w:rPr>
      </w:pP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Агропромышленный комплекс играет важную роль в социально-экономическом развитии Томской области. АПК имеет ключевое значение </w:t>
      </w:r>
      <w:r w:rsidR="004F4597">
        <w:rPr>
          <w:rFonts w:ascii="Times New Roman" w:hAnsi="Times New Roman"/>
          <w:color w:val="auto"/>
          <w:sz w:val="26"/>
          <w:szCs w:val="26"/>
        </w:rPr>
        <w:br/>
      </w:r>
      <w:r w:rsidRPr="004F4597">
        <w:rPr>
          <w:rFonts w:ascii="Times New Roman" w:hAnsi="Times New Roman"/>
          <w:color w:val="auto"/>
          <w:sz w:val="26"/>
          <w:szCs w:val="26"/>
        </w:rPr>
        <w:t xml:space="preserve">для обеспечения продовольственной безопасности региона и жизнедеятельности сельских населенных пунктов. </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За период 2021 – 2025 годов выпуск сельскохозяйственной продукции </w:t>
      </w:r>
      <w:r w:rsidR="004F4597">
        <w:rPr>
          <w:rFonts w:ascii="Times New Roman" w:hAnsi="Times New Roman"/>
          <w:color w:val="auto"/>
          <w:sz w:val="26"/>
          <w:szCs w:val="26"/>
        </w:rPr>
        <w:br/>
      </w:r>
      <w:r w:rsidRPr="004F4597">
        <w:rPr>
          <w:rFonts w:ascii="Times New Roman" w:hAnsi="Times New Roman"/>
          <w:color w:val="auto"/>
          <w:sz w:val="26"/>
          <w:szCs w:val="26"/>
        </w:rPr>
        <w:t xml:space="preserve">(в сопоставимых ценах) сократился на 5,8% (результат 2020 года 100%). </w:t>
      </w:r>
    </w:p>
    <w:p w:rsidR="00E618FE" w:rsidRPr="004F4597" w:rsidRDefault="00800098">
      <w:pPr>
        <w:pStyle w:val="a4"/>
        <w:rPr>
          <w:rFonts w:ascii="Times New Roman" w:hAnsi="Times New Roman"/>
          <w:color w:val="auto"/>
          <w:sz w:val="26"/>
          <w:szCs w:val="26"/>
        </w:rPr>
      </w:pPr>
      <w:r w:rsidRPr="004F4597">
        <w:rPr>
          <w:rFonts w:ascii="Times New Roman" w:eastAsiaTheme="majorEastAsia" w:hAnsi="Times New Roman"/>
          <w:color w:val="auto"/>
          <w:sz w:val="26"/>
          <w:szCs w:val="26"/>
        </w:rPr>
        <w:t xml:space="preserve">Наиболее успешным сектором АПК является пищевая промышленность. </w:t>
      </w:r>
      <w:r w:rsidR="004F4597">
        <w:rPr>
          <w:rFonts w:ascii="Times New Roman" w:eastAsiaTheme="majorEastAsia" w:hAnsi="Times New Roman"/>
          <w:color w:val="auto"/>
          <w:sz w:val="26"/>
          <w:szCs w:val="26"/>
        </w:rPr>
        <w:br/>
      </w:r>
      <w:r w:rsidRPr="004F4597">
        <w:rPr>
          <w:rFonts w:ascii="Times New Roman" w:eastAsiaTheme="majorEastAsia" w:hAnsi="Times New Roman"/>
          <w:color w:val="auto"/>
          <w:sz w:val="26"/>
          <w:szCs w:val="26"/>
        </w:rPr>
        <w:t xml:space="preserve">В 2024 году индекс производства (в сопоставимых ценах к 2020 году) составил 111,4%, по итогам 2025 года — 114,5%. Устойчивые результаты демонстрирует экспортный сегмент АПК. </w:t>
      </w:r>
      <w:r w:rsidRPr="004F4597">
        <w:rPr>
          <w:rFonts w:ascii="Times New Roman" w:hAnsi="Times New Roman"/>
          <w:color w:val="auto"/>
          <w:sz w:val="26"/>
          <w:szCs w:val="26"/>
        </w:rPr>
        <w:t xml:space="preserve">В 2025 году предприятиями Томской области на экспорт было поставлено 74,8 тыс. тонн продукции АПК на сумму 62,5 млн долларов США. </w:t>
      </w:r>
    </w:p>
    <w:p w:rsidR="00E618FE" w:rsidRPr="004F4597" w:rsidRDefault="00800098">
      <w:pPr>
        <w:pStyle w:val="a4"/>
        <w:rPr>
          <w:rFonts w:ascii="Times New Roman" w:eastAsiaTheme="majorEastAsia" w:hAnsi="Times New Roman"/>
          <w:color w:val="auto"/>
          <w:sz w:val="26"/>
          <w:szCs w:val="26"/>
        </w:rPr>
      </w:pPr>
      <w:r w:rsidRPr="004F4597">
        <w:rPr>
          <w:rFonts w:ascii="Times New Roman" w:hAnsi="Times New Roman"/>
          <w:color w:val="auto"/>
          <w:sz w:val="26"/>
          <w:szCs w:val="26"/>
        </w:rPr>
        <w:t>Несмотря на имеющиеся трудности в среднесрочной перспективе можно рассч</w:t>
      </w:r>
      <w:r w:rsidRPr="004F4597">
        <w:rPr>
          <w:rFonts w:ascii="Times New Roman" w:eastAsiaTheme="majorEastAsia" w:hAnsi="Times New Roman"/>
          <w:color w:val="auto"/>
          <w:sz w:val="26"/>
          <w:szCs w:val="26"/>
        </w:rPr>
        <w:t>итывать на переход к восстановлению роста показателей развития аграрного производства. Однако выход на траекторию устойчивого роста невозможен без дополнительных мер со стороны органов государственной власти, предприятий и организаций АПК.</w:t>
      </w:r>
    </w:p>
    <w:p w:rsidR="00E618FE" w:rsidRPr="004F4597" w:rsidRDefault="00800098">
      <w:pPr>
        <w:pStyle w:val="a4"/>
        <w:rPr>
          <w:rFonts w:ascii="Times New Roman" w:eastAsiaTheme="majorEastAsia" w:hAnsi="Times New Roman"/>
          <w:color w:val="auto"/>
          <w:sz w:val="26"/>
          <w:szCs w:val="26"/>
        </w:rPr>
      </w:pPr>
      <w:r w:rsidRPr="004F4597">
        <w:rPr>
          <w:rFonts w:ascii="Times New Roman" w:hAnsi="Times New Roman"/>
          <w:color w:val="auto"/>
          <w:sz w:val="26"/>
          <w:szCs w:val="26"/>
        </w:rPr>
        <w:t xml:space="preserve">Реализация стратегического приоритета предусматривает выполнение пяти задач. </w:t>
      </w:r>
    </w:p>
    <w:p w:rsidR="00E618FE" w:rsidRPr="00535A4B" w:rsidRDefault="00800098">
      <w:pPr>
        <w:pStyle w:val="41"/>
        <w:rPr>
          <w:rFonts w:ascii="Times New Roman" w:hAnsi="Times New Roman"/>
          <w:lang w:val="ru-RU"/>
        </w:rPr>
      </w:pPr>
      <w:r w:rsidRPr="00535A4B">
        <w:rPr>
          <w:rFonts w:ascii="Times New Roman" w:hAnsi="Times New Roman"/>
          <w:lang w:val="ru-RU"/>
        </w:rPr>
        <w:t>Задачи:</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5.2.1. Повысить уровень продовольственной безопасности Томской области</w:t>
      </w:r>
      <w:r w:rsidRPr="00535A4B">
        <w:rPr>
          <w:rFonts w:ascii="Times New Roman" w:hAnsi="Times New Roman"/>
          <w:color w:val="auto"/>
        </w:rPr>
        <w:t xml:space="preserve">. </w:t>
      </w:r>
      <w:r w:rsidRPr="00535A4B">
        <w:rPr>
          <w:rFonts w:ascii="Times New Roman" w:hAnsi="Times New Roman"/>
          <w:b/>
          <w:bCs/>
          <w:color w:val="auto"/>
        </w:rPr>
        <w:t>Увеличить объемы производства сельскохозяйственной продукции.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создание условий для развития овощеводства, картофелеводства, ягодоводства, повышение урожайности сельскохозяйственных культур, сохранение, восстановление и повышение плодородия земель сельскохозяйственного назначения, соблюдение технологий производства сельскохозяйственных культур;</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развитие племенного дела, селекции и семеноводства, создание новых технологий производства, переработки и хранения сельскохозяйственной продукции, сырья и продовольствия;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создание новых производственных мощностей, включая семеноводческие центры, модернизация действующих производств, развитие сети комплексов </w:t>
      </w:r>
      <w:r w:rsidR="004F4597">
        <w:rPr>
          <w:rFonts w:ascii="Times New Roman" w:hAnsi="Times New Roman"/>
          <w:color w:val="auto"/>
          <w:sz w:val="26"/>
          <w:szCs w:val="26"/>
        </w:rPr>
        <w:br/>
      </w:r>
      <w:r w:rsidRPr="004F4597">
        <w:rPr>
          <w:rFonts w:ascii="Times New Roman" w:hAnsi="Times New Roman"/>
          <w:color w:val="auto"/>
          <w:sz w:val="26"/>
          <w:szCs w:val="26"/>
        </w:rPr>
        <w:t xml:space="preserve">по первичной и глубокой переработке продукции животноводства </w:t>
      </w:r>
      <w:r w:rsidR="004F4597">
        <w:rPr>
          <w:rFonts w:ascii="Times New Roman" w:hAnsi="Times New Roman"/>
          <w:color w:val="auto"/>
          <w:sz w:val="26"/>
          <w:szCs w:val="26"/>
        </w:rPr>
        <w:br/>
      </w:r>
      <w:r w:rsidRPr="004F4597">
        <w:rPr>
          <w:rFonts w:ascii="Times New Roman" w:hAnsi="Times New Roman"/>
          <w:color w:val="auto"/>
          <w:sz w:val="26"/>
          <w:szCs w:val="26"/>
        </w:rPr>
        <w:t>и растениеводства с использованием чистых малоотходных / безотходных технологий;</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предоставление субсидий на финансовое обеспечение и / или возмещение затрат на развитие овощеводства, картофелеводства, ягодоводства, создание дополнительных производств по переработке сельскохозяйственной продукции;</w:t>
      </w:r>
    </w:p>
    <w:p w:rsidR="00E618FE" w:rsidRPr="004F4597" w:rsidRDefault="00800098">
      <w:pPr>
        <w:pStyle w:val="a4"/>
        <w:rPr>
          <w:rFonts w:ascii="Times New Roman" w:eastAsiaTheme="minorHAnsi" w:hAnsi="Times New Roman"/>
          <w:color w:val="auto"/>
          <w:sz w:val="26"/>
          <w:szCs w:val="26"/>
          <w:lang w:eastAsia="en-US"/>
        </w:rPr>
      </w:pPr>
      <w:r w:rsidRPr="004F4597">
        <w:rPr>
          <w:rFonts w:ascii="Times New Roman" w:hAnsi="Times New Roman"/>
          <w:color w:val="auto"/>
          <w:sz w:val="26"/>
          <w:szCs w:val="26"/>
        </w:rPr>
        <w:t>— </w:t>
      </w:r>
      <w:r w:rsidRPr="004F4597">
        <w:rPr>
          <w:rFonts w:ascii="Times New Roman" w:eastAsiaTheme="minorHAnsi" w:hAnsi="Times New Roman"/>
          <w:color w:val="auto"/>
          <w:sz w:val="26"/>
          <w:szCs w:val="26"/>
          <w:lang w:eastAsia="en-US"/>
        </w:rPr>
        <w:t>развитие науки в агропромышленном комплексе (генетика и селекция);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развитие инфраструктуры обеспечения кормами и логистической сети (транспортировка, хранение);</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обеспечение условий для создания новых субъектов микро- и малого предпринимательства в агропромышленном комплексе.</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lastRenderedPageBreak/>
        <w:t xml:space="preserve">Задача 5.2.2. Обеспечить устойчивое эпизоотическое </w:t>
      </w:r>
      <w:r w:rsidRPr="00535A4B">
        <w:rPr>
          <w:rFonts w:ascii="Times New Roman" w:hAnsi="Times New Roman"/>
          <w:b/>
          <w:bCs/>
          <w:color w:val="auto"/>
        </w:rPr>
        <w:br/>
        <w:t>и ветеринарно-санитарное благополучие на территории Томской области.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производство безопасной в ветеринарном отношении продукции животноводства; обеспечение безопасности продовольственного сырья и продуктов животного происхождения, пищевых продуктов животного и растительного происхождения непромышленного изготовления;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проведение противоэпизоотических мероприятий, предотвращение возникновения и распространения болезней животных, а также общих для человека и животных болезней;</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аккредитация в национальной системе аккредитации ветеринарных лабораторий, подведомственных исполнительным органам Томской области; </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регистрация и ликвидация очагов заразных болезней, развитие лабораторной диагностики; </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профилактика, диагностика и лечение инфекционных, инвазивных </w:t>
      </w:r>
      <w:r w:rsidR="004F4597">
        <w:rPr>
          <w:rFonts w:ascii="Times New Roman" w:hAnsi="Times New Roman"/>
          <w:color w:val="auto"/>
          <w:sz w:val="26"/>
          <w:szCs w:val="26"/>
        </w:rPr>
        <w:br/>
      </w:r>
      <w:r w:rsidRPr="004F4597">
        <w:rPr>
          <w:rFonts w:ascii="Times New Roman" w:hAnsi="Times New Roman"/>
          <w:color w:val="auto"/>
          <w:sz w:val="26"/>
          <w:szCs w:val="26"/>
        </w:rPr>
        <w:t xml:space="preserve">и массовых незаразных болезней животных и болезней, общих для людей </w:t>
      </w:r>
      <w:r w:rsidRPr="004F4597">
        <w:rPr>
          <w:rFonts w:ascii="Times New Roman" w:hAnsi="Times New Roman"/>
          <w:color w:val="auto"/>
          <w:sz w:val="26"/>
          <w:szCs w:val="26"/>
        </w:rPr>
        <w:br/>
        <w:t>и животных.</w:t>
      </w:r>
    </w:p>
    <w:p w:rsidR="004F4597" w:rsidRDefault="004F4597">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5.2.3. Обеспечить улучшение кадрового обеспечения </w:t>
      </w:r>
      <w:r w:rsidRPr="00535A4B">
        <w:rPr>
          <w:rFonts w:ascii="Times New Roman" w:hAnsi="Times New Roman"/>
          <w:b/>
          <w:bCs/>
          <w:color w:val="auto"/>
        </w:rPr>
        <w:br/>
        <w:t>и повышение производительности труда в АПК Томской области.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eastAsiaTheme="minorHAnsi" w:hAnsi="Times New Roman"/>
          <w:color w:val="auto"/>
          <w:sz w:val="26"/>
          <w:szCs w:val="26"/>
          <w:lang w:eastAsia="en-US"/>
        </w:rPr>
      </w:pPr>
      <w:r w:rsidRPr="004F4597">
        <w:rPr>
          <w:rFonts w:ascii="Times New Roman" w:hAnsi="Times New Roman"/>
          <w:color w:val="auto"/>
          <w:sz w:val="26"/>
          <w:szCs w:val="26"/>
        </w:rPr>
        <w:t xml:space="preserve">— формирование комплексной системы подготовки и привлечения высококвалифицированных кадров </w:t>
      </w:r>
      <w:r w:rsidRPr="004F4597">
        <w:rPr>
          <w:rFonts w:ascii="Times New Roman" w:eastAsiaTheme="minorHAnsi" w:hAnsi="Times New Roman"/>
          <w:color w:val="auto"/>
          <w:sz w:val="26"/>
          <w:szCs w:val="26"/>
          <w:lang w:eastAsia="en-US"/>
        </w:rPr>
        <w:t>для сельского хозяйства и пищевой промышленности начиная от основного общего образования, включая создание агротехнологических классов, профориентационную работу, развитие системы целевого обучения и вовлечение работодателей в подготовку кадров в соответствии с потребностями рынка, а также работу по повышению престижа аграрных профессий;</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повышение до 90% доли молодых кадров, работающих в сельском хозяйстве, за счет привлечения молодежи и создания комфортных условий проживания на селе;</w:t>
      </w:r>
    </w:p>
    <w:p w:rsidR="00E618FE" w:rsidRPr="004F4597" w:rsidRDefault="00800098">
      <w:pPr>
        <w:pStyle w:val="a4"/>
        <w:rPr>
          <w:rFonts w:ascii="Times New Roman" w:hAnsi="Times New Roman"/>
          <w:color w:val="auto"/>
          <w:sz w:val="26"/>
          <w:szCs w:val="26"/>
          <w:lang w:eastAsia="ru-RU"/>
        </w:rPr>
      </w:pPr>
      <w:r w:rsidRPr="004F4597">
        <w:rPr>
          <w:rFonts w:ascii="Times New Roman" w:hAnsi="Times New Roman"/>
          <w:color w:val="auto"/>
          <w:sz w:val="26"/>
          <w:szCs w:val="26"/>
        </w:rPr>
        <w:t xml:space="preserve">— повышение качества жизни в сельской местности с целью привлечения </w:t>
      </w:r>
      <w:r w:rsidR="004F4597">
        <w:rPr>
          <w:rFonts w:ascii="Times New Roman" w:hAnsi="Times New Roman"/>
          <w:color w:val="auto"/>
          <w:sz w:val="26"/>
          <w:szCs w:val="26"/>
        </w:rPr>
        <w:br/>
      </w:r>
      <w:r w:rsidRPr="004F4597">
        <w:rPr>
          <w:rFonts w:ascii="Times New Roman" w:hAnsi="Times New Roman"/>
          <w:color w:val="auto"/>
          <w:sz w:val="26"/>
          <w:szCs w:val="26"/>
        </w:rPr>
        <w:t>и удержания кадров;</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повышение производительности труда в сельском хозяйстве за счет улучшения кормовой базы, генетического потенциала животных и растений, технологической модернизации, повышения квалификации кадров и плодородия земель, господдержки растениеводства и животноводства.</w:t>
      </w:r>
    </w:p>
    <w:p w:rsidR="004F4597" w:rsidRDefault="004F4597">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5.2.4. Обеспечить модернизацию парка сельскохозяйственной техники.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модернизация машинно-тракторного парка сельскохозяйственных организаций Томской области;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предоставление субсидий на финансовое обеспечение и / или возмещение затрат на техническое оснащение сельскохозяйственных производств новыми видами техники.</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lastRenderedPageBreak/>
        <w:t>Задача 5.2.5. Улучшить состояние и повысить эффективность использования земель сельскохозяйственного назначения.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сохранение, восстановление и повышение плодородия земель сельскохозяйственного назначения;</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вовлечение в сельскохозяйственный оборот неиспользуемых пахотных земель;</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рациональное использование земель сельскохозяйственного назначения.</w:t>
      </w:r>
    </w:p>
    <w:p w:rsidR="00E618FE" w:rsidRPr="00535A4B" w:rsidRDefault="00E618FE">
      <w:pPr>
        <w:spacing w:after="160" w:line="259" w:lineRule="auto"/>
        <w:rPr>
          <w:b/>
          <w:spacing w:val="24"/>
          <w:sz w:val="28"/>
          <w:szCs w:val="28"/>
          <w:lang w:eastAsia="en-US"/>
        </w:rPr>
      </w:pPr>
    </w:p>
    <w:p w:rsidR="00E618FE" w:rsidRPr="00535A4B" w:rsidRDefault="00800098">
      <w:pPr>
        <w:pStyle w:val="41"/>
        <w:rPr>
          <w:rFonts w:ascii="Times New Roman" w:hAnsi="Times New Roman"/>
          <w:bCs/>
          <w:lang w:val="ru-RU"/>
        </w:rPr>
      </w:pPr>
      <w:r w:rsidRPr="00535A4B">
        <w:rPr>
          <w:rFonts w:ascii="Times New Roman" w:hAnsi="Times New Roman"/>
          <w:lang w:val="ru-RU"/>
        </w:rPr>
        <w:t>Целевые показатели:</w:t>
      </w:r>
    </w:p>
    <w:p w:rsidR="00E618FE" w:rsidRPr="004F4597" w:rsidRDefault="00800098">
      <w:pPr>
        <w:pStyle w:val="aff"/>
        <w:rPr>
          <w:rFonts w:ascii="Times New Roman" w:eastAsia="Calibri" w:hAnsi="Times New Roman"/>
          <w:sz w:val="26"/>
          <w:szCs w:val="26"/>
          <w:lang w:val="ru-RU"/>
        </w:rPr>
      </w:pPr>
      <w:r w:rsidRPr="004F4597">
        <w:rPr>
          <w:rFonts w:ascii="Times New Roman" w:hAnsi="Times New Roman"/>
          <w:sz w:val="26"/>
          <w:szCs w:val="26"/>
          <w:lang w:val="ru-RU"/>
        </w:rPr>
        <w:t xml:space="preserve">Таблица 13.2. Целевые показатели Стратегического приоритета 5.2. </w:t>
      </w:r>
      <w:r w:rsidRPr="004F4597">
        <w:rPr>
          <w:rFonts w:ascii="Times New Roman" w:eastAsia="Calibri" w:hAnsi="Times New Roman"/>
          <w:sz w:val="26"/>
          <w:szCs w:val="26"/>
          <w:lang w:val="ru-RU"/>
        </w:rPr>
        <w:t>«Устойчивое развитие агропромышленного комплекса»</w:t>
      </w:r>
    </w:p>
    <w:tbl>
      <w:tblPr>
        <w:tblStyle w:val="-141"/>
        <w:tblW w:w="9345" w:type="dxa"/>
        <w:tblLayout w:type="fixed"/>
        <w:tblLook w:val="04A0" w:firstRow="1" w:lastRow="0" w:firstColumn="1" w:lastColumn="0" w:noHBand="0" w:noVBand="1"/>
      </w:tblPr>
      <w:tblGrid>
        <w:gridCol w:w="4795"/>
        <w:gridCol w:w="1137"/>
        <w:gridCol w:w="1138"/>
        <w:gridCol w:w="1137"/>
        <w:gridCol w:w="113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val="en-US"/>
              </w:rPr>
            </w:pPr>
            <w:r w:rsidRPr="00535A4B">
              <w:rPr>
                <w:b w:val="0"/>
                <w:bCs w:val="0"/>
                <w:lang w:val="en-US"/>
              </w:rPr>
              <w:t>2021 г.</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79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Индекс производства продукции сельского хозяйства в хозяйствах всех категорий </w:t>
            </w:r>
            <w:r w:rsidRPr="00535A4B">
              <w:rPr>
                <w:b w:val="0"/>
                <w:bCs w:val="0"/>
              </w:rPr>
              <w:br/>
              <w:t xml:space="preserve">(в сопоставимых ценах к 2021 году), % </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val="en-US"/>
              </w:rPr>
              <w:t>100</w:t>
            </w:r>
            <w:r w:rsidRPr="00535A4B">
              <w:t>,</w:t>
            </w:r>
            <w:r w:rsidRPr="00535A4B">
              <w:rPr>
                <w:lang w:val="en-US"/>
              </w:rPr>
              <w:t>0</w:t>
            </w:r>
            <w:r w:rsidRPr="00535A4B">
              <w:t>0</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94,40</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106,3</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112,9</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79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Индекс производства пищевых продуктов </w:t>
            </w:r>
            <w:r w:rsidRPr="00535A4B">
              <w:rPr>
                <w:b w:val="0"/>
                <w:bCs w:val="0"/>
              </w:rPr>
              <w:br/>
              <w:t xml:space="preserve">(в сопоставимых ценах к 2021 году), % </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106,3</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116,1</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138,1</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79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Отношение объема экспорта продукции агропромышленного комплекса </w:t>
            </w:r>
            <w:r w:rsidRPr="00535A4B">
              <w:rPr>
                <w:b w:val="0"/>
                <w:bCs w:val="0"/>
              </w:rPr>
              <w:br/>
              <w:t>к показателю 2025 года, %</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13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112,80</w:t>
            </w:r>
          </w:p>
        </w:tc>
        <w:tc>
          <w:tcPr>
            <w:tcW w:w="113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144,00</w:t>
            </w:r>
          </w:p>
        </w:tc>
      </w:tr>
    </w:tbl>
    <w:p w:rsidR="00E618FE" w:rsidRPr="00535A4B" w:rsidRDefault="00E618FE">
      <w:pPr>
        <w:ind w:firstLine="709"/>
        <w:jc w:val="both"/>
        <w:rPr>
          <w:rFonts w:eastAsia="Calibri"/>
        </w:rPr>
      </w:pPr>
    </w:p>
    <w:p w:rsidR="00E618FE" w:rsidRPr="00535A4B" w:rsidRDefault="00800098">
      <w:pPr>
        <w:pStyle w:val="21"/>
        <w:rPr>
          <w:rFonts w:ascii="Times New Roman" w:hAnsi="Times New Roman" w:cs="Times New Roman"/>
        </w:rPr>
      </w:pPr>
      <w:bookmarkStart w:id="197" w:name="_Toc235810169"/>
      <w:bookmarkStart w:id="198" w:name="_Toc238554557"/>
      <w:r w:rsidRPr="00535A4B">
        <w:rPr>
          <w:rFonts w:ascii="Times New Roman" w:hAnsi="Times New Roman" w:cs="Times New Roman"/>
        </w:rPr>
        <w:t xml:space="preserve">Стратегический приоритет 5.3. «Экологическое благополучие </w:t>
      </w:r>
      <w:r w:rsidRPr="00535A4B">
        <w:rPr>
          <w:rFonts w:ascii="Times New Roman" w:hAnsi="Times New Roman" w:cs="Times New Roman"/>
        </w:rPr>
        <w:br/>
        <w:t>и адаптация к изменениям климата»</w:t>
      </w:r>
      <w:bookmarkEnd w:id="197"/>
      <w:bookmarkEnd w:id="198"/>
    </w:p>
    <w:p w:rsidR="00E618FE" w:rsidRPr="00535A4B" w:rsidRDefault="00E618FE">
      <w:pPr>
        <w:pStyle w:val="a4"/>
        <w:rPr>
          <w:rFonts w:ascii="Times New Roman" w:hAnsi="Times New Roman"/>
          <w:color w:val="auto"/>
          <w:lang w:eastAsia="en-US" w:bidi="en-US"/>
        </w:rPr>
      </w:pPr>
    </w:p>
    <w:p w:rsidR="00E618FE" w:rsidRPr="004F4597" w:rsidRDefault="00800098">
      <w:pPr>
        <w:ind w:firstLine="709"/>
        <w:jc w:val="both"/>
        <w:rPr>
          <w:sz w:val="26"/>
          <w:szCs w:val="26"/>
        </w:rPr>
      </w:pPr>
      <w:r w:rsidRPr="004F4597">
        <w:rPr>
          <w:sz w:val="26"/>
          <w:szCs w:val="26"/>
        </w:rPr>
        <w:t>Благоприятная экологическая ситуация является одним из важнейших факторов, определяющих качество жизни населения. Показатели, характеризующие экологическую ситуацию, оказывают непосредственное влияние на состояние здоровья и условия жизнедеятельности населения, на миграционную, инвестиционную и туристическую привлекательность региона.</w:t>
      </w:r>
    </w:p>
    <w:p w:rsidR="00E618FE" w:rsidRPr="004F4597" w:rsidRDefault="00800098">
      <w:pPr>
        <w:ind w:firstLine="709"/>
        <w:jc w:val="both"/>
        <w:rPr>
          <w:sz w:val="26"/>
          <w:szCs w:val="26"/>
        </w:rPr>
      </w:pPr>
      <w:r w:rsidRPr="004F4597">
        <w:rPr>
          <w:sz w:val="26"/>
          <w:szCs w:val="26"/>
        </w:rPr>
        <w:t xml:space="preserve">Для Томской области, как и для других российских регионов с большой долей сырьевых отраслей в структуре экономики, актуальной проблемой является необходимость устранения противоречий между экономическими интересами развития сектора добычи стратегически важных минерально-сырьевых ресурсов </w:t>
      </w:r>
      <w:r w:rsidR="004F4597">
        <w:rPr>
          <w:sz w:val="26"/>
          <w:szCs w:val="26"/>
        </w:rPr>
        <w:br/>
      </w:r>
      <w:r w:rsidRPr="004F4597">
        <w:rPr>
          <w:sz w:val="26"/>
          <w:szCs w:val="26"/>
        </w:rPr>
        <w:t xml:space="preserve">и необходимостью сохранения природного баланса и благоприятной экологической обстановки. В рамках реализации стратегического приоритета требуется решение задач обеспечения устойчивого функционирования естественных экологических систем, природных и природно-антропогенных объектов, расположенных </w:t>
      </w:r>
      <w:r w:rsidRPr="004F4597">
        <w:rPr>
          <w:sz w:val="26"/>
          <w:szCs w:val="26"/>
        </w:rPr>
        <w:br/>
        <w:t>на территории Томской области.</w:t>
      </w:r>
    </w:p>
    <w:p w:rsidR="00E618FE" w:rsidRPr="004F4597" w:rsidRDefault="00800098">
      <w:pPr>
        <w:ind w:firstLine="709"/>
        <w:jc w:val="both"/>
        <w:rPr>
          <w:sz w:val="26"/>
          <w:szCs w:val="26"/>
        </w:rPr>
      </w:pPr>
      <w:r w:rsidRPr="004F4597">
        <w:rPr>
          <w:sz w:val="26"/>
          <w:szCs w:val="26"/>
        </w:rPr>
        <w:t>Устойчивое развитие Томской области невозможно без обеспечения защиты природной среды и жизненно важных интересов человека от возможного негативного воздействия экономической и иной деятельности, чрезвычайных ситуаций природного и техногенного характера и их последствий.</w:t>
      </w:r>
    </w:p>
    <w:p w:rsidR="00E618FE" w:rsidRPr="004F4597" w:rsidRDefault="00800098">
      <w:pPr>
        <w:ind w:firstLine="709"/>
        <w:jc w:val="both"/>
        <w:rPr>
          <w:sz w:val="26"/>
          <w:szCs w:val="26"/>
        </w:rPr>
      </w:pPr>
      <w:r w:rsidRPr="004F4597">
        <w:rPr>
          <w:sz w:val="26"/>
          <w:szCs w:val="26"/>
        </w:rPr>
        <w:t xml:space="preserve">В Томской области сохраняются высокие риски увеличения частоты случаев наступления опасных гидрометеорологических явлений, когда погодные условия в значительной степени отличаются от климатических норм: дефицит осадков в одни </w:t>
      </w:r>
      <w:r w:rsidRPr="004F4597">
        <w:rPr>
          <w:sz w:val="26"/>
          <w:szCs w:val="26"/>
        </w:rPr>
        <w:lastRenderedPageBreak/>
        <w:t>месяцы и их избыток в другие, позднее установление зимнего режима погоды, увеличение частоты оттепелей и продолжительности безморозного периода, установление аномальных холодов до наступления зимы. Аграрное производство сталкивается с рисками, связанными с возможным усугублением опасных природных процессов (поздние весенние и ранние осенние заморозки, низкая влажность, сильные ветры, геологические процессы и пр.). В теплое время года высоки риски возникновения природных лесных и торфяных пожаров. На высоком уровне находятся риски затопления и подтопления территорий в результате половодья в весенне-летний период. В границы зоны риска попадает 155 населенных пунктов с численностью населения 20 тыс. человек.</w:t>
      </w:r>
    </w:p>
    <w:p w:rsidR="00E618FE" w:rsidRPr="004F4597" w:rsidRDefault="00800098">
      <w:pPr>
        <w:ind w:firstLine="709"/>
        <w:jc w:val="both"/>
        <w:rPr>
          <w:sz w:val="26"/>
          <w:szCs w:val="26"/>
        </w:rPr>
      </w:pPr>
      <w:r w:rsidRPr="004F4597">
        <w:rPr>
          <w:sz w:val="26"/>
          <w:szCs w:val="26"/>
        </w:rPr>
        <w:t>В последние годы наблюдается усиление негативного влияния климатических изменений. Гидрометеорологические катаклизмы становятся все менее предсказуемыми, а их пос</w:t>
      </w:r>
      <w:r w:rsidR="004F4597">
        <w:rPr>
          <w:sz w:val="26"/>
          <w:szCs w:val="26"/>
        </w:rPr>
        <w:t>ледствия –</w:t>
      </w:r>
      <w:r w:rsidRPr="004F4597">
        <w:rPr>
          <w:sz w:val="26"/>
          <w:szCs w:val="26"/>
        </w:rPr>
        <w:t xml:space="preserve"> все более тяжелыми. Последствия изменения климата влияют на здоровье людей, состояние животного и растительного мира, функционирование экономики, включая объекты производственной инфраструктуры. Например, неблагоприятные природные явления, наблюдавшиеся в 2023 - 2024 годах, оказали существенное негативное влияние на работу АПК Томской области. Аномальная жара, засуха и грозы привели к масштабным лесным пожарам в 2021 и 2023 годах.</w:t>
      </w:r>
    </w:p>
    <w:p w:rsidR="00E618FE" w:rsidRPr="004F4597" w:rsidRDefault="00800098">
      <w:pPr>
        <w:ind w:firstLine="709"/>
        <w:jc w:val="both"/>
        <w:rPr>
          <w:sz w:val="26"/>
          <w:szCs w:val="26"/>
        </w:rPr>
      </w:pPr>
      <w:r w:rsidRPr="004F4597">
        <w:rPr>
          <w:sz w:val="26"/>
          <w:szCs w:val="26"/>
        </w:rPr>
        <w:t xml:space="preserve">Климатические изменения и дальнейший рост антропогенной нагрузки способствуют увеличению числа природных и техногенных катастроф </w:t>
      </w:r>
      <w:r w:rsidRPr="004F4597">
        <w:rPr>
          <w:sz w:val="26"/>
          <w:szCs w:val="26"/>
        </w:rPr>
        <w:br/>
        <w:t>и ущерба, наносимого ими природной среде и другим направлениям развития Томской области. Наибольшие климатические риски испытывают территории концентрации населения и хозяйственной деятельности: Томская агломерация, основные зоны ведения сельского и лесного хозяйства, а также добычи минерально-сырьевых ресурсов.</w:t>
      </w:r>
    </w:p>
    <w:p w:rsidR="00E618FE" w:rsidRPr="004F4597" w:rsidRDefault="00800098">
      <w:pPr>
        <w:ind w:firstLine="709"/>
        <w:jc w:val="both"/>
        <w:rPr>
          <w:sz w:val="26"/>
          <w:szCs w:val="26"/>
        </w:rPr>
      </w:pPr>
      <w:r w:rsidRPr="004F4597">
        <w:rPr>
          <w:sz w:val="26"/>
          <w:szCs w:val="26"/>
        </w:rPr>
        <w:t xml:space="preserve">Реализация стратегического приоритета предусматривает выполнение трех задач. Первая задача касается соблюдения нормативов качества окружающей среды. Вторая задача заключается в повышении уровня защищенности населения, объектов экономики и социальной сферы от стихийных бедствий природного характера. Решение третьей задачи направлено на адаптацию природной, социальной </w:t>
      </w:r>
      <w:r w:rsidR="004F4597">
        <w:rPr>
          <w:sz w:val="26"/>
          <w:szCs w:val="26"/>
        </w:rPr>
        <w:br/>
      </w:r>
      <w:r w:rsidRPr="004F4597">
        <w:rPr>
          <w:sz w:val="26"/>
          <w:szCs w:val="26"/>
        </w:rPr>
        <w:t>и экономической систем региона к изменениям климата.</w:t>
      </w:r>
    </w:p>
    <w:p w:rsidR="004F4597" w:rsidRDefault="004F4597">
      <w:pPr>
        <w:keepNext/>
        <w:keepLines/>
        <w:spacing w:before="120" w:after="120"/>
        <w:ind w:firstLine="709"/>
        <w:jc w:val="both"/>
        <w:outlineLvl w:val="3"/>
        <w:rPr>
          <w:b/>
          <w:spacing w:val="24"/>
          <w:sz w:val="28"/>
          <w:szCs w:val="28"/>
          <w:lang w:eastAsia="en-US"/>
        </w:rPr>
      </w:pP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Задачи:</w:t>
      </w:r>
    </w:p>
    <w:p w:rsidR="00E618FE" w:rsidRPr="00535A4B" w:rsidRDefault="00800098">
      <w:pPr>
        <w:ind w:firstLine="709"/>
        <w:jc w:val="both"/>
        <w:rPr>
          <w:b/>
          <w:sz w:val="28"/>
          <w:szCs w:val="28"/>
        </w:rPr>
      </w:pPr>
      <w:r w:rsidRPr="00535A4B">
        <w:rPr>
          <w:b/>
          <w:sz w:val="28"/>
          <w:szCs w:val="28"/>
        </w:rPr>
        <w:t>Задача 5.3.1. Обеспечить соблюдение нормативов качества окружающей среды.</w:t>
      </w:r>
    </w:p>
    <w:p w:rsidR="00E618FE" w:rsidRPr="004F4597" w:rsidRDefault="00800098">
      <w:pPr>
        <w:ind w:firstLine="709"/>
        <w:jc w:val="both"/>
        <w:rPr>
          <w:sz w:val="26"/>
          <w:szCs w:val="26"/>
        </w:rPr>
      </w:pPr>
      <w:r w:rsidRPr="004F4597">
        <w:rPr>
          <w:sz w:val="26"/>
          <w:szCs w:val="26"/>
        </w:rPr>
        <w:t>Ключевые направления и механизмы реализации:</w:t>
      </w:r>
    </w:p>
    <w:p w:rsidR="00E618FE" w:rsidRPr="004F4597" w:rsidRDefault="00800098">
      <w:pPr>
        <w:ind w:firstLine="709"/>
        <w:jc w:val="both"/>
        <w:rPr>
          <w:sz w:val="26"/>
          <w:szCs w:val="26"/>
        </w:rPr>
      </w:pPr>
      <w:r w:rsidRPr="004F4597">
        <w:rPr>
          <w:sz w:val="26"/>
          <w:szCs w:val="26"/>
        </w:rPr>
        <w:t>— совершенствование регионального законодательства по вопросам охраны окружающей среды, использования и воспроизводства природных ресурсов;</w:t>
      </w:r>
    </w:p>
    <w:p w:rsidR="00E618FE" w:rsidRPr="004F4597" w:rsidRDefault="00800098">
      <w:pPr>
        <w:ind w:firstLine="709"/>
        <w:jc w:val="both"/>
        <w:rPr>
          <w:sz w:val="26"/>
          <w:szCs w:val="26"/>
        </w:rPr>
      </w:pPr>
      <w:r w:rsidRPr="004F4597">
        <w:rPr>
          <w:sz w:val="26"/>
          <w:szCs w:val="26"/>
        </w:rPr>
        <w:t xml:space="preserve">— развитие территориальной системы государственного экологического мониторинга (государственного мониторинга окружающей среды) для контроля </w:t>
      </w:r>
      <w:r w:rsidR="004F4597">
        <w:rPr>
          <w:sz w:val="26"/>
          <w:szCs w:val="26"/>
        </w:rPr>
        <w:br/>
      </w:r>
      <w:r w:rsidRPr="004F4597">
        <w:rPr>
          <w:sz w:val="26"/>
          <w:szCs w:val="26"/>
        </w:rPr>
        <w:t>и прогнозирования изменений, принятия управленческих решений;</w:t>
      </w:r>
    </w:p>
    <w:p w:rsidR="00E618FE" w:rsidRPr="004F4597" w:rsidRDefault="00800098">
      <w:pPr>
        <w:ind w:firstLine="709"/>
        <w:jc w:val="both"/>
        <w:rPr>
          <w:sz w:val="26"/>
          <w:szCs w:val="26"/>
        </w:rPr>
      </w:pPr>
      <w:r w:rsidRPr="004F4597">
        <w:rPr>
          <w:sz w:val="26"/>
          <w:szCs w:val="26"/>
        </w:rPr>
        <w:t>— внедрение наилучших доступных технологий на объектах, оказывающих значительное негативное воздействие на окружающую среду;</w:t>
      </w:r>
    </w:p>
    <w:p w:rsidR="00E618FE" w:rsidRPr="004F4597" w:rsidRDefault="00800098">
      <w:pPr>
        <w:ind w:firstLine="709"/>
        <w:jc w:val="both"/>
        <w:rPr>
          <w:sz w:val="26"/>
          <w:szCs w:val="26"/>
        </w:rPr>
      </w:pPr>
      <w:r w:rsidRPr="004F4597">
        <w:rPr>
          <w:sz w:val="26"/>
          <w:szCs w:val="26"/>
        </w:rPr>
        <w:t>— устойчивое развитие особо охраняемых природных территорий регионального и местного значения;</w:t>
      </w:r>
    </w:p>
    <w:p w:rsidR="00E618FE" w:rsidRPr="004F4597" w:rsidRDefault="00800098">
      <w:pPr>
        <w:ind w:firstLine="709"/>
        <w:jc w:val="both"/>
        <w:rPr>
          <w:sz w:val="26"/>
          <w:szCs w:val="26"/>
        </w:rPr>
      </w:pPr>
      <w:r w:rsidRPr="004F4597">
        <w:rPr>
          <w:sz w:val="26"/>
          <w:szCs w:val="26"/>
        </w:rPr>
        <w:lastRenderedPageBreak/>
        <w:t xml:space="preserve">— проведение регулярных мероприятий по очистке от мусора берегов </w:t>
      </w:r>
      <w:r w:rsidR="004F4597">
        <w:rPr>
          <w:sz w:val="26"/>
          <w:szCs w:val="26"/>
        </w:rPr>
        <w:br/>
      </w:r>
      <w:r w:rsidRPr="004F4597">
        <w:rPr>
          <w:sz w:val="26"/>
          <w:szCs w:val="26"/>
        </w:rPr>
        <w:t>и прилегающих акваторий озер и рек.</w:t>
      </w:r>
    </w:p>
    <w:p w:rsidR="004F4597" w:rsidRDefault="004F4597">
      <w:pPr>
        <w:ind w:firstLine="709"/>
        <w:jc w:val="both"/>
        <w:rPr>
          <w:b/>
          <w:sz w:val="28"/>
          <w:szCs w:val="28"/>
        </w:rPr>
      </w:pPr>
    </w:p>
    <w:p w:rsidR="00E618FE" w:rsidRPr="00535A4B" w:rsidRDefault="00800098">
      <w:pPr>
        <w:ind w:firstLine="709"/>
        <w:jc w:val="both"/>
        <w:rPr>
          <w:b/>
          <w:sz w:val="28"/>
          <w:szCs w:val="28"/>
        </w:rPr>
      </w:pPr>
      <w:r w:rsidRPr="00535A4B">
        <w:rPr>
          <w:b/>
          <w:sz w:val="28"/>
          <w:szCs w:val="28"/>
        </w:rPr>
        <w:t>Задача 5.3.2. Повысить уровень защиты населения, объектов экономики и социальной сферы от стихийных бедствий природного характера.</w:t>
      </w:r>
    </w:p>
    <w:p w:rsidR="00E618FE" w:rsidRPr="004F4597" w:rsidRDefault="00800098">
      <w:pPr>
        <w:ind w:firstLine="709"/>
        <w:jc w:val="both"/>
        <w:rPr>
          <w:sz w:val="26"/>
          <w:szCs w:val="26"/>
        </w:rPr>
      </w:pPr>
      <w:r w:rsidRPr="004F4597">
        <w:rPr>
          <w:sz w:val="26"/>
          <w:szCs w:val="26"/>
        </w:rPr>
        <w:t>Ключевые направления и механизмы реализации:</w:t>
      </w:r>
    </w:p>
    <w:p w:rsidR="00E618FE" w:rsidRPr="004F4597" w:rsidRDefault="00800098">
      <w:pPr>
        <w:ind w:firstLine="709"/>
        <w:jc w:val="both"/>
        <w:rPr>
          <w:sz w:val="26"/>
          <w:szCs w:val="26"/>
        </w:rPr>
      </w:pPr>
      <w:r w:rsidRPr="004F4597">
        <w:rPr>
          <w:sz w:val="26"/>
          <w:szCs w:val="26"/>
        </w:rPr>
        <w:t>— развитие системы мониторинга климатических рисков территорий;</w:t>
      </w:r>
    </w:p>
    <w:p w:rsidR="00E618FE" w:rsidRPr="004F4597" w:rsidRDefault="00800098">
      <w:pPr>
        <w:ind w:firstLine="709"/>
        <w:jc w:val="both"/>
        <w:rPr>
          <w:sz w:val="26"/>
          <w:szCs w:val="26"/>
        </w:rPr>
      </w:pPr>
      <w:r w:rsidRPr="004F4597">
        <w:rPr>
          <w:sz w:val="26"/>
          <w:szCs w:val="26"/>
        </w:rPr>
        <w:t>— развитие системы предупреждения и предотвращения стихийных бедствий, включая природные пожары, затопления, подтопления и эпидемии особо опасных болезней;</w:t>
      </w:r>
    </w:p>
    <w:p w:rsidR="00E618FE" w:rsidRPr="004F4597" w:rsidRDefault="00800098">
      <w:pPr>
        <w:ind w:firstLine="709"/>
        <w:jc w:val="both"/>
        <w:rPr>
          <w:sz w:val="26"/>
          <w:szCs w:val="26"/>
        </w:rPr>
      </w:pPr>
      <w:r w:rsidRPr="004F4597">
        <w:rPr>
          <w:sz w:val="26"/>
          <w:szCs w:val="26"/>
        </w:rPr>
        <w:t xml:space="preserve">— проведение работ по берегозащите, берегоукреплению, капитальному ремонту и восстановлению защитных функций гидротехнических сооружений </w:t>
      </w:r>
      <w:r w:rsidR="004F4597">
        <w:rPr>
          <w:sz w:val="26"/>
          <w:szCs w:val="26"/>
        </w:rPr>
        <w:br/>
      </w:r>
      <w:r w:rsidRPr="004F4597">
        <w:rPr>
          <w:sz w:val="26"/>
          <w:szCs w:val="26"/>
        </w:rPr>
        <w:t>(в том числе бесхозных, с неудовлетворительным и опасным уровнем безопасности);</w:t>
      </w:r>
    </w:p>
    <w:p w:rsidR="00E618FE" w:rsidRPr="004F4597" w:rsidRDefault="00800098">
      <w:pPr>
        <w:ind w:firstLine="709"/>
        <w:jc w:val="both"/>
        <w:rPr>
          <w:sz w:val="26"/>
          <w:szCs w:val="26"/>
        </w:rPr>
      </w:pPr>
      <w:r w:rsidRPr="004F4597">
        <w:rPr>
          <w:sz w:val="26"/>
          <w:szCs w:val="26"/>
        </w:rPr>
        <w:t>— проведение работ по регулярной расчистке и углублению русел рек.</w:t>
      </w:r>
    </w:p>
    <w:p w:rsidR="004F4597" w:rsidRDefault="004F4597">
      <w:pPr>
        <w:ind w:firstLine="709"/>
        <w:jc w:val="both"/>
        <w:rPr>
          <w:b/>
          <w:sz w:val="28"/>
          <w:szCs w:val="28"/>
        </w:rPr>
      </w:pPr>
    </w:p>
    <w:p w:rsidR="00E618FE" w:rsidRPr="00535A4B" w:rsidRDefault="00800098">
      <w:pPr>
        <w:ind w:firstLine="709"/>
        <w:jc w:val="both"/>
        <w:rPr>
          <w:b/>
          <w:sz w:val="28"/>
          <w:szCs w:val="28"/>
        </w:rPr>
      </w:pPr>
      <w:r w:rsidRPr="00535A4B">
        <w:rPr>
          <w:b/>
          <w:sz w:val="28"/>
          <w:szCs w:val="28"/>
        </w:rPr>
        <w:t xml:space="preserve">Задача 5.3.3 Адаптировать природную, социальную </w:t>
      </w:r>
      <w:r w:rsidRPr="00535A4B">
        <w:rPr>
          <w:b/>
          <w:sz w:val="28"/>
          <w:szCs w:val="28"/>
        </w:rPr>
        <w:br/>
        <w:t>и экономическую системы региона к климатическим изменениям.</w:t>
      </w:r>
    </w:p>
    <w:p w:rsidR="00E618FE" w:rsidRPr="004F4597" w:rsidRDefault="00800098">
      <w:pPr>
        <w:ind w:firstLine="709"/>
        <w:jc w:val="both"/>
        <w:rPr>
          <w:sz w:val="26"/>
          <w:szCs w:val="26"/>
        </w:rPr>
      </w:pPr>
      <w:r w:rsidRPr="004F4597">
        <w:rPr>
          <w:sz w:val="26"/>
          <w:szCs w:val="26"/>
        </w:rPr>
        <w:t>Ключевые направления и механизмы реализации:</w:t>
      </w:r>
    </w:p>
    <w:p w:rsidR="00E618FE" w:rsidRPr="004F4597" w:rsidRDefault="00800098">
      <w:pPr>
        <w:ind w:firstLine="709"/>
        <w:jc w:val="both"/>
        <w:rPr>
          <w:sz w:val="26"/>
          <w:szCs w:val="26"/>
        </w:rPr>
      </w:pPr>
      <w:r w:rsidRPr="004F4597">
        <w:rPr>
          <w:sz w:val="26"/>
          <w:szCs w:val="26"/>
        </w:rPr>
        <w:t>— разработка и реализация регионального плана адаптации к изменениям климата и плана научно-технической деятельности в области экологического развития и климатических изменений;</w:t>
      </w:r>
    </w:p>
    <w:p w:rsidR="00E618FE" w:rsidRPr="004F4597" w:rsidRDefault="00800098">
      <w:pPr>
        <w:ind w:firstLine="709"/>
        <w:jc w:val="both"/>
        <w:rPr>
          <w:sz w:val="26"/>
          <w:szCs w:val="26"/>
        </w:rPr>
      </w:pPr>
      <w:r w:rsidRPr="004F4597">
        <w:rPr>
          <w:sz w:val="26"/>
          <w:szCs w:val="26"/>
        </w:rPr>
        <w:t xml:space="preserve">— снижение подверженности объектов инфраструктуры, природных объектов (экосистем) и населения области к подтоплениям и наводнениям; </w:t>
      </w:r>
    </w:p>
    <w:p w:rsidR="00E618FE" w:rsidRPr="004F4597" w:rsidRDefault="00800098">
      <w:pPr>
        <w:ind w:firstLine="709"/>
        <w:jc w:val="both"/>
        <w:rPr>
          <w:sz w:val="26"/>
          <w:szCs w:val="26"/>
        </w:rPr>
      </w:pPr>
      <w:r w:rsidRPr="004F4597">
        <w:rPr>
          <w:sz w:val="26"/>
          <w:szCs w:val="26"/>
        </w:rPr>
        <w:t>— использование в процессах лесовосстановления и лесоразведения адаптированных к прогнозируемым климатическим изменениям видов древесных пород;</w:t>
      </w:r>
    </w:p>
    <w:p w:rsidR="00E618FE" w:rsidRPr="004F4597" w:rsidRDefault="00800098">
      <w:pPr>
        <w:ind w:firstLine="709"/>
        <w:jc w:val="both"/>
        <w:rPr>
          <w:sz w:val="26"/>
          <w:szCs w:val="26"/>
        </w:rPr>
      </w:pPr>
      <w:r w:rsidRPr="004F4597">
        <w:rPr>
          <w:sz w:val="26"/>
          <w:szCs w:val="26"/>
        </w:rPr>
        <w:t xml:space="preserve">— совершенствование мер по предупреждению распространения вредных организмов, опасных инвазивных (чужеродных) растений; </w:t>
      </w:r>
    </w:p>
    <w:p w:rsidR="00E618FE" w:rsidRPr="004F4597" w:rsidRDefault="00800098">
      <w:pPr>
        <w:ind w:firstLine="709"/>
        <w:jc w:val="both"/>
        <w:rPr>
          <w:sz w:val="26"/>
          <w:szCs w:val="26"/>
        </w:rPr>
      </w:pPr>
      <w:r w:rsidRPr="004F4597">
        <w:rPr>
          <w:sz w:val="26"/>
          <w:szCs w:val="26"/>
        </w:rPr>
        <w:t>— реализация мероприятий в области мелиорации земель сельскохозяйственного назначения.</w:t>
      </w:r>
    </w:p>
    <w:p w:rsidR="00E618FE" w:rsidRPr="00535A4B" w:rsidRDefault="00800098">
      <w:pPr>
        <w:keepNext/>
        <w:keepLines/>
        <w:spacing w:before="120" w:after="120"/>
        <w:ind w:firstLine="709"/>
        <w:jc w:val="both"/>
        <w:outlineLvl w:val="3"/>
        <w:rPr>
          <w:b/>
          <w:spacing w:val="24"/>
          <w:sz w:val="28"/>
          <w:szCs w:val="28"/>
          <w:lang w:eastAsia="en-US"/>
        </w:rPr>
      </w:pPr>
      <w:r w:rsidRPr="00535A4B">
        <w:rPr>
          <w:b/>
          <w:spacing w:val="24"/>
          <w:sz w:val="28"/>
          <w:szCs w:val="28"/>
          <w:lang w:eastAsia="en-US"/>
        </w:rPr>
        <w:t>Целевые показатели:</w:t>
      </w:r>
    </w:p>
    <w:p w:rsidR="00E618FE" w:rsidRPr="004F4597" w:rsidRDefault="00800098">
      <w:pPr>
        <w:pStyle w:val="aff"/>
        <w:rPr>
          <w:rFonts w:ascii="Times New Roman" w:hAnsi="Times New Roman"/>
          <w:sz w:val="26"/>
          <w:szCs w:val="26"/>
          <w:lang w:val="ru-RU"/>
        </w:rPr>
      </w:pPr>
      <w:r w:rsidRPr="004F4597">
        <w:rPr>
          <w:rFonts w:ascii="Times New Roman" w:hAnsi="Times New Roman"/>
          <w:sz w:val="26"/>
          <w:szCs w:val="26"/>
          <w:lang w:val="ru-RU"/>
        </w:rPr>
        <w:t>Таблица 13.3. Целевые показатели Стратегического приоритета 5.3. «Экологическое благополучие и адаптация к изменениям климата»</w:t>
      </w:r>
    </w:p>
    <w:tbl>
      <w:tblPr>
        <w:tblStyle w:val="-18"/>
        <w:tblW w:w="9351" w:type="dxa"/>
        <w:tblLayout w:type="fixed"/>
        <w:tblLook w:val="04A0" w:firstRow="1" w:lastRow="0" w:firstColumn="1" w:lastColumn="0" w:noHBand="0" w:noVBand="1"/>
      </w:tblPr>
      <w:tblGrid>
        <w:gridCol w:w="5807"/>
        <w:gridCol w:w="1418"/>
        <w:gridCol w:w="992"/>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41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31"/>
              <w:ind w:right="1037"/>
              <w:rPr>
                <w:rFonts w:eastAsia="PT Astra Serif"/>
              </w:rPr>
            </w:pPr>
            <w:r w:rsidRPr="00535A4B">
              <w:rPr>
                <w:rFonts w:eastAsia="PT Astra Serif"/>
                <w:b w:val="0"/>
                <w:bCs w:val="0"/>
              </w:rPr>
              <w:t>Качество окружающей среды, %</w:t>
            </w:r>
            <w:r w:rsidRPr="00535A4B">
              <w:rPr>
                <w:rStyle w:val="af3"/>
                <w:rFonts w:eastAsia="PT Astra Serif"/>
                <w:b w:val="0"/>
                <w:bCs w:val="0"/>
              </w:rPr>
              <w:footnoteReference w:id="21"/>
            </w:r>
          </w:p>
        </w:tc>
        <w:tc>
          <w:tcPr>
            <w:tcW w:w="141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118,90</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r>
    </w:tbl>
    <w:p w:rsidR="00E618FE" w:rsidRPr="00535A4B" w:rsidRDefault="00E618FE"/>
    <w:p w:rsidR="00E618FE" w:rsidRPr="00535A4B" w:rsidRDefault="00800098">
      <w:pPr>
        <w:pStyle w:val="21"/>
        <w:rPr>
          <w:rFonts w:ascii="Times New Roman" w:hAnsi="Times New Roman" w:cs="Times New Roman"/>
          <w:b w:val="0"/>
          <w:bCs w:val="0"/>
          <w:i/>
          <w:iCs/>
          <w:szCs w:val="28"/>
          <w:lang w:eastAsia="ar-SA"/>
        </w:rPr>
      </w:pPr>
      <w:bookmarkStart w:id="199" w:name="_Toc235810170"/>
      <w:bookmarkStart w:id="200" w:name="_Toc238554558"/>
      <w:r w:rsidRPr="00535A4B">
        <w:rPr>
          <w:rFonts w:ascii="Times New Roman" w:hAnsi="Times New Roman" w:cs="Times New Roman"/>
          <w:szCs w:val="28"/>
          <w:lang w:eastAsia="ar-SA"/>
        </w:rPr>
        <w:lastRenderedPageBreak/>
        <w:t>Стратегический приоритет 5.4. «</w:t>
      </w:r>
      <w:r w:rsidRPr="00535A4B">
        <w:rPr>
          <w:rFonts w:ascii="Times New Roman" w:eastAsia="PT Astra Serif" w:hAnsi="Times New Roman" w:cs="Times New Roman"/>
          <w:szCs w:val="28"/>
        </w:rPr>
        <w:t>Растущий и эффективно используемый природно-ресурсный потенциал»</w:t>
      </w:r>
      <w:bookmarkEnd w:id="199"/>
      <w:bookmarkEnd w:id="200"/>
    </w:p>
    <w:p w:rsidR="00E618FE" w:rsidRPr="00535A4B" w:rsidRDefault="00E618FE">
      <w:pPr>
        <w:pStyle w:val="a4"/>
        <w:rPr>
          <w:rFonts w:ascii="Times New Roman" w:hAnsi="Times New Roman"/>
          <w:color w:val="auto"/>
          <w:shd w:val="clear" w:color="auto" w:fill="FFFFFF"/>
        </w:rPr>
      </w:pPr>
    </w:p>
    <w:p w:rsidR="00E618FE" w:rsidRPr="004F4597" w:rsidRDefault="00800098">
      <w:pPr>
        <w:pStyle w:val="a4"/>
        <w:rPr>
          <w:rFonts w:ascii="Times New Roman" w:hAnsi="Times New Roman"/>
          <w:color w:val="auto"/>
          <w:sz w:val="26"/>
          <w:szCs w:val="26"/>
          <w:shd w:val="clear" w:color="auto" w:fill="FFFFFF"/>
        </w:rPr>
      </w:pPr>
      <w:r w:rsidRPr="004F4597">
        <w:rPr>
          <w:rFonts w:ascii="Times New Roman" w:hAnsi="Times New Roman"/>
          <w:color w:val="auto"/>
          <w:sz w:val="26"/>
          <w:szCs w:val="26"/>
          <w:shd w:val="clear" w:color="auto" w:fill="FFFFFF"/>
        </w:rPr>
        <w:t>Недра Томской области богаты полезными ископаемыми. Наибольшую ценность представляют углеводородное сырье, металлы (в том числе редкоземельные), керамическое и огнеупорное сырье и строительные материалы. Большой проблемой является постепенное истощение эксплуатируемых месторождений углеводородного сырья. Разведка и разработка новых месторождений осложняется неблагоприятной ситуацией на международных рынках, санкционным режимом, дефицитом инвестиций. В</w:t>
      </w:r>
      <w:r w:rsidRPr="004F4597">
        <w:rPr>
          <w:rFonts w:ascii="Times New Roman" w:hAnsi="Times New Roman"/>
          <w:color w:val="auto"/>
          <w:sz w:val="26"/>
          <w:szCs w:val="26"/>
        </w:rPr>
        <w:t> </w:t>
      </w:r>
      <w:r w:rsidRPr="004F4597">
        <w:rPr>
          <w:rFonts w:ascii="Times New Roman" w:hAnsi="Times New Roman"/>
          <w:color w:val="auto"/>
          <w:sz w:val="26"/>
          <w:szCs w:val="26"/>
          <w:shd w:val="clear" w:color="auto" w:fill="FFFFFF"/>
        </w:rPr>
        <w:t>последние годы объемы добычи нефти и газа снижаются.</w:t>
      </w:r>
    </w:p>
    <w:p w:rsidR="00E618FE" w:rsidRPr="004F4597" w:rsidRDefault="00800098">
      <w:pPr>
        <w:pStyle w:val="a4"/>
        <w:rPr>
          <w:rFonts w:ascii="Times New Roman" w:hAnsi="Times New Roman"/>
          <w:color w:val="auto"/>
          <w:sz w:val="26"/>
          <w:szCs w:val="26"/>
          <w:shd w:val="clear" w:color="auto" w:fill="FFFFFF"/>
        </w:rPr>
      </w:pPr>
      <w:r w:rsidRPr="004F4597">
        <w:rPr>
          <w:rFonts w:ascii="Times New Roman" w:hAnsi="Times New Roman"/>
          <w:color w:val="auto"/>
          <w:sz w:val="26"/>
          <w:szCs w:val="26"/>
          <w:shd w:val="clear" w:color="auto" w:fill="FFFFFF"/>
        </w:rPr>
        <w:t xml:space="preserve">Томская область богата лесными ресурсами, которые выполняют как важные экологические, так и экономические функции, являясь основой функционирования лесопромышленного комплекса. Леса богаты различными видами полезной лесной растительности. Наличие огромных лесных ресурсов является основой </w:t>
      </w:r>
      <w:r w:rsidR="004F4597">
        <w:rPr>
          <w:rFonts w:ascii="Times New Roman" w:hAnsi="Times New Roman"/>
          <w:color w:val="auto"/>
          <w:sz w:val="26"/>
          <w:szCs w:val="26"/>
          <w:shd w:val="clear" w:color="auto" w:fill="FFFFFF"/>
        </w:rPr>
        <w:br/>
      </w:r>
      <w:r w:rsidRPr="004F4597">
        <w:rPr>
          <w:rFonts w:ascii="Times New Roman" w:hAnsi="Times New Roman"/>
          <w:color w:val="auto"/>
          <w:sz w:val="26"/>
          <w:szCs w:val="26"/>
          <w:shd w:val="clear" w:color="auto" w:fill="FFFFFF"/>
        </w:rPr>
        <w:t>для поддержания экологического баланса, развития деревообрабатывающих, пищевых и фармацевтических производств, возможности отдыха населения, повышения инвестиционной и туристической привлекательности региона. Важным элементом природной системы региона являются особо охраняемые природные территории (ООПТ). Наличие ООПТ создает хорошие возможности для повышения их экологического (природосберегающего), научно-исследовательского, образовательно-просветительского и туристско-рекреационного значения.</w:t>
      </w:r>
    </w:p>
    <w:p w:rsidR="00E618FE" w:rsidRPr="004F4597" w:rsidRDefault="00800098">
      <w:pPr>
        <w:pStyle w:val="a4"/>
        <w:rPr>
          <w:rFonts w:ascii="Times New Roman" w:hAnsi="Times New Roman"/>
          <w:color w:val="auto"/>
          <w:sz w:val="26"/>
          <w:szCs w:val="26"/>
          <w:shd w:val="clear" w:color="auto" w:fill="FFFFFF"/>
        </w:rPr>
      </w:pPr>
      <w:r w:rsidRPr="004F4597">
        <w:rPr>
          <w:rFonts w:ascii="Times New Roman" w:hAnsi="Times New Roman"/>
          <w:color w:val="auto"/>
          <w:sz w:val="26"/>
          <w:szCs w:val="26"/>
          <w:shd w:val="clear" w:color="auto" w:fill="FFFFFF"/>
        </w:rPr>
        <w:t xml:space="preserve">Регион отличается хорошей обеспеченностью водными ресурсами (поверхностными и подземными водами), которые удовлетворяют все базовые потребности населения и экономики. Однако подземные воды характеризуются невысоким качеством. Речная сеть и озера создают благоприятные условия </w:t>
      </w:r>
      <w:r w:rsidR="004F4597">
        <w:rPr>
          <w:rFonts w:ascii="Times New Roman" w:hAnsi="Times New Roman"/>
          <w:color w:val="auto"/>
          <w:sz w:val="26"/>
          <w:szCs w:val="26"/>
          <w:shd w:val="clear" w:color="auto" w:fill="FFFFFF"/>
        </w:rPr>
        <w:br/>
      </w:r>
      <w:r w:rsidRPr="004F4597">
        <w:rPr>
          <w:rFonts w:ascii="Times New Roman" w:hAnsi="Times New Roman"/>
          <w:color w:val="auto"/>
          <w:sz w:val="26"/>
          <w:szCs w:val="26"/>
          <w:shd w:val="clear" w:color="auto" w:fill="FFFFFF"/>
        </w:rPr>
        <w:t>для отдыха населения, развития водного транспорта и въездного туризма.</w:t>
      </w:r>
    </w:p>
    <w:p w:rsidR="00E618FE" w:rsidRPr="004F4597" w:rsidRDefault="00800098">
      <w:pPr>
        <w:pStyle w:val="a4"/>
        <w:rPr>
          <w:rFonts w:ascii="Times New Roman" w:hAnsi="Times New Roman"/>
          <w:color w:val="auto"/>
          <w:sz w:val="26"/>
          <w:szCs w:val="26"/>
          <w:shd w:val="clear" w:color="auto" w:fill="FFFFFF"/>
        </w:rPr>
      </w:pPr>
      <w:r w:rsidRPr="004F4597">
        <w:rPr>
          <w:rFonts w:ascii="Times New Roman" w:hAnsi="Times New Roman"/>
          <w:color w:val="auto"/>
          <w:sz w:val="26"/>
          <w:szCs w:val="26"/>
          <w:shd w:val="clear" w:color="auto" w:fill="FFFFFF"/>
        </w:rPr>
        <w:t>Для повышения эффективности использования природно-ресурсного потенциала требуются значительные инвестиции в геологоразведку, разработку месторождений, улучшение (модернизацию) производственной инфраструктуры, создание (приобретение) новейших технологий добычи и использования (переработки) природных ресурсов, приобретение современного высокотехнологичного оборудования, подготовку и привлечение квалифицированных кадров. Серьезными препятствиями для эффективного использования природно-ресурсного потенциала являются низкий уровень развития транспортной инфраструктуры (прежде всего, железнодорожной), неустойчивость рыночной конъюнктуры, политика международных организаций и крупнейших ресурсодобывающих компаний (важные управленческие решения принимаются за пределами Томской области), санкционный режим, введенный против России, финансово-налоговые условия. При использовании природно-ресурсного потенциала необходимо уделять соответствующее равное внимание всем трем составляющим этого процесса: добыче (использованию), охране и воспроизводству природных ресурсов.</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Повышение эффективности использования природных ресурсов будет способствовать экономическому росту, улучшению положения дел в социальной сфере, повышению качества жизни населения Томской области. Эффективное использование, охрана и воспроизводство природных ресурсов должны осуществляться с соблюдением принципов бережного отношения к природной среде </w:t>
      </w:r>
      <w:r w:rsidRPr="004F4597">
        <w:rPr>
          <w:rFonts w:ascii="Times New Roman" w:hAnsi="Times New Roman"/>
          <w:color w:val="auto"/>
          <w:sz w:val="26"/>
          <w:szCs w:val="26"/>
        </w:rPr>
        <w:lastRenderedPageBreak/>
        <w:t xml:space="preserve">и устойчивого развития. Особое внимание необходимо уделять формированию </w:t>
      </w:r>
      <w:r w:rsidR="004F4597">
        <w:rPr>
          <w:rFonts w:ascii="Times New Roman" w:hAnsi="Times New Roman"/>
          <w:color w:val="auto"/>
          <w:sz w:val="26"/>
          <w:szCs w:val="26"/>
        </w:rPr>
        <w:br/>
      </w:r>
      <w:r w:rsidRPr="004F4597">
        <w:rPr>
          <w:rFonts w:ascii="Times New Roman" w:hAnsi="Times New Roman"/>
          <w:color w:val="auto"/>
          <w:sz w:val="26"/>
          <w:szCs w:val="26"/>
        </w:rPr>
        <w:t>и развитию мощного комплекса природосберегающих и природоподобных технологий.</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Реализация стратегического приоритета предусматривает решение двух задач. Первая задача касается повышения эффективности использования лесных ресурсов. Вторая задача связана с повышением эффективности использования минерально-сырьевых, земельных, водных, природно-рекреационных и охотничьих ресурсов. </w:t>
      </w:r>
    </w:p>
    <w:p w:rsidR="004F4597" w:rsidRDefault="004F4597">
      <w:pPr>
        <w:pStyle w:val="41"/>
        <w:rPr>
          <w:rFonts w:ascii="Times New Roman" w:hAnsi="Times New Roman"/>
          <w:lang w:val="ru-RU"/>
        </w:rPr>
      </w:pPr>
    </w:p>
    <w:p w:rsidR="00E618FE" w:rsidRPr="00535A4B" w:rsidRDefault="00800098">
      <w:pPr>
        <w:pStyle w:val="41"/>
        <w:rPr>
          <w:rFonts w:ascii="Times New Roman" w:hAnsi="Times New Roman"/>
          <w:lang w:val="ru-RU"/>
        </w:rPr>
      </w:pPr>
      <w:r w:rsidRPr="00535A4B">
        <w:rPr>
          <w:rFonts w:ascii="Times New Roman" w:hAnsi="Times New Roman"/>
          <w:lang w:val="ru-RU"/>
        </w:rPr>
        <w:t>Задачи:</w:t>
      </w: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5.4.1. Повысить эффективность использования лесных ресурсов</w:t>
      </w:r>
      <w:r w:rsidRPr="00535A4B">
        <w:rPr>
          <w:rFonts w:ascii="Times New Roman" w:hAnsi="Times New Roman"/>
          <w:color w:val="auto"/>
        </w:rPr>
        <w:t>.</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Ключевые направления и механизмы реализации: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повышение сохранности и продуктивности лесов на землях лесного фонда, проведение лесоустройства для актуализации данных Государственного лесного реестра;</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усиление охраны и защиты лесов от пожаров и вредных организмов, реализация регионального проекта «Сохранение лесов»;</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сохранение кедровников, повышение эффективности воспроизводства лесов, достижение показателей по лесовосстановлению;</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развитие кадрового потенциала через поддержку молодых специалистов, популяризацию профессий и обеспечение квалифицированными кадрами государственных организаций и предприятий в районах области;</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xml:space="preserve">— технологическая модернизация и обновление парка техники, оснащение специализированных учреждений оборудованием для охраны, защиты </w:t>
      </w:r>
      <w:r w:rsidR="00C96D9B">
        <w:rPr>
          <w:rFonts w:ascii="Times New Roman" w:hAnsi="Times New Roman"/>
          <w:color w:val="auto"/>
          <w:sz w:val="26"/>
          <w:szCs w:val="26"/>
        </w:rPr>
        <w:br/>
      </w:r>
      <w:r w:rsidRPr="004F4597">
        <w:rPr>
          <w:rFonts w:ascii="Times New Roman" w:hAnsi="Times New Roman"/>
          <w:color w:val="auto"/>
          <w:sz w:val="26"/>
          <w:szCs w:val="26"/>
        </w:rPr>
        <w:t>и воспроизводства лесов;</w:t>
      </w:r>
    </w:p>
    <w:p w:rsidR="00E618FE" w:rsidRPr="004F4597" w:rsidRDefault="00800098">
      <w:pPr>
        <w:pStyle w:val="a4"/>
        <w:rPr>
          <w:rFonts w:ascii="Times New Roman" w:hAnsi="Times New Roman"/>
          <w:color w:val="auto"/>
          <w:sz w:val="26"/>
          <w:szCs w:val="26"/>
        </w:rPr>
      </w:pPr>
      <w:r w:rsidRPr="004F4597">
        <w:rPr>
          <w:rFonts w:ascii="Times New Roman" w:hAnsi="Times New Roman"/>
          <w:color w:val="auto"/>
          <w:sz w:val="26"/>
          <w:szCs w:val="26"/>
        </w:rPr>
        <w:t>— создание благоприятных условий для заготовки и глубокой переработки полезной лесной растительности для получения продукции с высокой добавленной стоимостью.</w:t>
      </w:r>
    </w:p>
    <w:p w:rsidR="00C96D9B" w:rsidRDefault="00C96D9B">
      <w:pPr>
        <w:pStyle w:val="a4"/>
        <w:rPr>
          <w:rFonts w:ascii="Times New Roman" w:hAnsi="Times New Roman"/>
          <w:b/>
          <w:bCs/>
          <w:color w:val="auto"/>
        </w:rPr>
      </w:pPr>
    </w:p>
    <w:p w:rsidR="00E618FE" w:rsidRPr="00535A4B" w:rsidRDefault="00800098">
      <w:pPr>
        <w:pStyle w:val="a4"/>
        <w:rPr>
          <w:rFonts w:ascii="Times New Roman" w:hAnsi="Times New Roman"/>
          <w:color w:val="auto"/>
        </w:rPr>
      </w:pPr>
      <w:r w:rsidRPr="00535A4B">
        <w:rPr>
          <w:rFonts w:ascii="Times New Roman" w:hAnsi="Times New Roman"/>
          <w:b/>
          <w:bCs/>
          <w:color w:val="auto"/>
        </w:rPr>
        <w:t>Задача 5.4.2. Повысить эффективность использования минерально-сырьевых, земельных, водных, природно-рекреационных и охотничьих ресурсов</w:t>
      </w:r>
      <w:r w:rsidRPr="00535A4B">
        <w:rPr>
          <w:rFonts w:ascii="Times New Roman" w:hAnsi="Times New Roman"/>
          <w:color w:val="auto"/>
        </w:rPr>
        <w:t>.</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Ключевые направления и механизмы реализации: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воспроизводство минерально-сырьевой базы, рациональное использование и охрана недр на основе привлечения инвестиций в геологоразведку, разработку месторождений и модернизацию инфраструктуры;</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создание (приобретение) новейших технологий добычи природных ресурсов, современного высокотехнологичного оборудования, подготовка </w:t>
      </w:r>
      <w:r w:rsidR="00C96D9B">
        <w:rPr>
          <w:rFonts w:ascii="Times New Roman" w:hAnsi="Times New Roman"/>
          <w:color w:val="auto"/>
          <w:sz w:val="26"/>
          <w:szCs w:val="26"/>
        </w:rPr>
        <w:br/>
      </w:r>
      <w:r w:rsidRPr="00C96D9B">
        <w:rPr>
          <w:rFonts w:ascii="Times New Roman" w:hAnsi="Times New Roman"/>
          <w:color w:val="auto"/>
          <w:sz w:val="26"/>
          <w:szCs w:val="26"/>
        </w:rPr>
        <w:t>и привлечение квалифицированных кадров;</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увеличение производственных мощностей по переработке сырьевых ресурсов на территории области, рост числа патентов на передовые производственные технологии в природно-ресурсной сфере;</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проведение инвентаризации земель для выявления неиспользуемых, нерационально используемых или используемых не по целевому назначению участков, уточнение видов разрешенного использования с учетом целей экологического благополучия и устойчивого развития; </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lastRenderedPageBreak/>
        <w:t>— организация эффективного использования водных ресурсов на основе рыбохозяйственного и туристско-рекреационного потенциала рек и озер;</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регулирование и охрана водных биологических ресурсов;</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развитие промышленного рыболовства и рыбопереработки; </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повышение экологического, научно-исследовательского, образовательно-просветительского и туристско-рекреационного значения ООПТ, улучшение рекреационной базы для развития экологического и спортивного туризма;</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увеличение числа туристов, посещающих ООПТ Томской области;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улучшение материально-технической базы охотничьего хозяйства, проведение мероприятий по стабилизации и увеличению численности объектов животного мира.</w:t>
      </w:r>
    </w:p>
    <w:p w:rsidR="00C96D9B" w:rsidRDefault="00C96D9B">
      <w:pPr>
        <w:pStyle w:val="41"/>
        <w:rPr>
          <w:rFonts w:ascii="Times New Roman" w:hAnsi="Times New Roman"/>
          <w:bCs/>
          <w:lang w:val="ru-RU"/>
        </w:rPr>
      </w:pPr>
    </w:p>
    <w:p w:rsidR="00E618FE" w:rsidRPr="00535A4B" w:rsidRDefault="00800098">
      <w:pPr>
        <w:pStyle w:val="41"/>
        <w:rPr>
          <w:rFonts w:ascii="Times New Roman" w:hAnsi="Times New Roman"/>
          <w:b w:val="0"/>
          <w:bCs/>
          <w:i/>
          <w:iCs/>
          <w:lang w:val="ru-RU"/>
        </w:rPr>
      </w:pPr>
      <w:r w:rsidRPr="00535A4B">
        <w:rPr>
          <w:rFonts w:ascii="Times New Roman" w:hAnsi="Times New Roman"/>
          <w:bCs/>
          <w:lang w:val="ru-RU"/>
        </w:rPr>
        <w:t>Целевые показатели:</w:t>
      </w:r>
    </w:p>
    <w:p w:rsidR="00E618FE" w:rsidRPr="00C96D9B" w:rsidRDefault="00800098">
      <w:pPr>
        <w:pStyle w:val="aff"/>
        <w:rPr>
          <w:rFonts w:ascii="Times New Roman" w:hAnsi="Times New Roman"/>
          <w:sz w:val="26"/>
          <w:szCs w:val="26"/>
          <w:lang w:val="ru-RU"/>
        </w:rPr>
      </w:pPr>
      <w:r w:rsidRPr="00C96D9B">
        <w:rPr>
          <w:rFonts w:ascii="Times New Roman" w:hAnsi="Times New Roman"/>
          <w:sz w:val="26"/>
          <w:szCs w:val="26"/>
          <w:lang w:val="ru-RU"/>
        </w:rPr>
        <w:t>Таблица </w:t>
      </w:r>
      <w:r w:rsidRPr="00C96D9B">
        <w:rPr>
          <w:rFonts w:ascii="Times New Roman" w:hAnsi="Times New Roman"/>
          <w:sz w:val="26"/>
          <w:szCs w:val="26"/>
          <w:lang w:val="ru-RU" w:eastAsia="ru-RU"/>
        </w:rPr>
        <w:t>13.4. </w:t>
      </w:r>
      <w:r w:rsidRPr="00C96D9B">
        <w:rPr>
          <w:rFonts w:ascii="Times New Roman" w:hAnsi="Times New Roman"/>
          <w:sz w:val="26"/>
          <w:szCs w:val="26"/>
          <w:lang w:val="ru-RU"/>
        </w:rPr>
        <w:t>Целевые показатели Стратегического приоритета 5.4 «</w:t>
      </w:r>
      <w:r w:rsidRPr="00C96D9B">
        <w:rPr>
          <w:rFonts w:ascii="Times New Roman" w:eastAsia="Calibri" w:hAnsi="Times New Roman"/>
          <w:sz w:val="26"/>
          <w:szCs w:val="26"/>
          <w:lang w:val="ru-RU"/>
        </w:rPr>
        <w:t xml:space="preserve">Растущий </w:t>
      </w:r>
      <w:r w:rsidR="00C96D9B">
        <w:rPr>
          <w:rFonts w:ascii="Times New Roman" w:eastAsia="Calibri" w:hAnsi="Times New Roman"/>
          <w:sz w:val="26"/>
          <w:szCs w:val="26"/>
          <w:lang w:val="ru-RU"/>
        </w:rPr>
        <w:br/>
      </w:r>
      <w:r w:rsidRPr="00C96D9B">
        <w:rPr>
          <w:rFonts w:ascii="Times New Roman" w:eastAsia="Calibri" w:hAnsi="Times New Roman"/>
          <w:sz w:val="26"/>
          <w:szCs w:val="26"/>
          <w:lang w:val="ru-RU"/>
        </w:rPr>
        <w:t>и эффективно используемый природно-ресурсный потенциал»</w:t>
      </w:r>
      <w:r w:rsidRPr="00C96D9B">
        <w:rPr>
          <w:rFonts w:ascii="Times New Roman" w:eastAsiaTheme="minorHAnsi" w:hAnsi="Times New Roman"/>
          <w:sz w:val="26"/>
          <w:szCs w:val="26"/>
          <w:lang w:val="ru-RU"/>
        </w:rPr>
        <w:t xml:space="preserve"> </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Отношение площади лесовосстановления </w:t>
            </w:r>
            <w:r w:rsidRPr="00535A4B">
              <w:rPr>
                <w:b w:val="0"/>
                <w:bCs w:val="0"/>
              </w:rPr>
              <w:br/>
              <w:t>и лесоразведения к площади вырубленных и погибших лесных насаждений в 2024 году, %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100,20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112,00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116,00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Отношение объема переработки рыбо- и морепродуктов </w:t>
            </w:r>
            <w:r w:rsidRPr="00535A4B">
              <w:rPr>
                <w:b w:val="0"/>
                <w:bCs w:val="0"/>
              </w:rPr>
              <w:br/>
              <w:t>к показателю 2025 года,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114,30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128,60</w:t>
            </w:r>
          </w:p>
        </w:tc>
      </w:tr>
    </w:tbl>
    <w:p w:rsidR="00E618FE" w:rsidRPr="00535A4B" w:rsidRDefault="00E618FE">
      <w:pPr>
        <w:spacing w:after="160" w:line="259" w:lineRule="auto"/>
        <w:rPr>
          <w:rFonts w:eastAsia="PT Astra Serif"/>
        </w:rPr>
      </w:pPr>
    </w:p>
    <w:p w:rsidR="00E618FE" w:rsidRPr="00535A4B" w:rsidRDefault="00E618FE">
      <w:pPr>
        <w:spacing w:after="160" w:line="259" w:lineRule="auto"/>
        <w:rPr>
          <w:rFonts w:eastAsia="PT Astra Serif"/>
          <w:b/>
          <w:caps/>
          <w:sz w:val="28"/>
          <w:szCs w:val="32"/>
          <w:lang w:eastAsia="en-US" w:bidi="en-US"/>
        </w:rPr>
      </w:pPr>
      <w:bookmarkStart w:id="201" w:name="_Hlk230977904"/>
      <w:bookmarkStart w:id="202" w:name="_Hlk228447740"/>
    </w:p>
    <w:p w:rsidR="00E618FE" w:rsidRPr="00535A4B" w:rsidRDefault="00800098">
      <w:pPr>
        <w:spacing w:after="160" w:line="259" w:lineRule="auto"/>
        <w:rPr>
          <w:rFonts w:eastAsia="PT Astra Serif"/>
          <w:b/>
          <w:caps/>
          <w:sz w:val="28"/>
          <w:szCs w:val="32"/>
          <w:lang w:eastAsia="en-US" w:bidi="en-US"/>
        </w:rPr>
      </w:pPr>
      <w:r w:rsidRPr="00535A4B">
        <w:rPr>
          <w:rFonts w:eastAsia="PT Astra Serif"/>
        </w:rPr>
        <w:br w:type="page" w:clear="all"/>
      </w:r>
    </w:p>
    <w:p w:rsidR="00E618FE" w:rsidRPr="00535A4B" w:rsidRDefault="00800098">
      <w:pPr>
        <w:pStyle w:val="10"/>
        <w:rPr>
          <w:rFonts w:ascii="Times New Roman" w:eastAsia="PT Astra Serif" w:hAnsi="Times New Roman" w:cs="Times New Roman"/>
          <w:lang w:val="ru-RU"/>
        </w:rPr>
      </w:pPr>
      <w:bookmarkStart w:id="203" w:name="_Toc235810171"/>
      <w:bookmarkStart w:id="204" w:name="_Toc238554559"/>
      <w:r w:rsidRPr="00535A4B">
        <w:rPr>
          <w:rFonts w:ascii="Times New Roman" w:eastAsia="PT Astra Serif" w:hAnsi="Times New Roman" w:cs="Times New Roman"/>
          <w:lang w:val="ru-RU"/>
        </w:rPr>
        <w:lastRenderedPageBreak/>
        <w:t>14. Региональная цель 6 «Совершенствование государственного и муниципального управления. Цифровая трансформация»</w:t>
      </w:r>
      <w:bookmarkEnd w:id="203"/>
      <w:bookmarkEnd w:id="204"/>
    </w:p>
    <w:p w:rsidR="00E618FE" w:rsidRPr="00535A4B" w:rsidRDefault="00E618FE">
      <w:pPr>
        <w:pStyle w:val="a4"/>
        <w:tabs>
          <w:tab w:val="left" w:pos="4376"/>
        </w:tabs>
        <w:rPr>
          <w:rFonts w:ascii="Times New Roman" w:eastAsia="PT Astra Serif" w:hAnsi="Times New Roman"/>
          <w:color w:val="auto"/>
          <w:lang w:bidi="en-US"/>
        </w:rPr>
      </w:pPr>
    </w:p>
    <w:p w:rsidR="00E618FE" w:rsidRPr="00C96D9B" w:rsidRDefault="00800098">
      <w:pPr>
        <w:pStyle w:val="a4"/>
        <w:rPr>
          <w:rFonts w:ascii="Times New Roman" w:eastAsia="Calibri" w:hAnsi="Times New Roman"/>
          <w:color w:val="auto"/>
          <w:sz w:val="26"/>
          <w:szCs w:val="26"/>
        </w:rPr>
      </w:pPr>
      <w:r w:rsidRPr="00C96D9B">
        <w:rPr>
          <w:rFonts w:ascii="Times New Roman" w:eastAsia="Calibri" w:hAnsi="Times New Roman"/>
          <w:b/>
          <w:bCs/>
          <w:color w:val="auto"/>
        </w:rPr>
        <w:t xml:space="preserve">Региональная цель 6 «Совершенствование государственного </w:t>
      </w:r>
      <w:r w:rsidRPr="00C96D9B">
        <w:rPr>
          <w:rFonts w:ascii="Times New Roman" w:eastAsia="Calibri" w:hAnsi="Times New Roman"/>
          <w:b/>
          <w:bCs/>
          <w:color w:val="auto"/>
        </w:rPr>
        <w:br/>
        <w:t>и муниципального управления. Цифровая трансформация»</w:t>
      </w:r>
      <w:r w:rsidRPr="00C96D9B">
        <w:rPr>
          <w:rFonts w:ascii="Times New Roman" w:eastAsia="Calibri" w:hAnsi="Times New Roman"/>
          <w:color w:val="auto"/>
          <w:sz w:val="26"/>
          <w:szCs w:val="26"/>
        </w:rPr>
        <w:t xml:space="preserve"> направлена </w:t>
      </w:r>
      <w:r w:rsidR="00C96D9B">
        <w:rPr>
          <w:rFonts w:ascii="Times New Roman" w:eastAsia="Calibri" w:hAnsi="Times New Roman"/>
          <w:color w:val="auto"/>
          <w:sz w:val="26"/>
          <w:szCs w:val="26"/>
        </w:rPr>
        <w:br/>
      </w:r>
      <w:r w:rsidRPr="00C96D9B">
        <w:rPr>
          <w:rFonts w:ascii="Times New Roman" w:eastAsia="Calibri" w:hAnsi="Times New Roman"/>
          <w:color w:val="auto"/>
          <w:sz w:val="26"/>
          <w:szCs w:val="26"/>
        </w:rPr>
        <w:t xml:space="preserve">на формирование к 2036 году современной системы государственного </w:t>
      </w:r>
      <w:r w:rsidR="00C96D9B">
        <w:rPr>
          <w:rFonts w:ascii="Times New Roman" w:eastAsia="Calibri" w:hAnsi="Times New Roman"/>
          <w:color w:val="auto"/>
          <w:sz w:val="26"/>
          <w:szCs w:val="26"/>
        </w:rPr>
        <w:br/>
      </w:r>
      <w:r w:rsidRPr="00C96D9B">
        <w:rPr>
          <w:rFonts w:ascii="Times New Roman" w:eastAsia="Calibri" w:hAnsi="Times New Roman"/>
          <w:color w:val="auto"/>
          <w:sz w:val="26"/>
          <w:szCs w:val="26"/>
        </w:rPr>
        <w:t xml:space="preserve">и муниципального управления Томской области, обеспечивающей рост доверия граждан к органам власти, повышение профессионализма и ответственности органов власти, повышение эффективности и прозрачности использования бюджетных ресурсов, а также достижение целевого значения цифровой зрелости ключевых сфер экономики и социальной сферы на основе российских технологий </w:t>
      </w:r>
      <w:r w:rsidR="00C96D9B">
        <w:rPr>
          <w:rFonts w:ascii="Times New Roman" w:eastAsia="Calibri" w:hAnsi="Times New Roman"/>
          <w:color w:val="auto"/>
          <w:sz w:val="26"/>
          <w:szCs w:val="26"/>
        </w:rPr>
        <w:br/>
      </w:r>
      <w:r w:rsidRPr="00C96D9B">
        <w:rPr>
          <w:rFonts w:ascii="Times New Roman" w:eastAsia="Calibri" w:hAnsi="Times New Roman"/>
          <w:color w:val="auto"/>
          <w:sz w:val="26"/>
          <w:szCs w:val="26"/>
        </w:rPr>
        <w:t xml:space="preserve">и технологического суверенитета. Совокупная реализация стратегических приоритетов в области управления, региональных финансов и цифровой </w:t>
      </w:r>
      <w:r w:rsidRPr="00C96D9B">
        <w:rPr>
          <w:rFonts w:ascii="Times New Roman" w:hAnsi="Times New Roman"/>
          <w:color w:val="auto"/>
          <w:sz w:val="26"/>
          <w:szCs w:val="26"/>
        </w:rPr>
        <w:t>трансформации</w:t>
      </w:r>
      <w:r w:rsidRPr="00C96D9B">
        <w:rPr>
          <w:rFonts w:ascii="Times New Roman" w:eastAsia="Calibri" w:hAnsi="Times New Roman"/>
          <w:color w:val="auto"/>
          <w:sz w:val="26"/>
          <w:szCs w:val="26"/>
        </w:rPr>
        <w:t xml:space="preserve"> формирует целостную модель управления на основе данных, компетенций и долгосрочной устойчивости региональных и местных бюджетов.</w:t>
      </w:r>
    </w:p>
    <w:p w:rsidR="00E618FE" w:rsidRPr="00C96D9B" w:rsidRDefault="00800098">
      <w:pPr>
        <w:pStyle w:val="a4"/>
        <w:rPr>
          <w:rFonts w:ascii="Times New Roman" w:hAnsi="Times New Roman"/>
          <w:bCs/>
          <w:color w:val="auto"/>
          <w:sz w:val="26"/>
          <w:szCs w:val="26"/>
          <w:lang w:eastAsia="en-US" w:bidi="en-US"/>
        </w:rPr>
      </w:pPr>
      <w:r w:rsidRPr="00C96D9B">
        <w:rPr>
          <w:rFonts w:ascii="Times New Roman" w:hAnsi="Times New Roman"/>
          <w:bCs/>
          <w:color w:val="auto"/>
          <w:sz w:val="26"/>
          <w:szCs w:val="26"/>
          <w:lang w:eastAsia="en-US" w:bidi="en-US"/>
        </w:rPr>
        <w:t>Достижение цели обеспечивается реализацией трех взаимосвязанных стратегических приоритетов:</w:t>
      </w:r>
    </w:p>
    <w:p w:rsidR="00E618FE" w:rsidRPr="00C96D9B" w:rsidRDefault="00800098">
      <w:pPr>
        <w:pStyle w:val="a4"/>
        <w:rPr>
          <w:rFonts w:ascii="Times New Roman" w:eastAsia="Calibri" w:hAnsi="Times New Roman"/>
          <w:color w:val="auto"/>
          <w:sz w:val="26"/>
          <w:szCs w:val="26"/>
        </w:rPr>
      </w:pPr>
      <w:r w:rsidRPr="00C96D9B">
        <w:rPr>
          <w:rFonts w:ascii="Times New Roman" w:eastAsia="Calibri" w:hAnsi="Times New Roman"/>
          <w:color w:val="auto"/>
          <w:sz w:val="26"/>
          <w:szCs w:val="26"/>
        </w:rPr>
        <w:t xml:space="preserve">— стратегический приоритет 6.1. «Эффективное государственное </w:t>
      </w:r>
      <w:r w:rsidRPr="00C96D9B">
        <w:rPr>
          <w:rFonts w:ascii="Times New Roman" w:eastAsia="Calibri" w:hAnsi="Times New Roman"/>
          <w:color w:val="auto"/>
          <w:sz w:val="26"/>
          <w:szCs w:val="26"/>
        </w:rPr>
        <w:br/>
        <w:t>и муниципальное управление»;</w:t>
      </w:r>
    </w:p>
    <w:p w:rsidR="00E618FE" w:rsidRPr="00C96D9B" w:rsidRDefault="00800098">
      <w:pPr>
        <w:pStyle w:val="a4"/>
        <w:rPr>
          <w:rFonts w:ascii="Times New Roman" w:eastAsia="Calibri" w:hAnsi="Times New Roman"/>
          <w:color w:val="auto"/>
          <w:sz w:val="26"/>
          <w:szCs w:val="26"/>
        </w:rPr>
      </w:pPr>
      <w:r w:rsidRPr="00C96D9B">
        <w:rPr>
          <w:rFonts w:ascii="Times New Roman" w:eastAsia="Calibri" w:hAnsi="Times New Roman"/>
          <w:color w:val="auto"/>
          <w:sz w:val="26"/>
          <w:szCs w:val="26"/>
        </w:rPr>
        <w:t xml:space="preserve">— стратегический приоритет 6.2. </w:t>
      </w:r>
      <w:r w:rsidRPr="00C96D9B">
        <w:rPr>
          <w:rFonts w:ascii="Times New Roman" w:hAnsi="Times New Roman"/>
          <w:color w:val="auto"/>
          <w:sz w:val="26"/>
          <w:szCs w:val="26"/>
        </w:rPr>
        <w:t>«</w:t>
      </w:r>
      <w:r w:rsidRPr="00C96D9B">
        <w:rPr>
          <w:rFonts w:ascii="Times New Roman" w:eastAsia="Calibri" w:hAnsi="Times New Roman"/>
          <w:color w:val="auto"/>
          <w:sz w:val="26"/>
          <w:szCs w:val="26"/>
        </w:rPr>
        <w:t>Эффективное управление региональными финансами и совершенствование межбюджетных отношений»</w:t>
      </w:r>
      <w:r w:rsidRPr="00C96D9B">
        <w:rPr>
          <w:rFonts w:ascii="Times New Roman" w:hAnsi="Times New Roman"/>
          <w:color w:val="auto"/>
          <w:sz w:val="26"/>
          <w:szCs w:val="26"/>
        </w:rPr>
        <w:t>;</w:t>
      </w:r>
    </w:p>
    <w:p w:rsidR="00E618FE" w:rsidRPr="00C96D9B" w:rsidRDefault="00800098">
      <w:pPr>
        <w:pStyle w:val="a4"/>
        <w:rPr>
          <w:rFonts w:ascii="Times New Roman" w:hAnsi="Times New Roman"/>
          <w:bCs/>
          <w:color w:val="auto"/>
          <w:sz w:val="26"/>
          <w:szCs w:val="26"/>
          <w:lang w:eastAsia="en-US" w:bidi="en-US"/>
        </w:rPr>
      </w:pPr>
      <w:r w:rsidRPr="00C96D9B">
        <w:rPr>
          <w:rFonts w:ascii="Times New Roman" w:eastAsia="Calibri" w:hAnsi="Times New Roman"/>
          <w:color w:val="auto"/>
          <w:sz w:val="26"/>
          <w:szCs w:val="26"/>
        </w:rPr>
        <w:t xml:space="preserve">— стратегический приоритет 6.3. </w:t>
      </w:r>
      <w:r w:rsidRPr="00C96D9B">
        <w:rPr>
          <w:rFonts w:ascii="Times New Roman" w:hAnsi="Times New Roman"/>
          <w:color w:val="auto"/>
          <w:sz w:val="26"/>
          <w:szCs w:val="26"/>
        </w:rPr>
        <w:t>«</w:t>
      </w:r>
      <w:r w:rsidRPr="00C96D9B">
        <w:rPr>
          <w:rFonts w:ascii="Times New Roman" w:eastAsia="PT Astra Serif" w:hAnsi="Times New Roman"/>
          <w:color w:val="auto"/>
          <w:sz w:val="26"/>
          <w:szCs w:val="26"/>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w:t>
      </w:r>
      <w:r w:rsidRPr="00C96D9B">
        <w:rPr>
          <w:rFonts w:ascii="Times New Roman" w:hAnsi="Times New Roman"/>
          <w:bCs/>
          <w:color w:val="auto"/>
          <w:sz w:val="26"/>
          <w:szCs w:val="26"/>
        </w:rPr>
        <w:t>.</w:t>
      </w:r>
    </w:p>
    <w:p w:rsidR="00E618FE" w:rsidRPr="00C96D9B" w:rsidRDefault="00800098">
      <w:pPr>
        <w:pStyle w:val="a4"/>
        <w:rPr>
          <w:rFonts w:ascii="Times New Roman" w:eastAsia="Calibri" w:hAnsi="Times New Roman"/>
          <w:color w:val="auto"/>
          <w:sz w:val="26"/>
          <w:szCs w:val="26"/>
        </w:rPr>
      </w:pPr>
      <w:r w:rsidRPr="00C96D9B">
        <w:rPr>
          <w:rFonts w:ascii="Times New Roman" w:eastAsia="Calibri" w:hAnsi="Times New Roman"/>
          <w:b/>
          <w:bCs/>
          <w:color w:val="auto"/>
        </w:rPr>
        <w:t xml:space="preserve">Стратегический приоритет 6.1. «Эффективное государственное </w:t>
      </w:r>
      <w:r w:rsidRPr="00C96D9B">
        <w:rPr>
          <w:rFonts w:ascii="Times New Roman" w:eastAsia="Calibri" w:hAnsi="Times New Roman"/>
          <w:b/>
          <w:bCs/>
          <w:color w:val="auto"/>
        </w:rPr>
        <w:br/>
        <w:t>и муниципальное управление»</w:t>
      </w:r>
      <w:r w:rsidRPr="00C96D9B">
        <w:rPr>
          <w:rFonts w:ascii="Times New Roman" w:eastAsia="Calibri" w:hAnsi="Times New Roman"/>
          <w:color w:val="auto"/>
          <w:sz w:val="26"/>
          <w:szCs w:val="26"/>
        </w:rPr>
        <w:t xml:space="preserve"> предусматривает повышение качества </w:t>
      </w:r>
      <w:r w:rsidRPr="00C96D9B">
        <w:rPr>
          <w:rFonts w:ascii="Times New Roman" w:eastAsia="Calibri" w:hAnsi="Times New Roman"/>
          <w:color w:val="auto"/>
          <w:sz w:val="26"/>
          <w:szCs w:val="26"/>
        </w:rPr>
        <w:br/>
        <w:t xml:space="preserve">и доступности государственных и муниципальных услуг, укрепление профессионализма и ответственности органов власти, а также реализацию реформы местного </w:t>
      </w:r>
      <w:r w:rsidRPr="00C96D9B">
        <w:rPr>
          <w:rFonts w:ascii="Times New Roman" w:hAnsi="Times New Roman"/>
          <w:color w:val="auto"/>
          <w:sz w:val="26"/>
          <w:szCs w:val="26"/>
        </w:rPr>
        <w:t>самоуправления</w:t>
      </w:r>
      <w:r w:rsidRPr="00C96D9B">
        <w:rPr>
          <w:rFonts w:ascii="Times New Roman" w:eastAsia="Calibri" w:hAnsi="Times New Roman"/>
          <w:color w:val="auto"/>
          <w:sz w:val="26"/>
          <w:szCs w:val="26"/>
        </w:rPr>
        <w:t>. К 2036 году планируется достижение уровня участия в систематическом профессиональном развитии не менее 73% государственных и 52% муниципальных служащих.</w:t>
      </w:r>
    </w:p>
    <w:p w:rsidR="00E618FE" w:rsidRPr="00C96D9B" w:rsidRDefault="00800098">
      <w:pPr>
        <w:pStyle w:val="a4"/>
        <w:rPr>
          <w:rFonts w:ascii="Times New Roman" w:eastAsia="Calibri" w:hAnsi="Times New Roman"/>
          <w:color w:val="auto"/>
          <w:sz w:val="26"/>
          <w:szCs w:val="26"/>
        </w:rPr>
      </w:pPr>
      <w:r w:rsidRPr="00C96D9B">
        <w:rPr>
          <w:rFonts w:ascii="Times New Roman" w:eastAsia="Calibri" w:hAnsi="Times New Roman"/>
          <w:b/>
          <w:bCs/>
          <w:color w:val="auto"/>
        </w:rPr>
        <w:t>Стратегический приоритет 6.2. «Эффективное управление региональными финансами и совершенствование межбюджетных отношений</w:t>
      </w:r>
      <w:r w:rsidRPr="00C96D9B">
        <w:rPr>
          <w:rFonts w:ascii="Times New Roman" w:eastAsia="Calibri" w:hAnsi="Times New Roman"/>
          <w:color w:val="auto"/>
        </w:rPr>
        <w:t>»</w:t>
      </w:r>
      <w:r w:rsidRPr="00C96D9B">
        <w:rPr>
          <w:rFonts w:ascii="Times New Roman" w:eastAsia="Calibri" w:hAnsi="Times New Roman"/>
          <w:color w:val="auto"/>
          <w:sz w:val="26"/>
          <w:szCs w:val="26"/>
        </w:rPr>
        <w:t xml:space="preserve"> направлен на обеспечение устойчивости и прозрачности региональных и местных финансов, повышение эффективности бюджетных расходов и государственных закупок. </w:t>
      </w:r>
    </w:p>
    <w:p w:rsidR="00E618FE" w:rsidRPr="00C96D9B" w:rsidRDefault="00800098">
      <w:pPr>
        <w:pStyle w:val="a4"/>
        <w:rPr>
          <w:rFonts w:ascii="Times New Roman" w:eastAsia="Calibri" w:hAnsi="Times New Roman"/>
          <w:color w:val="auto"/>
          <w:sz w:val="26"/>
          <w:szCs w:val="26"/>
        </w:rPr>
      </w:pPr>
      <w:r w:rsidRPr="00C96D9B">
        <w:rPr>
          <w:rFonts w:ascii="Times New Roman" w:eastAsia="Calibri" w:hAnsi="Times New Roman"/>
          <w:b/>
          <w:bCs/>
          <w:color w:val="auto"/>
        </w:rPr>
        <w:t>Стратегический приоритет 6.3. «</w:t>
      </w:r>
      <w:r w:rsidRPr="00C96D9B">
        <w:rPr>
          <w:rFonts w:ascii="Times New Roman" w:eastAsia="PT Astra Serif" w:hAnsi="Times New Roman"/>
          <w:b/>
          <w:color w:val="auto"/>
        </w:rPr>
        <w:t xml:space="preserve">Цифровая зрелость» государственного и муниципального управления, ключевых отраслей экономики и социальной сферы, в том числе здравоохранения </w:t>
      </w:r>
      <w:r w:rsidRPr="00C96D9B">
        <w:rPr>
          <w:rFonts w:ascii="Times New Roman" w:eastAsia="PT Astra Serif" w:hAnsi="Times New Roman"/>
          <w:b/>
          <w:color w:val="auto"/>
        </w:rPr>
        <w:br/>
        <w:t>и образования»</w:t>
      </w:r>
      <w:r w:rsidRPr="00C96D9B">
        <w:rPr>
          <w:rFonts w:ascii="Times New Roman" w:eastAsia="Calibri" w:hAnsi="Times New Roman"/>
          <w:b/>
          <w:bCs/>
          <w:color w:val="auto"/>
          <w:sz w:val="26"/>
          <w:szCs w:val="26"/>
        </w:rPr>
        <w:t xml:space="preserve"> </w:t>
      </w:r>
      <w:r w:rsidRPr="00C96D9B">
        <w:rPr>
          <w:rFonts w:ascii="Times New Roman" w:eastAsia="Calibri" w:hAnsi="Times New Roman"/>
          <w:color w:val="auto"/>
          <w:sz w:val="26"/>
          <w:szCs w:val="26"/>
        </w:rPr>
        <w:t xml:space="preserve">ориентирован на формирование удобной и безопасной цифровой среды для населения и бизнеса, перевод массовых социально значимых услуг </w:t>
      </w:r>
      <w:r w:rsidR="00C96D9B">
        <w:rPr>
          <w:rFonts w:ascii="Times New Roman" w:eastAsia="Calibri" w:hAnsi="Times New Roman"/>
          <w:color w:val="auto"/>
          <w:sz w:val="26"/>
          <w:szCs w:val="26"/>
        </w:rPr>
        <w:br/>
      </w:r>
      <w:r w:rsidRPr="00C96D9B">
        <w:rPr>
          <w:rFonts w:ascii="Times New Roman" w:eastAsia="Calibri" w:hAnsi="Times New Roman"/>
          <w:color w:val="auto"/>
          <w:sz w:val="26"/>
          <w:szCs w:val="26"/>
        </w:rPr>
        <w:t xml:space="preserve">в электронный вид, внедрение отечественных цифровых решений, а также обеспечение технологического суверенитета. К 2036 году </w:t>
      </w:r>
      <w:r w:rsidRPr="00C96D9B">
        <w:rPr>
          <w:rFonts w:ascii="Times New Roman" w:hAnsi="Times New Roman"/>
          <w:color w:val="auto"/>
          <w:sz w:val="26"/>
          <w:szCs w:val="26"/>
        </w:rPr>
        <w:t>предусматривается достижение 100%</w:t>
      </w:r>
      <w:r w:rsidRPr="00C96D9B">
        <w:rPr>
          <w:rFonts w:ascii="Times New Roman" w:hAnsi="Times New Roman"/>
          <w:color w:val="auto"/>
          <w:sz w:val="26"/>
          <w:szCs w:val="26"/>
        </w:rPr>
        <w:noBreakHyphen/>
        <w:t>й цифровой зрелости сферы государственного и муниципального управления, предоставление в</w:t>
      </w:r>
      <w:r w:rsidRPr="00C96D9B">
        <w:rPr>
          <w:rFonts w:ascii="Times New Roman" w:eastAsia="Calibri" w:hAnsi="Times New Roman"/>
          <w:color w:val="auto"/>
          <w:sz w:val="26"/>
          <w:szCs w:val="26"/>
        </w:rPr>
        <w:t xml:space="preserve"> электронном виде 100% массовых социально значимых услуг.</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lastRenderedPageBreak/>
        <w:t xml:space="preserve">В целом, в системе государственного и муниципального стратегического </w:t>
      </w:r>
      <w:r w:rsidR="00C96D9B">
        <w:rPr>
          <w:rFonts w:ascii="Times New Roman" w:hAnsi="Times New Roman"/>
          <w:color w:val="auto"/>
          <w:sz w:val="26"/>
          <w:szCs w:val="26"/>
        </w:rPr>
        <w:br/>
      </w:r>
      <w:r w:rsidRPr="00C96D9B">
        <w:rPr>
          <w:rFonts w:ascii="Times New Roman" w:hAnsi="Times New Roman"/>
          <w:color w:val="auto"/>
          <w:sz w:val="26"/>
          <w:szCs w:val="26"/>
        </w:rPr>
        <w:t xml:space="preserve">и программного управления в ближайшие годы предстоит осуществить системные изменения. Разработка и принятие системы ключевых документов должны стать существенно более гибкими, поскольку будут проходить в условиях высокой неопределенности внешней среды. </w:t>
      </w:r>
    </w:p>
    <w:p w:rsidR="00E618FE" w:rsidRPr="00C96D9B" w:rsidRDefault="00E618FE">
      <w:pPr>
        <w:pStyle w:val="a4"/>
        <w:rPr>
          <w:rFonts w:ascii="Times New Roman" w:hAnsi="Times New Roman"/>
          <w:color w:val="auto"/>
          <w:sz w:val="26"/>
          <w:szCs w:val="26"/>
        </w:rPr>
      </w:pPr>
    </w:p>
    <w:p w:rsidR="00E618FE" w:rsidRPr="00535A4B" w:rsidRDefault="00800098">
      <w:pPr>
        <w:keepNext/>
        <w:keepLines/>
        <w:ind w:firstLine="709"/>
        <w:jc w:val="both"/>
        <w:outlineLvl w:val="1"/>
        <w:rPr>
          <w:rFonts w:eastAsiaTheme="majorEastAsia"/>
          <w:b/>
          <w:bCs/>
          <w:sz w:val="28"/>
          <w:szCs w:val="26"/>
          <w:lang w:bidi="en-US"/>
        </w:rPr>
      </w:pPr>
      <w:bookmarkStart w:id="205" w:name="_Toc229484496"/>
      <w:bookmarkStart w:id="206" w:name="_Toc235810172"/>
      <w:bookmarkStart w:id="207" w:name="_Toc238554560"/>
      <w:r w:rsidRPr="00535A4B">
        <w:rPr>
          <w:rFonts w:eastAsia="PT Astra Serif"/>
          <w:b/>
          <w:bCs/>
          <w:sz w:val="28"/>
          <w:szCs w:val="26"/>
          <w:lang w:bidi="en-US"/>
        </w:rPr>
        <w:t xml:space="preserve">Стратегический приоритет 6.1. «Эффективное государственное </w:t>
      </w:r>
      <w:r w:rsidRPr="00535A4B">
        <w:rPr>
          <w:rFonts w:eastAsia="PT Astra Serif"/>
          <w:b/>
          <w:bCs/>
          <w:sz w:val="28"/>
          <w:szCs w:val="26"/>
          <w:lang w:bidi="en-US"/>
        </w:rPr>
        <w:br/>
        <w:t>и муниципальное управление»</w:t>
      </w:r>
      <w:bookmarkEnd w:id="205"/>
      <w:bookmarkEnd w:id="206"/>
      <w:bookmarkEnd w:id="207"/>
    </w:p>
    <w:p w:rsidR="00E618FE" w:rsidRPr="00535A4B" w:rsidRDefault="00E618FE">
      <w:pPr>
        <w:pStyle w:val="a4"/>
        <w:rPr>
          <w:rFonts w:ascii="Times New Roman" w:hAnsi="Times New Roman"/>
          <w:color w:val="auto"/>
        </w:rPr>
      </w:pP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Эффективное государственное и муниципальное управление означает высокую доступность и качество услуг, предоставляемых исполнительными органами Томской области и местного самоуправления и подведомственными предприятиями и организациями, а также возможность граждан участвовать в делах государства, в том числе в подготовке, принятии и реализации управленческих решений. </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Актуальной задачей является реализация комплекса мер, направленных </w:t>
      </w:r>
      <w:r w:rsidR="00C96D9B">
        <w:rPr>
          <w:rFonts w:ascii="Times New Roman" w:hAnsi="Times New Roman"/>
          <w:color w:val="auto"/>
          <w:sz w:val="26"/>
          <w:szCs w:val="26"/>
        </w:rPr>
        <w:br/>
      </w:r>
      <w:r w:rsidRPr="00C96D9B">
        <w:rPr>
          <w:rFonts w:ascii="Times New Roman" w:hAnsi="Times New Roman"/>
          <w:color w:val="auto"/>
          <w:sz w:val="26"/>
          <w:szCs w:val="26"/>
        </w:rPr>
        <w:t xml:space="preserve">на обеспечение эффективного государственного управления с использованием телекоммуникационных технологий. Для этого предусматривается </w:t>
      </w:r>
      <w:r w:rsidRPr="00C96D9B">
        <w:rPr>
          <w:rFonts w:ascii="Times New Roman" w:eastAsia="PT Astra Serif" w:hAnsi="Times New Roman"/>
          <w:color w:val="auto"/>
          <w:sz w:val="26"/>
          <w:szCs w:val="26"/>
        </w:rPr>
        <w:t>развитие сети МФЦ в целях обеспечения доступности МФЦ во всех муниципальных образованиях Томской области.</w:t>
      </w:r>
      <w:r w:rsidRPr="00C96D9B">
        <w:rPr>
          <w:rFonts w:ascii="Times New Roman" w:hAnsi="Times New Roman"/>
          <w:color w:val="auto"/>
          <w:sz w:val="26"/>
          <w:szCs w:val="26"/>
        </w:rPr>
        <w:t xml:space="preserve"> </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Для организации предоставления качественных государственных </w:t>
      </w:r>
      <w:r w:rsidR="00C96D9B">
        <w:rPr>
          <w:rFonts w:ascii="Times New Roman" w:hAnsi="Times New Roman"/>
          <w:color w:val="auto"/>
          <w:sz w:val="26"/>
          <w:szCs w:val="26"/>
        </w:rPr>
        <w:br/>
      </w:r>
      <w:r w:rsidRPr="00C96D9B">
        <w:rPr>
          <w:rFonts w:ascii="Times New Roman" w:hAnsi="Times New Roman"/>
          <w:color w:val="auto"/>
          <w:sz w:val="26"/>
          <w:szCs w:val="26"/>
        </w:rPr>
        <w:t>и муниципальных услуг населению, предприятиям и организациям необходима цифровая трансформация, которая является основой формирования безопасной среды для жизни и развития, обеспечения доступности образования, здравоохранения и других отраслей за счет повышения уровня цифровой зрелости. В повестке дня повышение качества предоставления массовых социально значимых государственных и муниципальных услуг, развитие электронных услуг и сервисов, повышение квалификации государственных и муниципальных служащих.</w:t>
      </w:r>
    </w:p>
    <w:p w:rsidR="00C96D9B" w:rsidRDefault="00C96D9B">
      <w:pPr>
        <w:spacing w:before="120" w:after="120"/>
        <w:ind w:firstLine="709"/>
        <w:jc w:val="both"/>
        <w:outlineLvl w:val="3"/>
        <w:rPr>
          <w:b/>
          <w:spacing w:val="24"/>
          <w:sz w:val="28"/>
          <w:szCs w:val="28"/>
        </w:rPr>
      </w:pPr>
    </w:p>
    <w:p w:rsidR="00E618FE" w:rsidRPr="00535A4B" w:rsidRDefault="00800098">
      <w:pPr>
        <w:spacing w:before="120" w:after="120"/>
        <w:ind w:firstLine="709"/>
        <w:jc w:val="both"/>
        <w:outlineLvl w:val="3"/>
        <w:rPr>
          <w:b/>
          <w:spacing w:val="24"/>
          <w:sz w:val="28"/>
          <w:szCs w:val="28"/>
        </w:rPr>
      </w:pPr>
      <w:r w:rsidRPr="00535A4B">
        <w:rPr>
          <w:b/>
          <w:spacing w:val="24"/>
          <w:sz w:val="28"/>
          <w:szCs w:val="28"/>
        </w:rPr>
        <w:t xml:space="preserve">Задачи: </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 xml:space="preserve">Задача 6.1.1. Повысить качество предоставления государственных и муниципальных услуг и их доступность. </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Ключевые направления и механизмы реализации: </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обеспечение оперативности и полноты исполнения услуг </w:t>
      </w:r>
      <w:r w:rsidRPr="00C96D9B">
        <w:rPr>
          <w:rFonts w:ascii="Times New Roman" w:hAnsi="Times New Roman"/>
          <w:color w:val="auto"/>
          <w:sz w:val="26"/>
          <w:szCs w:val="26"/>
        </w:rPr>
        <w:br/>
        <w:t>в соответствии с утвержденными критериями и стандартами, включая регламентацию сроков, времени ожидания и соответствия результата требованиям законодательства;</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периодическое обучение и профессиональное развитие гражданских </w:t>
      </w:r>
      <w:r w:rsidR="00C96D9B">
        <w:rPr>
          <w:rFonts w:ascii="Times New Roman" w:hAnsi="Times New Roman"/>
          <w:color w:val="auto"/>
          <w:sz w:val="26"/>
          <w:szCs w:val="26"/>
        </w:rPr>
        <w:br/>
      </w:r>
      <w:r w:rsidRPr="00C96D9B">
        <w:rPr>
          <w:rFonts w:ascii="Times New Roman" w:hAnsi="Times New Roman"/>
          <w:color w:val="auto"/>
          <w:sz w:val="26"/>
          <w:szCs w:val="26"/>
        </w:rPr>
        <w:t>и муниципальных служащих для обеспечения их компетентности, профессионализма и вежливости при личном взаимодействии с заявителями;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регулярный мониторинг удовлетворенности заявителей как результатом, так и процессом взаимодействия с ведомством для выявления зон роста </w:t>
      </w:r>
      <w:r w:rsidR="00C96D9B">
        <w:rPr>
          <w:rFonts w:ascii="Times New Roman" w:hAnsi="Times New Roman"/>
          <w:color w:val="auto"/>
          <w:sz w:val="26"/>
          <w:szCs w:val="26"/>
        </w:rPr>
        <w:br/>
      </w:r>
      <w:r w:rsidRPr="00C96D9B">
        <w:rPr>
          <w:rFonts w:ascii="Times New Roman" w:hAnsi="Times New Roman"/>
          <w:color w:val="auto"/>
          <w:sz w:val="26"/>
          <w:szCs w:val="26"/>
        </w:rPr>
        <w:t>и повышения качества;</w:t>
      </w:r>
    </w:p>
    <w:p w:rsidR="00E618FE" w:rsidRPr="00C96D9B" w:rsidRDefault="00800098" w:rsidP="00C96D9B">
      <w:pPr>
        <w:pStyle w:val="a4"/>
        <w:rPr>
          <w:rFonts w:ascii="Times New Roman" w:hAnsi="Times New Roman"/>
          <w:color w:val="auto"/>
          <w:sz w:val="26"/>
          <w:szCs w:val="26"/>
        </w:rPr>
      </w:pPr>
      <w:r w:rsidRPr="00C96D9B">
        <w:rPr>
          <w:rFonts w:ascii="Times New Roman" w:hAnsi="Times New Roman"/>
          <w:color w:val="auto"/>
          <w:sz w:val="26"/>
          <w:szCs w:val="26"/>
        </w:rPr>
        <w:t xml:space="preserve">— использование механизма инициативного бюджетирования </w:t>
      </w:r>
      <w:r w:rsidR="00C96D9B">
        <w:rPr>
          <w:rFonts w:ascii="Times New Roman" w:hAnsi="Times New Roman"/>
          <w:color w:val="auto"/>
          <w:sz w:val="26"/>
          <w:szCs w:val="26"/>
        </w:rPr>
        <w:br/>
      </w:r>
      <w:r w:rsidRPr="00C96D9B">
        <w:rPr>
          <w:rFonts w:ascii="Times New Roman" w:hAnsi="Times New Roman"/>
          <w:color w:val="auto"/>
          <w:sz w:val="26"/>
          <w:szCs w:val="26"/>
        </w:rPr>
        <w:t>для привлечения внебюджетных средств.</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lastRenderedPageBreak/>
        <w:t xml:space="preserve">Задача 6.1.2. Обеспечить возможности получения государственных и муниципальных услуг в электронной форме, в том числе </w:t>
      </w:r>
      <w:r w:rsidRPr="00535A4B">
        <w:rPr>
          <w:rFonts w:ascii="Times New Roman" w:hAnsi="Times New Roman"/>
          <w:b/>
          <w:bCs/>
          <w:color w:val="auto"/>
        </w:rPr>
        <w:br/>
        <w:t xml:space="preserve">в проактивном режиме. </w:t>
      </w:r>
    </w:p>
    <w:p w:rsidR="00E618FE" w:rsidRPr="00C96D9B" w:rsidRDefault="00800098">
      <w:pPr>
        <w:pStyle w:val="a4"/>
        <w:rPr>
          <w:rFonts w:ascii="Times New Roman" w:hAnsi="Times New Roman"/>
          <w:bCs/>
          <w:color w:val="auto"/>
          <w:sz w:val="26"/>
          <w:szCs w:val="26"/>
        </w:rPr>
      </w:pPr>
      <w:r w:rsidRPr="00C96D9B">
        <w:rPr>
          <w:rFonts w:ascii="Times New Roman" w:hAnsi="Times New Roman"/>
          <w:bCs/>
          <w:color w:val="auto"/>
          <w:sz w:val="26"/>
          <w:szCs w:val="26"/>
        </w:rPr>
        <w:t>Ключевые направления и механизмы реализации:</w:t>
      </w:r>
    </w:p>
    <w:p w:rsidR="00E618FE" w:rsidRPr="00C96D9B" w:rsidRDefault="00800098">
      <w:pPr>
        <w:pStyle w:val="a4"/>
        <w:rPr>
          <w:rFonts w:ascii="Times New Roman" w:hAnsi="Times New Roman"/>
          <w:bCs/>
          <w:color w:val="auto"/>
          <w:sz w:val="26"/>
          <w:szCs w:val="26"/>
        </w:rPr>
      </w:pPr>
      <w:r w:rsidRPr="00C96D9B">
        <w:rPr>
          <w:rFonts w:ascii="Times New Roman" w:hAnsi="Times New Roman"/>
          <w:bCs/>
          <w:color w:val="auto"/>
          <w:sz w:val="26"/>
          <w:szCs w:val="26"/>
        </w:rPr>
        <w:t>— дальнейшее внедрение единой цифровой платформы Российской Федерации «ГосТех» и развитие системы межведомственного электронного взаимодействия для мгновенного обмена данными между ведомствами и реализации принципа «одного окна»;</w:t>
      </w:r>
    </w:p>
    <w:p w:rsidR="00E618FE" w:rsidRPr="00C96D9B" w:rsidRDefault="00800098">
      <w:pPr>
        <w:pStyle w:val="a4"/>
        <w:rPr>
          <w:rFonts w:ascii="Times New Roman" w:hAnsi="Times New Roman"/>
          <w:bCs/>
          <w:color w:val="auto"/>
          <w:sz w:val="26"/>
          <w:szCs w:val="26"/>
        </w:rPr>
      </w:pPr>
      <w:r w:rsidRPr="00C96D9B">
        <w:rPr>
          <w:rFonts w:ascii="Times New Roman" w:hAnsi="Times New Roman"/>
          <w:bCs/>
          <w:color w:val="auto"/>
          <w:sz w:val="26"/>
          <w:szCs w:val="26"/>
        </w:rPr>
        <w:t xml:space="preserve">— расширение сети МФЦ на территории всех муниципальных образований Томской области с одновременным развитием системы электронного межведомственного взаимодействия, </w:t>
      </w:r>
      <w:r w:rsidRPr="00C96D9B">
        <w:rPr>
          <w:rFonts w:ascii="Times New Roman" w:eastAsia="PT Astra Serif" w:hAnsi="Times New Roman"/>
          <w:color w:val="auto"/>
          <w:sz w:val="26"/>
          <w:szCs w:val="26"/>
        </w:rPr>
        <w:t>подключением к новым видам сведений</w:t>
      </w:r>
      <w:r w:rsidRPr="00C96D9B">
        <w:rPr>
          <w:rFonts w:ascii="Times New Roman" w:hAnsi="Times New Roman"/>
          <w:bCs/>
          <w:color w:val="auto"/>
          <w:sz w:val="26"/>
          <w:szCs w:val="26"/>
        </w:rPr>
        <w:t xml:space="preserve"> </w:t>
      </w:r>
      <w:r w:rsidR="00C96D9B">
        <w:rPr>
          <w:rFonts w:ascii="Times New Roman" w:hAnsi="Times New Roman"/>
          <w:bCs/>
          <w:color w:val="auto"/>
          <w:sz w:val="26"/>
          <w:szCs w:val="26"/>
        </w:rPr>
        <w:br/>
      </w:r>
      <w:r w:rsidRPr="00C96D9B">
        <w:rPr>
          <w:rFonts w:ascii="Times New Roman" w:hAnsi="Times New Roman"/>
          <w:bCs/>
          <w:color w:val="auto"/>
          <w:sz w:val="26"/>
          <w:szCs w:val="26"/>
        </w:rPr>
        <w:t>и внедрением витрин данных;</w:t>
      </w:r>
    </w:p>
    <w:p w:rsidR="00E618FE" w:rsidRPr="00C96D9B" w:rsidRDefault="00800098">
      <w:pPr>
        <w:pStyle w:val="a4"/>
        <w:rPr>
          <w:rFonts w:ascii="Times New Roman" w:hAnsi="Times New Roman"/>
          <w:color w:val="auto"/>
          <w:sz w:val="26"/>
          <w:szCs w:val="26"/>
        </w:rPr>
      </w:pPr>
      <w:r w:rsidRPr="00C96D9B">
        <w:rPr>
          <w:rFonts w:ascii="Times New Roman" w:hAnsi="Times New Roman"/>
          <w:bCs/>
          <w:color w:val="auto"/>
          <w:sz w:val="26"/>
          <w:szCs w:val="26"/>
        </w:rPr>
        <w:t xml:space="preserve">— обеспечение надежности, бесперебойного функционирования </w:t>
      </w:r>
      <w:r w:rsidR="00C96D9B">
        <w:rPr>
          <w:rFonts w:ascii="Times New Roman" w:hAnsi="Times New Roman"/>
          <w:bCs/>
          <w:color w:val="auto"/>
          <w:sz w:val="26"/>
          <w:szCs w:val="26"/>
        </w:rPr>
        <w:br/>
      </w:r>
      <w:r w:rsidRPr="00C96D9B">
        <w:rPr>
          <w:rFonts w:ascii="Times New Roman" w:hAnsi="Times New Roman"/>
          <w:bCs/>
          <w:color w:val="auto"/>
          <w:sz w:val="26"/>
          <w:szCs w:val="26"/>
        </w:rPr>
        <w:t>и безопасности информационных систем и</w:t>
      </w:r>
      <w:r w:rsidRPr="00C96D9B">
        <w:rPr>
          <w:rFonts w:ascii="Times New Roman" w:hAnsi="Times New Roman"/>
          <w:color w:val="auto"/>
          <w:sz w:val="26"/>
          <w:szCs w:val="26"/>
        </w:rPr>
        <w:t xml:space="preserve"> информационно-технологической инфраструктуры исполнительных органов Томской области.</w:t>
      </w:r>
    </w:p>
    <w:p w:rsidR="00C96D9B" w:rsidRDefault="00C96D9B">
      <w:pPr>
        <w:ind w:firstLine="709"/>
        <w:jc w:val="both"/>
        <w:rPr>
          <w:b/>
          <w:sz w:val="28"/>
          <w:szCs w:val="28"/>
          <w:lang w:eastAsia="ar-SA"/>
        </w:rPr>
      </w:pPr>
    </w:p>
    <w:p w:rsidR="00E618FE" w:rsidRPr="00535A4B" w:rsidRDefault="00800098">
      <w:pPr>
        <w:ind w:firstLine="709"/>
        <w:jc w:val="both"/>
        <w:rPr>
          <w:b/>
          <w:sz w:val="28"/>
          <w:szCs w:val="28"/>
          <w:lang w:eastAsia="ar-SA"/>
        </w:rPr>
      </w:pPr>
      <w:r w:rsidRPr="00535A4B">
        <w:rPr>
          <w:b/>
          <w:sz w:val="28"/>
          <w:szCs w:val="28"/>
          <w:lang w:eastAsia="ar-SA"/>
        </w:rPr>
        <w:t xml:space="preserve">Задача 6.1.3. Усовершенствовать государственное управление </w:t>
      </w:r>
      <w:r w:rsidRPr="00535A4B">
        <w:rPr>
          <w:b/>
          <w:sz w:val="28"/>
          <w:szCs w:val="28"/>
          <w:lang w:eastAsia="ar-SA"/>
        </w:rPr>
        <w:br/>
        <w:t>и обеспечить социально-экономические условия для реализации государственной национальной политики.</w:t>
      </w:r>
    </w:p>
    <w:p w:rsidR="00E618FE" w:rsidRPr="00C96D9B" w:rsidRDefault="00800098">
      <w:pPr>
        <w:ind w:firstLine="709"/>
        <w:jc w:val="both"/>
        <w:rPr>
          <w:b/>
          <w:sz w:val="26"/>
          <w:szCs w:val="26"/>
          <w:lang w:eastAsia="ar-SA"/>
        </w:rPr>
      </w:pPr>
      <w:r w:rsidRPr="00C96D9B">
        <w:rPr>
          <w:sz w:val="26"/>
          <w:szCs w:val="26"/>
          <w:lang w:eastAsia="ar-SA"/>
        </w:rPr>
        <w:t xml:space="preserve">Ключевые направления и механизмы реализации: </w:t>
      </w:r>
    </w:p>
    <w:p w:rsidR="00E618FE" w:rsidRPr="00C96D9B" w:rsidRDefault="00800098">
      <w:pPr>
        <w:ind w:firstLine="709"/>
        <w:jc w:val="both"/>
        <w:rPr>
          <w:sz w:val="26"/>
          <w:szCs w:val="26"/>
          <w:lang w:eastAsia="ar-SA"/>
        </w:rPr>
      </w:pPr>
      <w:r w:rsidRPr="00C96D9B">
        <w:rPr>
          <w:bCs/>
          <w:sz w:val="26"/>
          <w:szCs w:val="26"/>
          <w:lang w:eastAsia="ar-SA"/>
        </w:rPr>
        <w:t>—</w:t>
      </w:r>
      <w:r w:rsidRPr="00C96D9B">
        <w:rPr>
          <w:b/>
          <w:sz w:val="26"/>
          <w:szCs w:val="26"/>
          <w:lang w:eastAsia="ar-SA"/>
        </w:rPr>
        <w:t> </w:t>
      </w:r>
      <w:r w:rsidRPr="00C96D9B">
        <w:rPr>
          <w:sz w:val="26"/>
          <w:szCs w:val="26"/>
          <w:lang w:eastAsia="ar-SA"/>
        </w:rPr>
        <w:t>повышение эффективности координации деятельности органов публичной власти всех уровней;</w:t>
      </w:r>
    </w:p>
    <w:p w:rsidR="00E618FE" w:rsidRPr="00C96D9B" w:rsidRDefault="00800098">
      <w:pPr>
        <w:ind w:firstLine="709"/>
        <w:jc w:val="both"/>
        <w:rPr>
          <w:sz w:val="26"/>
          <w:szCs w:val="26"/>
          <w:lang w:eastAsia="ar-SA"/>
        </w:rPr>
      </w:pPr>
      <w:r w:rsidRPr="00C96D9B">
        <w:rPr>
          <w:bCs/>
          <w:sz w:val="26"/>
          <w:szCs w:val="26"/>
          <w:lang w:eastAsia="ar-SA"/>
        </w:rPr>
        <w:t>— </w:t>
      </w:r>
      <w:r w:rsidRPr="00C96D9B">
        <w:rPr>
          <w:sz w:val="26"/>
          <w:szCs w:val="26"/>
          <w:lang w:eastAsia="ar-SA"/>
        </w:rPr>
        <w:t>совершенствование законодательства Российской Федерации в сфере государственной национальной политики;</w:t>
      </w:r>
    </w:p>
    <w:p w:rsidR="00E618FE" w:rsidRPr="00C96D9B" w:rsidRDefault="00800098">
      <w:pPr>
        <w:ind w:firstLine="709"/>
        <w:jc w:val="both"/>
        <w:rPr>
          <w:bCs/>
          <w:sz w:val="26"/>
          <w:szCs w:val="26"/>
          <w:lang w:eastAsia="ar-SA"/>
        </w:rPr>
      </w:pPr>
      <w:r w:rsidRPr="00C96D9B">
        <w:rPr>
          <w:bCs/>
          <w:sz w:val="26"/>
          <w:szCs w:val="26"/>
          <w:lang w:eastAsia="ar-SA"/>
        </w:rPr>
        <w:t xml:space="preserve">— учет этнокультурного фактора при осуществлении комплексного </w:t>
      </w:r>
      <w:r w:rsidR="00C96D9B">
        <w:rPr>
          <w:bCs/>
          <w:sz w:val="26"/>
          <w:szCs w:val="26"/>
          <w:lang w:eastAsia="ar-SA"/>
        </w:rPr>
        <w:br/>
      </w:r>
      <w:r w:rsidRPr="00C96D9B">
        <w:rPr>
          <w:bCs/>
          <w:sz w:val="26"/>
          <w:szCs w:val="26"/>
          <w:lang w:eastAsia="ar-SA"/>
        </w:rPr>
        <w:t>и системного развития Томской области, обеспечение отраслевого и межотраслевого соответствия государственных (региональных) и муниципальных программ;</w:t>
      </w:r>
    </w:p>
    <w:p w:rsidR="00E618FE" w:rsidRPr="00C96D9B" w:rsidRDefault="00800098">
      <w:pPr>
        <w:ind w:firstLine="709"/>
        <w:jc w:val="both"/>
        <w:rPr>
          <w:bCs/>
          <w:sz w:val="26"/>
          <w:szCs w:val="26"/>
          <w:lang w:eastAsia="ar-SA"/>
        </w:rPr>
      </w:pPr>
      <w:r w:rsidRPr="00C96D9B">
        <w:rPr>
          <w:bCs/>
          <w:sz w:val="26"/>
          <w:szCs w:val="26"/>
          <w:lang w:eastAsia="ar-SA"/>
        </w:rPr>
        <w:t xml:space="preserve">— взаимодействия органов публичной власти с институтами гражданского общества, создание организационно-правовых и экономических условий </w:t>
      </w:r>
      <w:r w:rsidR="00C96D9B">
        <w:rPr>
          <w:bCs/>
          <w:sz w:val="26"/>
          <w:szCs w:val="26"/>
          <w:lang w:eastAsia="ar-SA"/>
        </w:rPr>
        <w:br/>
      </w:r>
      <w:r w:rsidRPr="00C96D9B">
        <w:rPr>
          <w:bCs/>
          <w:sz w:val="26"/>
          <w:szCs w:val="26"/>
          <w:lang w:eastAsia="ar-SA"/>
        </w:rPr>
        <w:t>для их участия в решении задач государственной национальной политики;</w:t>
      </w:r>
    </w:p>
    <w:p w:rsidR="00E618FE" w:rsidRPr="00C96D9B" w:rsidRDefault="00800098">
      <w:pPr>
        <w:ind w:firstLine="709"/>
        <w:jc w:val="both"/>
        <w:rPr>
          <w:bCs/>
          <w:sz w:val="26"/>
          <w:szCs w:val="26"/>
          <w:lang w:eastAsia="ar-SA"/>
        </w:rPr>
      </w:pPr>
      <w:r w:rsidRPr="00C96D9B">
        <w:rPr>
          <w:bCs/>
          <w:sz w:val="26"/>
          <w:szCs w:val="26"/>
          <w:lang w:eastAsia="ar-SA"/>
        </w:rPr>
        <w:t xml:space="preserve">— обеспечение условий для профессионального развития государственных </w:t>
      </w:r>
      <w:r w:rsidR="00C96D9B">
        <w:rPr>
          <w:bCs/>
          <w:sz w:val="26"/>
          <w:szCs w:val="26"/>
          <w:lang w:eastAsia="ar-SA"/>
        </w:rPr>
        <w:br/>
      </w:r>
      <w:r w:rsidRPr="00C96D9B">
        <w:rPr>
          <w:bCs/>
          <w:sz w:val="26"/>
          <w:szCs w:val="26"/>
          <w:lang w:eastAsia="ar-SA"/>
        </w:rPr>
        <w:t xml:space="preserve">и муниципальных служащих на основе типовых дополнительных профессиональных программ в сфере государственной национальной политики </w:t>
      </w:r>
      <w:r w:rsidR="00C96D9B">
        <w:rPr>
          <w:bCs/>
          <w:sz w:val="26"/>
          <w:szCs w:val="26"/>
          <w:lang w:eastAsia="ar-SA"/>
        </w:rPr>
        <w:br/>
      </w:r>
      <w:r w:rsidRPr="00C96D9B">
        <w:rPr>
          <w:bCs/>
          <w:sz w:val="26"/>
          <w:szCs w:val="26"/>
          <w:lang w:eastAsia="ar-SA"/>
        </w:rPr>
        <w:t>и межкультурной коммуникации;</w:t>
      </w:r>
    </w:p>
    <w:p w:rsidR="00E618FE" w:rsidRPr="00C96D9B" w:rsidRDefault="00800098">
      <w:pPr>
        <w:ind w:firstLine="709"/>
        <w:jc w:val="both"/>
        <w:rPr>
          <w:bCs/>
          <w:sz w:val="26"/>
          <w:szCs w:val="26"/>
          <w:lang w:eastAsia="ar-SA"/>
        </w:rPr>
      </w:pPr>
      <w:r w:rsidRPr="00C96D9B">
        <w:rPr>
          <w:bCs/>
          <w:sz w:val="26"/>
          <w:szCs w:val="26"/>
          <w:lang w:eastAsia="ar-SA"/>
        </w:rPr>
        <w:t>— развитие инфраструктуры государственных и муниципальных учреждений, деятельность которых направлена на решение задач государственной национальной политики (домов дружбы, домов народов и других);</w:t>
      </w:r>
    </w:p>
    <w:p w:rsidR="00E618FE" w:rsidRPr="00C96D9B" w:rsidRDefault="00800098">
      <w:pPr>
        <w:ind w:firstLine="709"/>
        <w:jc w:val="both"/>
        <w:rPr>
          <w:bCs/>
          <w:sz w:val="26"/>
          <w:szCs w:val="26"/>
          <w:lang w:eastAsia="ar-SA"/>
        </w:rPr>
      </w:pPr>
      <w:r w:rsidRPr="00C96D9B">
        <w:rPr>
          <w:bCs/>
          <w:sz w:val="26"/>
          <w:szCs w:val="26"/>
          <w:lang w:eastAsia="ar-SA"/>
        </w:rPr>
        <w:t xml:space="preserve">— учет этнических и религиозных аспектов при работе с сотрудниками правоохранительных органов Томской области, мониторинг состояния межнациональных (межэтнических) отношений в воинских коллективах </w:t>
      </w:r>
      <w:r w:rsidRPr="00C96D9B">
        <w:rPr>
          <w:bCs/>
          <w:sz w:val="26"/>
          <w:szCs w:val="26"/>
          <w:lang w:eastAsia="ar-SA"/>
        </w:rPr>
        <w:br/>
        <w:t>и районах дислокации воинских частей.</w:t>
      </w:r>
    </w:p>
    <w:p w:rsidR="00C96D9B" w:rsidRDefault="00C96D9B">
      <w:pPr>
        <w:spacing w:after="160" w:line="259" w:lineRule="auto"/>
        <w:rPr>
          <w:bCs/>
          <w:sz w:val="26"/>
          <w:szCs w:val="26"/>
          <w:lang w:eastAsia="ar-SA"/>
        </w:rPr>
      </w:pPr>
      <w:r>
        <w:rPr>
          <w:bCs/>
          <w:sz w:val="26"/>
          <w:szCs w:val="26"/>
          <w:lang w:eastAsia="ar-SA"/>
        </w:rPr>
        <w:br w:type="page"/>
      </w:r>
    </w:p>
    <w:p w:rsidR="00E618FE" w:rsidRPr="00535A4B" w:rsidRDefault="00800098">
      <w:pPr>
        <w:keepNext/>
        <w:keepLines/>
        <w:spacing w:before="120" w:after="120"/>
        <w:ind w:firstLine="709"/>
        <w:jc w:val="both"/>
        <w:outlineLvl w:val="3"/>
        <w:rPr>
          <w:b/>
          <w:spacing w:val="24"/>
          <w:sz w:val="28"/>
          <w:szCs w:val="28"/>
        </w:rPr>
      </w:pPr>
      <w:r w:rsidRPr="00535A4B">
        <w:rPr>
          <w:b/>
          <w:spacing w:val="24"/>
          <w:sz w:val="28"/>
          <w:szCs w:val="28"/>
        </w:rPr>
        <w:lastRenderedPageBreak/>
        <w:t>Целевые показатели:</w:t>
      </w:r>
    </w:p>
    <w:p w:rsidR="00E618FE" w:rsidRPr="00C96D9B" w:rsidRDefault="00800098">
      <w:pPr>
        <w:suppressLineNumbers/>
        <w:spacing w:before="180" w:after="120"/>
        <w:jc w:val="both"/>
        <w:outlineLvl w:val="8"/>
        <w:rPr>
          <w:bCs/>
          <w:sz w:val="26"/>
          <w:szCs w:val="26"/>
          <w:lang w:eastAsia="ar-SA" w:bidi="en-US"/>
        </w:rPr>
      </w:pPr>
      <w:r w:rsidRPr="00C96D9B">
        <w:rPr>
          <w:bCs/>
          <w:sz w:val="26"/>
          <w:szCs w:val="26"/>
          <w:lang w:eastAsia="ar-SA" w:bidi="en-US"/>
        </w:rPr>
        <w:t>Таблица 14.1. Целевые показатели Стратегического приоритета 6.1. «Эффективное государственное и муниципальное управление»</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Доля государственных гражданских служащих Томской области, принявших участие в мероприятиях </w:t>
            </w:r>
            <w:r w:rsidRPr="00535A4B">
              <w:rPr>
                <w:b w:val="0"/>
                <w:bCs w:val="0"/>
              </w:rPr>
              <w:br/>
              <w:t xml:space="preserve">по профессиональному развитию, %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71,00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71,00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73,00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Доля муниципальных служащих Томской области, принявших участие в мероприятиях </w:t>
            </w:r>
            <w:r w:rsidRPr="00535A4B">
              <w:rPr>
                <w:b w:val="0"/>
                <w:bCs w:val="0"/>
              </w:rPr>
              <w:br/>
              <w:t xml:space="preserve">по профессиональному развитию, %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52,00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50,00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52,00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Доля населения, положительно оценивающая отношения между представителями различных национальностей </w:t>
            </w:r>
            <w:r w:rsidRPr="00535A4B">
              <w:rPr>
                <w:b w:val="0"/>
                <w:bCs w:val="0"/>
              </w:rPr>
              <w:br/>
              <w:t xml:space="preserve">в месте своего проживания, %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val="en-US" w:eastAsia="ar-SA"/>
              </w:rPr>
              <w:t>85</w:t>
            </w:r>
            <w:r w:rsidRPr="00535A4B">
              <w:rPr>
                <w:lang w:eastAsia="ar-SA"/>
              </w:rPr>
              <w:t>,00</w:t>
            </w:r>
          </w:p>
        </w:tc>
      </w:tr>
    </w:tbl>
    <w:p w:rsidR="00E618FE" w:rsidRPr="00535A4B" w:rsidRDefault="00E618FE">
      <w:pPr>
        <w:pStyle w:val="a4"/>
        <w:rPr>
          <w:rFonts w:ascii="Times New Roman" w:eastAsia="PT Astra Serif" w:hAnsi="Times New Roman"/>
          <w:color w:val="auto"/>
          <w:lang w:bidi="en-US"/>
        </w:rPr>
      </w:pPr>
    </w:p>
    <w:p w:rsidR="00E618FE" w:rsidRPr="00535A4B" w:rsidRDefault="00800098">
      <w:pPr>
        <w:pStyle w:val="21"/>
        <w:rPr>
          <w:rFonts w:ascii="Times New Roman" w:hAnsi="Times New Roman" w:cs="Times New Roman"/>
          <w:shd w:val="clear" w:color="auto" w:fill="FFFFFF"/>
        </w:rPr>
      </w:pPr>
      <w:bookmarkStart w:id="208" w:name="_Toc229484497"/>
      <w:bookmarkStart w:id="209" w:name="_Toc235810173"/>
      <w:bookmarkStart w:id="210" w:name="_Toc238554561"/>
      <w:r w:rsidRPr="00535A4B">
        <w:rPr>
          <w:rFonts w:ascii="Times New Roman" w:eastAsia="PT Astra Serif" w:hAnsi="Times New Roman" w:cs="Times New Roman"/>
        </w:rPr>
        <w:t>Стратегический приоритет 6.2. «Э</w:t>
      </w:r>
      <w:r w:rsidRPr="00535A4B">
        <w:rPr>
          <w:rFonts w:ascii="Times New Roman" w:hAnsi="Times New Roman" w:cs="Times New Roman"/>
        </w:rPr>
        <w:t>ффективное управление региональными финансами и совершенствование межбюджетных отношений</w:t>
      </w:r>
      <w:r w:rsidRPr="00535A4B">
        <w:rPr>
          <w:rFonts w:ascii="Times New Roman" w:hAnsi="Times New Roman" w:cs="Times New Roman"/>
          <w:shd w:val="clear" w:color="auto" w:fill="FFFFFF"/>
        </w:rPr>
        <w:t>»</w:t>
      </w:r>
      <w:bookmarkEnd w:id="208"/>
      <w:bookmarkEnd w:id="209"/>
      <w:bookmarkEnd w:id="210"/>
    </w:p>
    <w:p w:rsidR="00E618FE" w:rsidRPr="00535A4B" w:rsidRDefault="00E618FE">
      <w:pPr>
        <w:pStyle w:val="a4"/>
        <w:rPr>
          <w:rFonts w:ascii="Times New Roman" w:eastAsia="PT Astra Serif" w:hAnsi="Times New Roman"/>
          <w:color w:val="auto"/>
          <w:lang w:bidi="en-US"/>
        </w:rPr>
      </w:pP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Стратегический приоритет в сфере управления региональными финансами заключается в обеспечении формирования сбалансированного бюджета, в том числе за счет разработки действенных механизмов по мобилизации собственных доходов консолидированного бюджета Томской области. В сфере расходов требуется существенное повышение эффективности бюджетных расходов, в том числе </w:t>
      </w:r>
      <w:r w:rsidR="00C96D9B">
        <w:rPr>
          <w:rFonts w:ascii="Times New Roman" w:hAnsi="Times New Roman"/>
          <w:color w:val="auto"/>
          <w:sz w:val="26"/>
          <w:szCs w:val="26"/>
        </w:rPr>
        <w:br/>
      </w:r>
      <w:r w:rsidRPr="00C96D9B">
        <w:rPr>
          <w:rFonts w:ascii="Times New Roman" w:hAnsi="Times New Roman"/>
          <w:color w:val="auto"/>
          <w:sz w:val="26"/>
          <w:szCs w:val="26"/>
        </w:rPr>
        <w:t>за счет эффективных государственных закупок, проведения взвешенной политики по управлению государственным долгом региона. Следует обеспечить необходимые условия для обеспечения сбалансированности местных бюджетов. Необходим контроль над состоянием задолженности, который позволит обеспечивать своевременное взыскание денежных средств, образующих дебиторскую задолженность.</w:t>
      </w:r>
    </w:p>
    <w:p w:rsidR="00C96D9B" w:rsidRDefault="00C96D9B">
      <w:pPr>
        <w:spacing w:before="120" w:after="120"/>
        <w:ind w:firstLine="709"/>
        <w:jc w:val="both"/>
        <w:outlineLvl w:val="3"/>
        <w:rPr>
          <w:rFonts w:eastAsia="PT Astra Serif"/>
          <w:b/>
          <w:spacing w:val="24"/>
          <w:sz w:val="28"/>
          <w:szCs w:val="28"/>
        </w:rPr>
      </w:pPr>
    </w:p>
    <w:p w:rsidR="00E618FE" w:rsidRPr="00535A4B" w:rsidRDefault="00800098">
      <w:pPr>
        <w:spacing w:before="120" w:after="120"/>
        <w:ind w:firstLine="709"/>
        <w:jc w:val="both"/>
        <w:outlineLvl w:val="3"/>
        <w:rPr>
          <w:rFonts w:eastAsia="PT Astra Serif"/>
          <w:b/>
          <w:spacing w:val="24"/>
          <w:sz w:val="28"/>
          <w:szCs w:val="28"/>
        </w:rPr>
      </w:pPr>
      <w:r w:rsidRPr="00535A4B">
        <w:rPr>
          <w:rFonts w:eastAsia="PT Astra Serif"/>
          <w:b/>
          <w:spacing w:val="24"/>
          <w:sz w:val="28"/>
          <w:szCs w:val="28"/>
        </w:rPr>
        <w:t>Задачи:</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6.2.1. Обеспечить эффективное управление региональными финансами и совершенствование межбюджетных отношений.</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Ключевые направления и механизмы реализации:</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 системные меры по сокращению бюджетных расходов, а именно:</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 xml:space="preserve">— оптимизация структуры и численности органов власти Томской области </w:t>
      </w:r>
      <w:r w:rsidR="00C96D9B">
        <w:rPr>
          <w:rFonts w:ascii="Times New Roman" w:hAnsi="Times New Roman"/>
          <w:color w:val="auto"/>
          <w:sz w:val="26"/>
          <w:szCs w:val="26"/>
          <w:lang w:eastAsia="ru-RU"/>
        </w:rPr>
        <w:br/>
      </w:r>
      <w:r w:rsidRPr="00C96D9B">
        <w:rPr>
          <w:rFonts w:ascii="Times New Roman" w:hAnsi="Times New Roman"/>
          <w:color w:val="auto"/>
          <w:sz w:val="26"/>
          <w:szCs w:val="26"/>
          <w:lang w:eastAsia="ru-RU"/>
        </w:rPr>
        <w:t>и органов местного самоуправления;</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 оптимизация и повышение самостоятельности сети бюджетных учреждений, повышение производительности труда бюджетного сектора;</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 стимулирование муниципальных образований к наращиванию собственной доходной базы и снижению их дотационности;</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 пересмотр подходов к поддержке юридических лиц, включая некоммерческие организации;</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w:t>
      </w:r>
      <w:r w:rsidRPr="00C96D9B">
        <w:rPr>
          <w:rFonts w:ascii="Times New Roman" w:hAnsi="Times New Roman"/>
          <w:sz w:val="26"/>
          <w:szCs w:val="26"/>
          <w:lang w:eastAsia="ru-RU"/>
        </w:rPr>
        <w:t> </w:t>
      </w:r>
      <w:r w:rsidRPr="00C96D9B">
        <w:rPr>
          <w:rFonts w:ascii="Times New Roman" w:hAnsi="Times New Roman"/>
          <w:color w:val="auto"/>
          <w:sz w:val="26"/>
          <w:szCs w:val="26"/>
          <w:lang w:eastAsia="ru-RU"/>
        </w:rPr>
        <w:t xml:space="preserve">инвентаризация и систематизация мер социальной поддержки населения </w:t>
      </w:r>
      <w:r w:rsidR="00C96D9B">
        <w:rPr>
          <w:rFonts w:ascii="Times New Roman" w:hAnsi="Times New Roman"/>
          <w:color w:val="auto"/>
          <w:sz w:val="26"/>
          <w:szCs w:val="26"/>
          <w:lang w:eastAsia="ru-RU"/>
        </w:rPr>
        <w:br/>
      </w:r>
      <w:r w:rsidRPr="00C96D9B">
        <w:rPr>
          <w:rFonts w:ascii="Times New Roman" w:hAnsi="Times New Roman"/>
          <w:color w:val="auto"/>
          <w:sz w:val="26"/>
          <w:szCs w:val="26"/>
          <w:lang w:eastAsia="ru-RU"/>
        </w:rPr>
        <w:t xml:space="preserve">с точки зрения исключения дублирующих мер поддержки, пересмотра подходов </w:t>
      </w:r>
      <w:r w:rsidR="00C96D9B">
        <w:rPr>
          <w:rFonts w:ascii="Times New Roman" w:hAnsi="Times New Roman"/>
          <w:color w:val="auto"/>
          <w:sz w:val="26"/>
          <w:szCs w:val="26"/>
          <w:lang w:eastAsia="ru-RU"/>
        </w:rPr>
        <w:br/>
      </w:r>
      <w:r w:rsidRPr="00C96D9B">
        <w:rPr>
          <w:rFonts w:ascii="Times New Roman" w:hAnsi="Times New Roman"/>
          <w:color w:val="auto"/>
          <w:sz w:val="26"/>
          <w:szCs w:val="26"/>
          <w:lang w:eastAsia="ru-RU"/>
        </w:rPr>
        <w:lastRenderedPageBreak/>
        <w:t>к определению критерия нуждаемости, сокращение или полный отказ от мер социальной поддержки отдельным категориям граждан, которые в них фактически не нуждаются;</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 разработка механизмов активного привлечения внебюджетных источников для проведения культурно-массовых, просветительских, спортивных и иных мероприятий;</w:t>
      </w:r>
    </w:p>
    <w:p w:rsidR="00E618FE" w:rsidRPr="00C96D9B" w:rsidRDefault="00800098">
      <w:pPr>
        <w:pStyle w:val="a4"/>
        <w:rPr>
          <w:rFonts w:ascii="Times New Roman" w:eastAsia="Calibri" w:hAnsi="Times New Roman"/>
          <w:color w:val="auto"/>
          <w:sz w:val="26"/>
          <w:szCs w:val="26"/>
        </w:rPr>
      </w:pPr>
      <w:r w:rsidRPr="00C96D9B">
        <w:rPr>
          <w:rFonts w:ascii="Times New Roman" w:eastAsia="Calibri" w:hAnsi="Times New Roman"/>
          <w:color w:val="auto"/>
          <w:sz w:val="26"/>
          <w:szCs w:val="26"/>
        </w:rPr>
        <w:t xml:space="preserve">— развитие инициативного </w:t>
      </w:r>
      <w:r w:rsidRPr="00C96D9B">
        <w:rPr>
          <w:rFonts w:ascii="Times New Roman" w:hAnsi="Times New Roman"/>
          <w:color w:val="auto"/>
          <w:sz w:val="26"/>
          <w:szCs w:val="26"/>
        </w:rPr>
        <w:t>бюджетирования</w:t>
      </w:r>
      <w:r w:rsidRPr="00C96D9B">
        <w:rPr>
          <w:rFonts w:ascii="Times New Roman" w:eastAsia="Calibri" w:hAnsi="Times New Roman"/>
          <w:color w:val="auto"/>
          <w:sz w:val="26"/>
          <w:szCs w:val="26"/>
        </w:rPr>
        <w:t xml:space="preserve"> как инструмента участия граждан в управлении общественными ресурсами; </w:t>
      </w:r>
    </w:p>
    <w:p w:rsidR="00E618FE" w:rsidRPr="00C96D9B" w:rsidRDefault="00800098">
      <w:pPr>
        <w:pStyle w:val="a4"/>
        <w:rPr>
          <w:rFonts w:ascii="Times New Roman" w:hAnsi="Times New Roman"/>
          <w:color w:val="auto"/>
          <w:sz w:val="26"/>
          <w:szCs w:val="26"/>
          <w:lang w:eastAsia="ru-RU"/>
        </w:rPr>
      </w:pPr>
      <w:r w:rsidRPr="00C96D9B">
        <w:rPr>
          <w:rFonts w:ascii="Times New Roman" w:hAnsi="Times New Roman"/>
          <w:color w:val="auto"/>
          <w:sz w:val="26"/>
          <w:szCs w:val="26"/>
          <w:lang w:eastAsia="ru-RU"/>
        </w:rPr>
        <w:t>— повышение финансовой дисциплины органов власти и областных государственных учреждений при планировании и расходовании бюджетных средств;</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lang w:eastAsia="ru-RU"/>
        </w:rPr>
        <w:t>— </w:t>
      </w:r>
      <w:r w:rsidRPr="00C96D9B">
        <w:rPr>
          <w:rFonts w:ascii="Times New Roman" w:hAnsi="Times New Roman"/>
          <w:color w:val="auto"/>
          <w:sz w:val="26"/>
          <w:szCs w:val="26"/>
        </w:rPr>
        <w:t>снижение дебиторской задолженности</w:t>
      </w:r>
      <w:r w:rsidRPr="00C96D9B">
        <w:rPr>
          <w:rFonts w:ascii="Times New Roman" w:hAnsi="Times New Roman"/>
          <w:bCs/>
          <w:color w:val="auto"/>
          <w:sz w:val="26"/>
          <w:szCs w:val="26"/>
          <w:lang w:eastAsia="ru-RU"/>
        </w:rPr>
        <w:t xml:space="preserve"> путем инвентаризации</w:t>
      </w:r>
      <w:r w:rsidRPr="00C96D9B">
        <w:rPr>
          <w:rFonts w:ascii="Times New Roman" w:hAnsi="Times New Roman"/>
          <w:color w:val="auto"/>
          <w:sz w:val="26"/>
          <w:szCs w:val="26"/>
          <w:lang w:eastAsia="ru-RU"/>
        </w:rPr>
        <w:t xml:space="preserve"> расчетов </w:t>
      </w:r>
      <w:r w:rsidR="00C96D9B">
        <w:rPr>
          <w:rFonts w:ascii="Times New Roman" w:hAnsi="Times New Roman"/>
          <w:color w:val="auto"/>
          <w:sz w:val="26"/>
          <w:szCs w:val="26"/>
          <w:lang w:eastAsia="ru-RU"/>
        </w:rPr>
        <w:br/>
      </w:r>
      <w:r w:rsidRPr="00C96D9B">
        <w:rPr>
          <w:rFonts w:ascii="Times New Roman" w:hAnsi="Times New Roman"/>
          <w:color w:val="auto"/>
          <w:sz w:val="26"/>
          <w:szCs w:val="26"/>
          <w:lang w:eastAsia="ru-RU"/>
        </w:rPr>
        <w:t>и</w:t>
      </w:r>
      <w:r w:rsidRPr="00C96D9B">
        <w:rPr>
          <w:rFonts w:ascii="Times New Roman" w:hAnsi="Times New Roman"/>
          <w:bCs/>
          <w:color w:val="auto"/>
          <w:sz w:val="26"/>
          <w:szCs w:val="26"/>
          <w:lang w:eastAsia="ru-RU"/>
        </w:rPr>
        <w:t xml:space="preserve"> использования регламентов</w:t>
      </w:r>
      <w:r w:rsidRPr="00C96D9B">
        <w:rPr>
          <w:rFonts w:ascii="Times New Roman" w:hAnsi="Times New Roman"/>
          <w:color w:val="auto"/>
          <w:sz w:val="26"/>
          <w:szCs w:val="26"/>
          <w:lang w:eastAsia="ru-RU"/>
        </w:rPr>
        <w:t xml:space="preserve"> для администраторов доходов по принудительному взысканию долгов;</w:t>
      </w:r>
    </w:p>
    <w:p w:rsidR="00E618FE" w:rsidRPr="00C96D9B" w:rsidRDefault="00800098">
      <w:pPr>
        <w:pStyle w:val="a8"/>
        <w:ind w:left="0" w:firstLine="851"/>
        <w:rPr>
          <w:rFonts w:ascii="Times New Roman" w:hAnsi="Times New Roman"/>
          <w:sz w:val="26"/>
          <w:szCs w:val="26"/>
          <w:lang w:val="ru-RU"/>
        </w:rPr>
      </w:pPr>
      <w:r w:rsidRPr="00C96D9B">
        <w:rPr>
          <w:rFonts w:ascii="Times New Roman" w:hAnsi="Times New Roman"/>
          <w:sz w:val="26"/>
          <w:szCs w:val="26"/>
          <w:lang w:val="ru-RU" w:eastAsia="ru-RU"/>
        </w:rPr>
        <w:t>— </w:t>
      </w:r>
      <w:r w:rsidRPr="00C96D9B">
        <w:rPr>
          <w:rFonts w:ascii="Times New Roman" w:hAnsi="Times New Roman"/>
          <w:sz w:val="26"/>
          <w:szCs w:val="26"/>
          <w:lang w:val="ru-RU"/>
        </w:rPr>
        <w:t>укрепление устойчивости региональных финансов через рост доходов, оптимизацию расходов бюджета и взвешенную долговую политику.</w:t>
      </w:r>
    </w:p>
    <w:p w:rsidR="00E618FE" w:rsidRPr="00535A4B" w:rsidRDefault="00E618FE">
      <w:pPr>
        <w:pStyle w:val="a4"/>
        <w:rPr>
          <w:rFonts w:ascii="Times New Roman" w:hAnsi="Times New Roman"/>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w:t>
      </w:r>
      <w:r w:rsidRPr="00535A4B">
        <w:rPr>
          <w:rFonts w:ascii="Times New Roman" w:hAnsi="Times New Roman"/>
          <w:color w:val="auto"/>
        </w:rPr>
        <w:t> </w:t>
      </w:r>
      <w:r w:rsidRPr="00535A4B">
        <w:rPr>
          <w:rFonts w:ascii="Times New Roman" w:hAnsi="Times New Roman"/>
          <w:b/>
          <w:bCs/>
          <w:color w:val="auto"/>
        </w:rPr>
        <w:t>6.2.2. Повысить эффективность управления государственными закупками.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Ключевые направления и механизмы реализации: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централизация закупок и проведение конкурентных процедур уполномоченным органом (учреждением) для минимизации нарушений, сокращения обоснованных жалоб и достижения экономии бюджетных средств;</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использование электронного магазина для обеспечения гласности, прозрачности и привлечения к закупкам госсектора новых поставщиков, ранее </w:t>
      </w:r>
      <w:r w:rsidR="00C96D9B">
        <w:rPr>
          <w:rFonts w:ascii="Times New Roman" w:hAnsi="Times New Roman"/>
          <w:color w:val="auto"/>
          <w:sz w:val="26"/>
          <w:szCs w:val="26"/>
        </w:rPr>
        <w:br/>
      </w:r>
      <w:r w:rsidRPr="00C96D9B">
        <w:rPr>
          <w:rFonts w:ascii="Times New Roman" w:hAnsi="Times New Roman"/>
          <w:color w:val="auto"/>
          <w:sz w:val="26"/>
          <w:szCs w:val="26"/>
        </w:rPr>
        <w:t>не участвовавших в конкурентных процедурах;</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развитие цифровых сервисов и аналитических инструментов контроля </w:t>
      </w:r>
      <w:r w:rsidR="00C96D9B">
        <w:rPr>
          <w:rFonts w:ascii="Times New Roman" w:hAnsi="Times New Roman"/>
          <w:color w:val="auto"/>
          <w:sz w:val="26"/>
          <w:szCs w:val="26"/>
        </w:rPr>
        <w:br/>
      </w:r>
      <w:r w:rsidRPr="00C96D9B">
        <w:rPr>
          <w:rFonts w:ascii="Times New Roman" w:hAnsi="Times New Roman"/>
          <w:color w:val="auto"/>
          <w:sz w:val="26"/>
          <w:szCs w:val="26"/>
        </w:rPr>
        <w:t>для повышения качества планирования и мониторинга эффективности государственных закупок;</w:t>
      </w:r>
    </w:p>
    <w:p w:rsidR="00E618FE" w:rsidRPr="00C96D9B" w:rsidRDefault="00C96D9B">
      <w:pPr>
        <w:pStyle w:val="a4"/>
        <w:rPr>
          <w:rFonts w:ascii="Times New Roman" w:hAnsi="Times New Roman"/>
          <w:color w:val="auto"/>
          <w:sz w:val="26"/>
          <w:szCs w:val="26"/>
        </w:rPr>
      </w:pPr>
      <w:r w:rsidRPr="00C96D9B">
        <w:rPr>
          <w:rFonts w:ascii="Times New Roman" w:hAnsi="Times New Roman"/>
          <w:color w:val="auto"/>
          <w:sz w:val="26"/>
          <w:szCs w:val="26"/>
        </w:rPr>
        <w:t>—</w:t>
      </w:r>
      <w:r w:rsidR="00800098" w:rsidRPr="00C96D9B">
        <w:rPr>
          <w:rFonts w:ascii="Times New Roman" w:hAnsi="Times New Roman"/>
          <w:color w:val="auto"/>
          <w:sz w:val="26"/>
          <w:szCs w:val="26"/>
        </w:rPr>
        <w:t> разработка действенных механизмов, направленных на повышение обоснованности закупок для государственных нужд.</w:t>
      </w:r>
    </w:p>
    <w:p w:rsidR="00E618FE" w:rsidRPr="00535A4B" w:rsidRDefault="00E618FE">
      <w:pPr>
        <w:spacing w:after="160" w:line="259" w:lineRule="auto"/>
        <w:rPr>
          <w:rFonts w:eastAsia="PT Astra Serif"/>
          <w:b/>
          <w:spacing w:val="24"/>
          <w:sz w:val="28"/>
          <w:szCs w:val="28"/>
        </w:rPr>
      </w:pPr>
    </w:p>
    <w:p w:rsidR="00E618FE" w:rsidRPr="00535A4B" w:rsidRDefault="00800098">
      <w:pPr>
        <w:keepNext/>
        <w:keepLines/>
        <w:spacing w:before="120" w:after="120"/>
        <w:ind w:firstLine="709"/>
        <w:jc w:val="both"/>
        <w:outlineLvl w:val="3"/>
        <w:rPr>
          <w:rFonts w:eastAsia="PT Astra Serif"/>
          <w:b/>
          <w:bCs/>
          <w:spacing w:val="24"/>
          <w:sz w:val="28"/>
          <w:szCs w:val="28"/>
        </w:rPr>
      </w:pPr>
      <w:r w:rsidRPr="00535A4B">
        <w:rPr>
          <w:rFonts w:eastAsia="PT Astra Serif"/>
          <w:b/>
          <w:spacing w:val="24"/>
          <w:sz w:val="28"/>
          <w:szCs w:val="28"/>
        </w:rPr>
        <w:t>Целевые показатели:</w:t>
      </w:r>
    </w:p>
    <w:p w:rsidR="00E618FE" w:rsidRPr="00C96D9B" w:rsidRDefault="00800098">
      <w:pPr>
        <w:pStyle w:val="aff"/>
        <w:rPr>
          <w:rFonts w:ascii="Times New Roman" w:hAnsi="Times New Roman"/>
          <w:sz w:val="26"/>
          <w:szCs w:val="26"/>
          <w:lang w:val="ru-RU"/>
        </w:rPr>
      </w:pPr>
      <w:r w:rsidRPr="00C96D9B">
        <w:rPr>
          <w:rFonts w:ascii="Times New Roman" w:hAnsi="Times New Roman"/>
          <w:sz w:val="26"/>
          <w:szCs w:val="26"/>
          <w:lang w:val="ru-RU"/>
        </w:rPr>
        <w:t>Таблица</w:t>
      </w:r>
      <w:r w:rsidRPr="00C96D9B">
        <w:rPr>
          <w:rFonts w:ascii="Times New Roman" w:hAnsi="Times New Roman"/>
          <w:sz w:val="26"/>
          <w:szCs w:val="26"/>
        </w:rPr>
        <w:t> </w:t>
      </w:r>
      <w:r w:rsidRPr="00C96D9B">
        <w:rPr>
          <w:rFonts w:ascii="Times New Roman" w:hAnsi="Times New Roman"/>
          <w:sz w:val="26"/>
          <w:szCs w:val="26"/>
          <w:lang w:val="ru-RU"/>
        </w:rPr>
        <w:t>14.2. Целевые показатели Стратегического приоритета 6.2. «Эффективное управление региональными финансами и совершенствование межбюджетных отношений»</w:t>
      </w:r>
    </w:p>
    <w:tbl>
      <w:tblPr>
        <w:tblStyle w:val="-141"/>
        <w:tblW w:w="9460" w:type="dxa"/>
        <w:tblLayout w:type="fixed"/>
        <w:tblLook w:val="04A0" w:firstRow="1" w:lastRow="0" w:firstColumn="1" w:lastColumn="0" w:noHBand="0" w:noVBand="1"/>
      </w:tblPr>
      <w:tblGrid>
        <w:gridCol w:w="6091"/>
        <w:gridCol w:w="1220"/>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Показатели</w:t>
            </w:r>
          </w:p>
        </w:tc>
        <w:tc>
          <w:tcPr>
            <w:tcW w:w="122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Доля бюджетных ассигнований областного бюджета, увязанных с показателями, характеризующими условия и результат их использования, в общем объеме расходов областного бюджета, %</w:t>
            </w:r>
          </w:p>
        </w:tc>
        <w:tc>
          <w:tcPr>
            <w:tcW w:w="1220"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97,70</w:t>
            </w:r>
          </w:p>
        </w:tc>
        <w:tc>
          <w:tcPr>
            <w:tcW w:w="1015"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98,00</w:t>
            </w:r>
          </w:p>
        </w:tc>
        <w:tc>
          <w:tcPr>
            <w:tcW w:w="1134" w:type="dxa"/>
            <w:tcBorders>
              <w:top w:val="single" w:sz="4" w:space="0" w:color="000000"/>
              <w:left w:val="single" w:sz="4" w:space="0" w:color="000000"/>
              <w:bottom w:val="single" w:sz="4" w:space="0" w:color="000000"/>
              <w:right w:val="single" w:sz="4" w:space="0" w:color="000000"/>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98,00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Снижение дебиторской задолженности перед бюджетом Томской области к уровню 2025 года в %</w:t>
            </w:r>
          </w:p>
        </w:tc>
        <w:tc>
          <w:tcPr>
            <w:tcW w:w="1220"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95,00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90,00</w:t>
            </w:r>
          </w:p>
        </w:tc>
      </w:tr>
    </w:tbl>
    <w:p w:rsidR="00E618FE" w:rsidRPr="00535A4B" w:rsidRDefault="00E618FE">
      <w:pPr>
        <w:ind w:firstLine="709"/>
        <w:jc w:val="both"/>
        <w:rPr>
          <w:sz w:val="28"/>
          <w:szCs w:val="28"/>
          <w:lang w:eastAsia="ar-SA"/>
        </w:rPr>
      </w:pPr>
    </w:p>
    <w:p w:rsidR="00E618FE" w:rsidRPr="00535A4B" w:rsidRDefault="00800098">
      <w:pPr>
        <w:pStyle w:val="21"/>
        <w:rPr>
          <w:rFonts w:ascii="Times New Roman" w:eastAsia="PT Astra Serif" w:hAnsi="Times New Roman" w:cs="Times New Roman"/>
        </w:rPr>
      </w:pPr>
      <w:bookmarkStart w:id="211" w:name="_Toc229484498"/>
      <w:bookmarkStart w:id="212" w:name="_Toc235810174"/>
      <w:bookmarkStart w:id="213" w:name="_Toc238554562"/>
      <w:bookmarkEnd w:id="201"/>
      <w:r w:rsidRPr="00535A4B">
        <w:rPr>
          <w:rFonts w:ascii="Times New Roman" w:eastAsia="Times New Roman" w:hAnsi="Times New Roman" w:cs="Times New Roman"/>
        </w:rPr>
        <w:lastRenderedPageBreak/>
        <w:t xml:space="preserve">Стратегический приоритет 6.3. </w:t>
      </w:r>
      <w:r w:rsidRPr="00535A4B">
        <w:rPr>
          <w:rFonts w:ascii="Times New Roman" w:eastAsia="Calibri" w:hAnsi="Times New Roman" w:cs="Times New Roman"/>
        </w:rPr>
        <w:t>«</w:t>
      </w:r>
      <w:r w:rsidRPr="00535A4B">
        <w:rPr>
          <w:rFonts w:ascii="Times New Roman" w:eastAsia="PT Astra Serif" w:hAnsi="Times New Roman" w:cs="Times New Roman"/>
        </w:rPr>
        <w:t xml:space="preserve">Цифровая зрелость» государственного и муниципального управления, ключевых отраслей экономики и социальной сферы, в том числе здравоохранения </w:t>
      </w:r>
      <w:r w:rsidRPr="00535A4B">
        <w:rPr>
          <w:rFonts w:ascii="Times New Roman" w:eastAsia="PT Astra Serif" w:hAnsi="Times New Roman" w:cs="Times New Roman"/>
        </w:rPr>
        <w:br/>
        <w:t>и образования»</w:t>
      </w:r>
      <w:bookmarkEnd w:id="211"/>
      <w:bookmarkEnd w:id="212"/>
      <w:bookmarkEnd w:id="213"/>
    </w:p>
    <w:p w:rsidR="00E618FE" w:rsidRPr="00535A4B" w:rsidRDefault="00E618FE">
      <w:pPr>
        <w:pStyle w:val="a4"/>
        <w:rPr>
          <w:rFonts w:ascii="Times New Roman" w:hAnsi="Times New Roman"/>
          <w:color w:val="auto"/>
        </w:rPr>
      </w:pPr>
    </w:p>
    <w:p w:rsidR="00E618FE" w:rsidRPr="00C96D9B" w:rsidRDefault="00800098">
      <w:pPr>
        <w:pStyle w:val="a4"/>
        <w:rPr>
          <w:rFonts w:ascii="Times New Roman" w:eastAsia="PT Astra Serif" w:hAnsi="Times New Roman"/>
          <w:color w:val="auto"/>
          <w:sz w:val="26"/>
          <w:szCs w:val="26"/>
          <w:lang w:eastAsia="ru-RU"/>
        </w:rPr>
      </w:pPr>
      <w:r w:rsidRPr="00C96D9B">
        <w:rPr>
          <w:rFonts w:ascii="Times New Roman" w:eastAsia="PT Astra Serif" w:hAnsi="Times New Roman"/>
          <w:color w:val="auto"/>
          <w:sz w:val="26"/>
          <w:szCs w:val="26"/>
        </w:rPr>
        <w:t>«</w:t>
      </w:r>
      <w:r w:rsidRPr="00C96D9B">
        <w:rPr>
          <w:rFonts w:ascii="Times New Roman" w:eastAsia="PT Astra Serif" w:hAnsi="Times New Roman"/>
          <w:color w:val="auto"/>
          <w:sz w:val="26"/>
          <w:szCs w:val="26"/>
          <w:lang w:eastAsia="ru-RU"/>
        </w:rPr>
        <w:t xml:space="preserve">Цифровая зрелость» отражает уровень цифровизации процессов государственного и муниципального управления, </w:t>
      </w:r>
      <w:r w:rsidRPr="00C96D9B">
        <w:rPr>
          <w:rFonts w:ascii="Times New Roman" w:eastAsia="PT Astra Serif" w:hAnsi="Times New Roman"/>
          <w:color w:val="auto"/>
          <w:sz w:val="26"/>
          <w:szCs w:val="26"/>
        </w:rPr>
        <w:t xml:space="preserve">ключевых отраслей экономики </w:t>
      </w:r>
      <w:r w:rsidR="00C96D9B">
        <w:rPr>
          <w:rFonts w:ascii="Times New Roman" w:eastAsia="PT Astra Serif" w:hAnsi="Times New Roman"/>
          <w:color w:val="auto"/>
          <w:sz w:val="26"/>
          <w:szCs w:val="26"/>
        </w:rPr>
        <w:br/>
      </w:r>
      <w:r w:rsidRPr="00C96D9B">
        <w:rPr>
          <w:rFonts w:ascii="Times New Roman" w:eastAsia="PT Astra Serif" w:hAnsi="Times New Roman"/>
          <w:color w:val="auto"/>
          <w:sz w:val="26"/>
          <w:szCs w:val="26"/>
        </w:rPr>
        <w:t>и социальной сферы</w:t>
      </w:r>
      <w:r w:rsidRPr="00C96D9B">
        <w:rPr>
          <w:rFonts w:ascii="Times New Roman" w:eastAsia="PT Astra Serif" w:hAnsi="Times New Roman"/>
          <w:color w:val="auto"/>
          <w:sz w:val="26"/>
          <w:szCs w:val="26"/>
          <w:lang w:eastAsia="ru-RU"/>
        </w:rPr>
        <w:t>, является интегральным показателем цифровой трансформации региона. Уровень цифровой трансформации определяется по семи направлениям: государственное и муниципальное управление, общее образование, здравоохранение, физическая культура и спорт, городская среда и жилищно-коммунальное хозяйство, транспорт, туристская индустрия.</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По итогам 2025 года уровень проникновения портала «Госуслуги» среди жителей старше 14 лет превысил 93%, общее количество обращений на портал составило 3 млн, из них за массовыми социально значимыми услугами обратились более 1,8 млн раз. В 18 из 20 муниципальных образований работают МФЦ, через которые в 2025 году поступило порядка 1,4 млн обращений граждан. Внедрена комплексная система «Безопасный город», создан Ситуационный центр Губернатора Томской области, осуществляющий мониторинг 10,6 тыс. показателей по 21 отрасли. По данным на март 2026 года Томская область заняла 9-е место </w:t>
      </w:r>
      <w:r w:rsidR="00C96D9B">
        <w:rPr>
          <w:rFonts w:ascii="Times New Roman" w:hAnsi="Times New Roman"/>
          <w:color w:val="auto"/>
          <w:sz w:val="26"/>
          <w:szCs w:val="26"/>
        </w:rPr>
        <w:br/>
      </w:r>
      <w:r w:rsidRPr="00C96D9B">
        <w:rPr>
          <w:rFonts w:ascii="Times New Roman" w:hAnsi="Times New Roman"/>
          <w:color w:val="auto"/>
          <w:sz w:val="26"/>
          <w:szCs w:val="26"/>
        </w:rPr>
        <w:t>в федеральном рейтинге цифровой трансформации, что является существенным улучшением по сравнению с шестым десятком три года назад.</w:t>
      </w:r>
    </w:p>
    <w:p w:rsidR="00E618FE" w:rsidRPr="00C96D9B" w:rsidRDefault="00800098">
      <w:pPr>
        <w:pStyle w:val="a4"/>
        <w:rPr>
          <w:rFonts w:ascii="Times New Roman" w:hAnsi="Times New Roman"/>
          <w:color w:val="auto"/>
          <w:sz w:val="26"/>
          <w:szCs w:val="26"/>
        </w:rPr>
      </w:pPr>
      <w:bookmarkStart w:id="214" w:name="_Hlk228743281"/>
      <w:r w:rsidRPr="00C96D9B">
        <w:rPr>
          <w:rFonts w:ascii="Times New Roman" w:hAnsi="Times New Roman"/>
          <w:color w:val="auto"/>
          <w:sz w:val="26"/>
          <w:szCs w:val="26"/>
        </w:rPr>
        <w:t xml:space="preserve">Дальнейшая реализация стратегического приоритета предполагает </w:t>
      </w:r>
      <w:r w:rsidRPr="00C96D9B">
        <w:rPr>
          <w:rFonts w:ascii="Times New Roman" w:eastAsia="PT Astra Serif" w:hAnsi="Times New Roman"/>
          <w:color w:val="auto"/>
          <w:sz w:val="26"/>
          <w:szCs w:val="26"/>
        </w:rPr>
        <w:t xml:space="preserve">обеспечение доли массовых социально значимых услуг в электронной форме </w:t>
      </w:r>
      <w:r w:rsidR="00C96D9B">
        <w:rPr>
          <w:rFonts w:ascii="Times New Roman" w:eastAsia="PT Astra Serif" w:hAnsi="Times New Roman"/>
          <w:color w:val="auto"/>
          <w:sz w:val="26"/>
          <w:szCs w:val="26"/>
        </w:rPr>
        <w:t>–</w:t>
      </w:r>
      <w:r w:rsidRPr="00C96D9B">
        <w:rPr>
          <w:rFonts w:ascii="Times New Roman" w:eastAsia="PT Astra Serif" w:hAnsi="Times New Roman"/>
          <w:color w:val="auto"/>
          <w:sz w:val="26"/>
          <w:szCs w:val="26"/>
        </w:rPr>
        <w:t xml:space="preserve"> 100%, </w:t>
      </w:r>
      <w:r w:rsidRPr="00C96D9B">
        <w:rPr>
          <w:rFonts w:ascii="Times New Roman" w:hAnsi="Times New Roman"/>
          <w:color w:val="auto"/>
          <w:sz w:val="26"/>
          <w:szCs w:val="26"/>
        </w:rPr>
        <w:t xml:space="preserve">достижение 100% уровня «цифровой зрелости» государственного </w:t>
      </w:r>
      <w:r w:rsidRPr="00C96D9B">
        <w:rPr>
          <w:rFonts w:ascii="Times New Roman" w:hAnsi="Times New Roman"/>
          <w:color w:val="auto"/>
          <w:sz w:val="26"/>
          <w:szCs w:val="26"/>
        </w:rPr>
        <w:br/>
        <w:t xml:space="preserve">и муниципального управления к 2036 году, а также полный переход </w:t>
      </w:r>
      <w:r w:rsidRPr="00C96D9B">
        <w:rPr>
          <w:rFonts w:ascii="Times New Roman" w:hAnsi="Times New Roman"/>
          <w:color w:val="auto"/>
          <w:sz w:val="26"/>
          <w:szCs w:val="26"/>
        </w:rPr>
        <w:br/>
        <w:t xml:space="preserve">на отечественное программное обеспечение. Эти меры обеспечат повышение эффективности управления регионом, рост удовлетворенности населения качеством государственных услуг. </w:t>
      </w:r>
      <w:bookmarkEnd w:id="214"/>
    </w:p>
    <w:p w:rsidR="00E618FE" w:rsidRPr="00535A4B" w:rsidRDefault="00E618FE">
      <w:pPr>
        <w:spacing w:after="160" w:line="259" w:lineRule="auto"/>
        <w:rPr>
          <w:rFonts w:eastAsia="PT Astra Serif"/>
          <w:b/>
          <w:spacing w:val="24"/>
          <w:sz w:val="28"/>
          <w:szCs w:val="28"/>
        </w:rPr>
      </w:pPr>
    </w:p>
    <w:p w:rsidR="00E618FE" w:rsidRPr="00535A4B" w:rsidRDefault="00800098">
      <w:pPr>
        <w:spacing w:before="120" w:after="120"/>
        <w:ind w:firstLine="709"/>
        <w:jc w:val="both"/>
        <w:outlineLvl w:val="3"/>
        <w:rPr>
          <w:rFonts w:eastAsia="PT Astra Serif"/>
          <w:b/>
          <w:spacing w:val="24"/>
          <w:sz w:val="28"/>
          <w:szCs w:val="28"/>
        </w:rPr>
      </w:pPr>
      <w:r w:rsidRPr="00535A4B">
        <w:rPr>
          <w:rFonts w:eastAsia="PT Astra Serif"/>
          <w:b/>
          <w:spacing w:val="24"/>
          <w:sz w:val="28"/>
          <w:szCs w:val="28"/>
        </w:rPr>
        <w:t>Задачи:</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6.3.1. Обеспечить достижение целевых значений отраслевых индикаторов цифровой зрелости по всем ключевым направлениям.</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Ключевые направления и механизмы реализации: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обеспечить рост доли социально значимых услуг, предоставляемых </w:t>
      </w:r>
      <w:r w:rsidR="00C96D9B">
        <w:rPr>
          <w:rFonts w:ascii="Times New Roman" w:hAnsi="Times New Roman"/>
          <w:color w:val="auto"/>
          <w:sz w:val="26"/>
          <w:szCs w:val="26"/>
        </w:rPr>
        <w:br/>
      </w:r>
      <w:r w:rsidRPr="00C96D9B">
        <w:rPr>
          <w:rFonts w:ascii="Times New Roman" w:hAnsi="Times New Roman"/>
          <w:color w:val="auto"/>
          <w:sz w:val="26"/>
          <w:szCs w:val="26"/>
        </w:rPr>
        <w:t>в электронном виде, в соответствии с плановыми значениями «цифровой зрелости» госуправления</w:t>
      </w:r>
      <w:bookmarkStart w:id="215" w:name="_Hlk230710779"/>
      <w:r w:rsidRPr="00C96D9B">
        <w:rPr>
          <w:rFonts w:ascii="Times New Roman" w:hAnsi="Times New Roman"/>
          <w:color w:val="auto"/>
          <w:sz w:val="26"/>
          <w:szCs w:val="26"/>
        </w:rPr>
        <w:t>;</w:t>
      </w:r>
      <w:bookmarkEnd w:id="215"/>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внедрить в здравоохранении индикаторы, предусмотренные методикой: увеличить долю телемедицинских консультаций и обеспечить централизованное хранение медицинских данных в единой цифровой среде;</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в общем образовании реализовать целевые показатели по автоматизации контроля успеваемости, обеспечению доступности цифровых ресурсов и внедрению персонализированных образовательных траекторий;</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достичь установленных значений «цифровой зрелости» в городской среде и ЖКХ, в том числе за счет роста доли онлайн-голосований собственников жилья </w:t>
      </w:r>
      <w:r w:rsidR="00C96D9B">
        <w:rPr>
          <w:rFonts w:ascii="Times New Roman" w:hAnsi="Times New Roman"/>
          <w:color w:val="auto"/>
          <w:sz w:val="26"/>
          <w:szCs w:val="26"/>
        </w:rPr>
        <w:br/>
      </w:r>
      <w:r w:rsidRPr="00C96D9B">
        <w:rPr>
          <w:rFonts w:ascii="Times New Roman" w:hAnsi="Times New Roman"/>
          <w:color w:val="auto"/>
          <w:sz w:val="26"/>
          <w:szCs w:val="26"/>
        </w:rPr>
        <w:t>и внедрения безналичной оплаты жилищно-коммунальных услуг;</w:t>
      </w:r>
    </w:p>
    <w:p w:rsidR="00E618FE" w:rsidRPr="00C96D9B" w:rsidRDefault="00C96D9B">
      <w:pPr>
        <w:pStyle w:val="a4"/>
        <w:rPr>
          <w:rFonts w:ascii="Times New Roman" w:hAnsi="Times New Roman"/>
          <w:color w:val="auto"/>
          <w:sz w:val="26"/>
          <w:szCs w:val="26"/>
        </w:rPr>
      </w:pPr>
      <w:r>
        <w:rPr>
          <w:rFonts w:ascii="Times New Roman" w:hAnsi="Times New Roman"/>
          <w:color w:val="auto"/>
          <w:sz w:val="26"/>
          <w:szCs w:val="26"/>
        </w:rPr>
        <w:lastRenderedPageBreak/>
        <w:t>— на транспорте –</w:t>
      </w:r>
      <w:r w:rsidR="00800098" w:rsidRPr="00C96D9B">
        <w:rPr>
          <w:rFonts w:ascii="Times New Roman" w:hAnsi="Times New Roman"/>
          <w:color w:val="auto"/>
          <w:sz w:val="26"/>
          <w:szCs w:val="26"/>
        </w:rPr>
        <w:t xml:space="preserve"> обеспечить выполнение индикаторов по оснащению подвижного состава системами слежения и бесконтактной оплаты проезда;</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внедрить цифровые индикаторы в сферах физической культуры, спорта </w:t>
      </w:r>
      <w:r w:rsidR="00C96D9B">
        <w:rPr>
          <w:rFonts w:ascii="Times New Roman" w:hAnsi="Times New Roman"/>
          <w:color w:val="auto"/>
          <w:sz w:val="26"/>
          <w:szCs w:val="26"/>
        </w:rPr>
        <w:br/>
      </w:r>
      <w:r w:rsidRPr="00C96D9B">
        <w:rPr>
          <w:rFonts w:ascii="Times New Roman" w:hAnsi="Times New Roman"/>
          <w:color w:val="auto"/>
          <w:sz w:val="26"/>
          <w:szCs w:val="26"/>
        </w:rPr>
        <w:t>и туристической индустрии для системной оценки эффективности цифровой трансформации.</w:t>
      </w:r>
    </w:p>
    <w:p w:rsidR="00C96D9B" w:rsidRDefault="00C96D9B">
      <w:pPr>
        <w:pStyle w:val="a4"/>
        <w:rPr>
          <w:rFonts w:ascii="Times New Roman" w:hAnsi="Times New Roman"/>
          <w:b/>
          <w:bCs/>
          <w:color w:val="auto"/>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Задача 6.3.2. Обеспечить внедрение цифровых платформ, технологий искусственного интеллекта и управления на основе данных.</w:t>
      </w:r>
    </w:p>
    <w:p w:rsidR="00E618FE" w:rsidRPr="00C96D9B" w:rsidRDefault="00800098">
      <w:pPr>
        <w:pStyle w:val="a4"/>
        <w:rPr>
          <w:rFonts w:ascii="Times New Roman" w:hAnsi="Times New Roman"/>
          <w:bCs/>
          <w:color w:val="auto"/>
          <w:sz w:val="26"/>
          <w:szCs w:val="26"/>
        </w:rPr>
      </w:pPr>
      <w:r w:rsidRPr="00C96D9B">
        <w:rPr>
          <w:rFonts w:ascii="Times New Roman" w:hAnsi="Times New Roman"/>
          <w:bCs/>
          <w:color w:val="auto"/>
          <w:sz w:val="26"/>
          <w:szCs w:val="26"/>
        </w:rPr>
        <w:t>Ключевые направления и механизмы реализации: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достичь показателей «цифровой зрелости» путем автоматизации большинства транзакций в рамках единых отраслевых цифровых платформ в сферах здравоохранения, образования, городской среды и ЖКХ, физической культуры </w:t>
      </w:r>
      <w:r w:rsidR="00C96D9B">
        <w:rPr>
          <w:rFonts w:ascii="Times New Roman" w:hAnsi="Times New Roman"/>
          <w:color w:val="auto"/>
          <w:sz w:val="26"/>
          <w:szCs w:val="26"/>
        </w:rPr>
        <w:br/>
      </w:r>
      <w:r w:rsidRPr="00C96D9B">
        <w:rPr>
          <w:rFonts w:ascii="Times New Roman" w:hAnsi="Times New Roman"/>
          <w:color w:val="auto"/>
          <w:sz w:val="26"/>
          <w:szCs w:val="26"/>
        </w:rPr>
        <w:t>и спорта;</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внедрить модели управления на основе данных с применением технологий обработки больших объемов данных, машинного обучения и искусственного интеллекта в соответствии с целевыми индикаторами по каждой ключевой отрасли;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реализовать целевые показатели использования ИИ в соответствии </w:t>
      </w:r>
      <w:r w:rsidR="00C96D9B">
        <w:rPr>
          <w:rFonts w:ascii="Times New Roman" w:hAnsi="Times New Roman"/>
          <w:color w:val="auto"/>
          <w:sz w:val="26"/>
          <w:szCs w:val="26"/>
        </w:rPr>
        <w:br/>
      </w:r>
      <w:r w:rsidRPr="00C96D9B">
        <w:rPr>
          <w:rFonts w:ascii="Times New Roman" w:hAnsi="Times New Roman"/>
          <w:color w:val="auto"/>
          <w:sz w:val="26"/>
          <w:szCs w:val="26"/>
        </w:rPr>
        <w:t>с отраслевыми индикаторами: в здравоохране</w:t>
      </w:r>
      <w:r w:rsidR="00C96D9B">
        <w:rPr>
          <w:rFonts w:ascii="Times New Roman" w:hAnsi="Times New Roman"/>
          <w:color w:val="auto"/>
          <w:sz w:val="26"/>
          <w:szCs w:val="26"/>
        </w:rPr>
        <w:t>нии –</w:t>
      </w:r>
      <w:r w:rsidRPr="00C96D9B">
        <w:rPr>
          <w:rFonts w:ascii="Times New Roman" w:hAnsi="Times New Roman"/>
          <w:color w:val="auto"/>
          <w:sz w:val="26"/>
          <w:szCs w:val="26"/>
        </w:rPr>
        <w:t xml:space="preserve"> для анализа медицинских снимков и ранней диагностики, в образовании </w:t>
      </w:r>
      <w:r w:rsidR="00C96D9B">
        <w:rPr>
          <w:rFonts w:ascii="Times New Roman" w:hAnsi="Times New Roman"/>
          <w:color w:val="auto"/>
          <w:sz w:val="26"/>
          <w:szCs w:val="26"/>
        </w:rPr>
        <w:t>–</w:t>
      </w:r>
      <w:r w:rsidRPr="00C96D9B">
        <w:rPr>
          <w:rFonts w:ascii="Times New Roman" w:hAnsi="Times New Roman"/>
          <w:color w:val="auto"/>
          <w:sz w:val="26"/>
          <w:szCs w:val="26"/>
        </w:rPr>
        <w:t xml:space="preserve"> для создания персонализированных траекторий обучения;</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создать и запустить на базе единой цифровой среды сервисы для оценки эффективности регионального управления и повышения удовлетворенности населения качеством предоставления услуг в цифровом формате, укрепив статус Томской области как ведущего научно-технологического центра Сибири.</w:t>
      </w:r>
    </w:p>
    <w:p w:rsidR="00C96D9B" w:rsidRDefault="00C96D9B">
      <w:pPr>
        <w:spacing w:after="160" w:line="259" w:lineRule="auto"/>
        <w:ind w:firstLine="709"/>
        <w:jc w:val="both"/>
        <w:rPr>
          <w:b/>
          <w:bCs/>
        </w:rPr>
      </w:pPr>
    </w:p>
    <w:p w:rsidR="00E618FE" w:rsidRPr="00535A4B" w:rsidRDefault="00800098">
      <w:pPr>
        <w:spacing w:after="160" w:line="259" w:lineRule="auto"/>
        <w:ind w:firstLine="709"/>
        <w:jc w:val="both"/>
        <w:rPr>
          <w:b/>
          <w:bCs/>
          <w:sz w:val="28"/>
          <w:szCs w:val="28"/>
        </w:rPr>
      </w:pPr>
      <w:r w:rsidRPr="00535A4B">
        <w:rPr>
          <w:b/>
          <w:bCs/>
        </w:rPr>
        <w:t>З</w:t>
      </w:r>
      <w:r w:rsidRPr="00535A4B">
        <w:rPr>
          <w:rFonts w:eastAsia="PT Astra Serif"/>
          <w:b/>
          <w:bCs/>
          <w:sz w:val="28"/>
          <w:szCs w:val="28"/>
        </w:rPr>
        <w:t>адача 6.3.3. Обеспечить технологический суверенитет и развитие собственных ИТ-решений в ключевых отраслях.</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Ключевые направления и механизмы реализации: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обеспечить импортонезависимость критической информационной инфраструктуры в сферах государственного управления, промышленности, финансовых услуг и социальной инфраструктуры за счет внедрения отечественного программного обеспечения и оборудования, в соответствии с отраслевыми индикаторами «цифровой зрелости»;</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стимулировать рост регионального ИТ-сектора для достижения целевых индикаторов «цифровой зрелости» промышленности, включая внедрение систем предиктивной диагностики оборудования и цифровых паспортов предприятий;</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 в финансовом секторе обеспечить внедрение индикаторов использования ИИ для ускоренного скоринга, предотвращения мошеннических операций </w:t>
      </w:r>
      <w:r w:rsidR="00C96D9B">
        <w:rPr>
          <w:rFonts w:ascii="Times New Roman" w:hAnsi="Times New Roman"/>
          <w:color w:val="auto"/>
          <w:sz w:val="26"/>
          <w:szCs w:val="26"/>
        </w:rPr>
        <w:br/>
      </w:r>
      <w:r w:rsidRPr="00C96D9B">
        <w:rPr>
          <w:rFonts w:ascii="Times New Roman" w:hAnsi="Times New Roman"/>
          <w:color w:val="auto"/>
          <w:sz w:val="26"/>
          <w:szCs w:val="26"/>
        </w:rPr>
        <w:t>и развития безналичных платежных сервисов;</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создать условия для продвижения томских технологических решений на российский и международный рынки в целях достижения технологического лидерства и расширения экспорта технологий.</w:t>
      </w:r>
    </w:p>
    <w:p w:rsidR="00C96D9B" w:rsidRDefault="00C96D9B">
      <w:pPr>
        <w:spacing w:after="160" w:line="259" w:lineRule="auto"/>
        <w:rPr>
          <w:b/>
          <w:spacing w:val="24"/>
          <w:sz w:val="28"/>
          <w:szCs w:val="28"/>
        </w:rPr>
      </w:pPr>
      <w:r>
        <w:rPr>
          <w:b/>
          <w:spacing w:val="24"/>
          <w:sz w:val="28"/>
          <w:szCs w:val="28"/>
        </w:rPr>
        <w:br w:type="page"/>
      </w:r>
    </w:p>
    <w:p w:rsidR="00E618FE" w:rsidRPr="00535A4B" w:rsidRDefault="00800098">
      <w:pPr>
        <w:keepNext/>
        <w:keepLines/>
        <w:spacing w:before="120" w:after="120"/>
        <w:ind w:firstLine="709"/>
        <w:jc w:val="both"/>
        <w:outlineLvl w:val="3"/>
        <w:rPr>
          <w:b/>
          <w:spacing w:val="24"/>
          <w:sz w:val="28"/>
          <w:szCs w:val="28"/>
        </w:rPr>
      </w:pPr>
      <w:r w:rsidRPr="00535A4B">
        <w:rPr>
          <w:b/>
          <w:spacing w:val="24"/>
          <w:sz w:val="28"/>
          <w:szCs w:val="28"/>
        </w:rPr>
        <w:lastRenderedPageBreak/>
        <w:t>Целевые показатели:</w:t>
      </w:r>
    </w:p>
    <w:p w:rsidR="00E618FE" w:rsidRPr="00C96D9B" w:rsidRDefault="00800098">
      <w:pPr>
        <w:pStyle w:val="aff"/>
        <w:rPr>
          <w:rFonts w:ascii="Times New Roman" w:hAnsi="Times New Roman"/>
          <w:sz w:val="26"/>
          <w:szCs w:val="26"/>
          <w:lang w:val="ru-RU"/>
        </w:rPr>
      </w:pPr>
      <w:r w:rsidRPr="00C96D9B">
        <w:rPr>
          <w:rFonts w:ascii="Times New Roman" w:hAnsi="Times New Roman"/>
          <w:sz w:val="26"/>
          <w:szCs w:val="26"/>
          <w:lang w:val="ru-RU"/>
        </w:rPr>
        <w:t>Таблица</w:t>
      </w:r>
      <w:r w:rsidRPr="00C96D9B">
        <w:rPr>
          <w:rFonts w:ascii="Times New Roman" w:hAnsi="Times New Roman"/>
          <w:sz w:val="26"/>
          <w:szCs w:val="26"/>
        </w:rPr>
        <w:t> </w:t>
      </w:r>
      <w:r w:rsidRPr="00C96D9B">
        <w:rPr>
          <w:rFonts w:ascii="Times New Roman" w:hAnsi="Times New Roman"/>
          <w:sz w:val="26"/>
          <w:szCs w:val="26"/>
          <w:lang w:val="ru-RU"/>
        </w:rPr>
        <w:t>14.3. Целевые показатели Стратегического приоритета 6.3. «Цифровая зрелость» государственного и</w:t>
      </w:r>
      <w:r w:rsidRPr="00C96D9B">
        <w:rPr>
          <w:rFonts w:ascii="Times New Roman" w:hAnsi="Times New Roman"/>
          <w:sz w:val="26"/>
          <w:szCs w:val="26"/>
        </w:rPr>
        <w:t> </w:t>
      </w:r>
      <w:r w:rsidRPr="00C96D9B">
        <w:rPr>
          <w:rFonts w:ascii="Times New Roman" w:hAnsi="Times New Roman"/>
          <w:sz w:val="26"/>
          <w:szCs w:val="26"/>
          <w:lang w:val="ru-RU"/>
        </w:rPr>
        <w:t>муниципального управления, ключевых отраслей экономики и социальной сферы, в том числе здравоохранения и образования»</w:t>
      </w:r>
    </w:p>
    <w:tbl>
      <w:tblPr>
        <w:tblStyle w:val="-141"/>
        <w:tblW w:w="9460" w:type="dxa"/>
        <w:tblLayout w:type="fixed"/>
        <w:tblLook w:val="04A0" w:firstRow="1" w:lastRow="0" w:firstColumn="1" w:lastColumn="0" w:noHBand="0" w:noVBand="1"/>
      </w:tblPr>
      <w:tblGrid>
        <w:gridCol w:w="6187"/>
        <w:gridCol w:w="1124"/>
        <w:gridCol w:w="1015"/>
        <w:gridCol w:w="1134"/>
      </w:tblGrid>
      <w:tr w:rsidR="00E618FE" w:rsidRPr="00535A4B" w:rsidTr="00E618FE">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pPr>
            <w:r w:rsidRPr="00535A4B">
              <w:rPr>
                <w:b w:val="0"/>
                <w:bCs w:val="0"/>
              </w:rPr>
              <w:t xml:space="preserve">Показатели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 xml:space="preserve">2030 г. </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 xml:space="preserve">2036 г. </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«Цифровая зрелость» государственного </w:t>
            </w:r>
            <w:r w:rsidRPr="00535A4B">
              <w:rPr>
                <w:b w:val="0"/>
                <w:bCs w:val="0"/>
              </w:rPr>
              <w:br/>
              <w:t>и муниципального управления, ключевых отраслей экономики и социальной сферы, в том числе здравоохранения и образования,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55,65</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618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pPr>
            <w:r w:rsidRPr="00535A4B">
              <w:rPr>
                <w:b w:val="0"/>
                <w:bCs w:val="0"/>
              </w:rPr>
              <w:t xml:space="preserve">Доля массовых социально значимых государственных </w:t>
            </w:r>
            <w:r w:rsidRPr="00535A4B">
              <w:rPr>
                <w:b w:val="0"/>
                <w:bCs w:val="0"/>
              </w:rPr>
              <w:br/>
              <w:t>и муниципальных услуг, предоставляемых в электронной форме, %</w:t>
            </w:r>
          </w:p>
        </w:tc>
        <w:tc>
          <w:tcPr>
            <w:tcW w:w="112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015"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1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r>
    </w:tbl>
    <w:p w:rsidR="00E618FE" w:rsidRPr="00535A4B" w:rsidRDefault="00800098">
      <w:pPr>
        <w:spacing w:after="160" w:line="259" w:lineRule="auto"/>
        <w:rPr>
          <w:sz w:val="28"/>
          <w:szCs w:val="28"/>
          <w:lang w:eastAsia="ar-SA"/>
        </w:rPr>
      </w:pPr>
      <w:r w:rsidRPr="00535A4B">
        <w:br w:type="page" w:clear="all"/>
      </w:r>
    </w:p>
    <w:p w:rsidR="00E618FE" w:rsidRPr="00535A4B" w:rsidRDefault="00800098">
      <w:pPr>
        <w:pStyle w:val="10"/>
        <w:rPr>
          <w:rFonts w:ascii="Times New Roman" w:eastAsia="PT Astra Serif" w:hAnsi="Times New Roman" w:cs="Times New Roman"/>
          <w:lang w:val="ru-RU"/>
        </w:rPr>
      </w:pPr>
      <w:bookmarkStart w:id="216" w:name="_Toc235810175"/>
      <w:bookmarkStart w:id="217" w:name="_Toc238554563"/>
      <w:bookmarkStart w:id="218" w:name="_Hlk228385767"/>
      <w:bookmarkEnd w:id="202"/>
      <w:r w:rsidRPr="00535A4B">
        <w:rPr>
          <w:rFonts w:ascii="Times New Roman" w:eastAsia="PT Astra Serif" w:hAnsi="Times New Roman" w:cs="Times New Roman"/>
          <w:lang w:val="ru-RU"/>
        </w:rPr>
        <w:lastRenderedPageBreak/>
        <w:t>15. Ожидаемые результаты реализации Стратегии. Показатели достижения целей социально-экономического развития Томской области</w:t>
      </w:r>
      <w:bookmarkEnd w:id="216"/>
      <w:bookmarkEnd w:id="217"/>
    </w:p>
    <w:p w:rsidR="00E618FE" w:rsidRPr="00535A4B" w:rsidRDefault="00E618FE">
      <w:pPr>
        <w:pStyle w:val="a4"/>
        <w:rPr>
          <w:rFonts w:ascii="Times New Roman" w:hAnsi="Times New Roman"/>
          <w:color w:val="auto"/>
        </w:rPr>
      </w:pP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В результате реализации Стратегии к 2030 году в Томской области будет сформирована устойчивая, адаптивная экономика, способная противостоять внешним вызовам. Основой конкурентоспособности региона станут диверсифицированный топливно-энергетический комплекс, кластеры глубокой переработки природных ресурсов (лесная, химическая, пищевая промышленность), а также новые высокотехнологичные производства в сфере микроэлектроники, точного машиностроения, беспилотных систем и инжиниринга. Получат развитие креативные индустрии, индустрия гостеприимства и передовая медицина. Инвестиционная привлекательность региона возрастет, а доля обрабатывающего сектора с продукцией высоких переделов устойчиво увеличится.</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К 2036 году Томская область превратится в глобально значимый технологический центр, где наука, образование и промышленность образуют единую экосистему генерации знаний и инноваций. Регион войдет в число лидеров России по доле высокотехнологичной продукции в валовом региональном продукте, объему несырьевого экспорта и уровню инвестиционной активности. Будет обеспечен переход к модели «умного региона»: цифровая трансформация охватит все отрасли экономики и социальной сферы, а управление будет строиться на основе больших данных и технологий искусственного интеллекта.</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В социальной сфере ключевым результатом станет стабилизация численности населения и создание условий для ее последующего роста. Томская область станет территорией притяжения молодых специалистов, ученых и предпринимателей </w:t>
      </w:r>
      <w:r w:rsidR="00C96D9B">
        <w:rPr>
          <w:rFonts w:ascii="Times New Roman" w:hAnsi="Times New Roman"/>
          <w:color w:val="auto"/>
          <w:sz w:val="26"/>
          <w:szCs w:val="26"/>
        </w:rPr>
        <w:br/>
      </w:r>
      <w:r w:rsidRPr="00C96D9B">
        <w:rPr>
          <w:rFonts w:ascii="Times New Roman" w:hAnsi="Times New Roman"/>
          <w:color w:val="auto"/>
          <w:sz w:val="26"/>
          <w:szCs w:val="26"/>
        </w:rPr>
        <w:t>из других регионов и из-за рубежа. Уровень бедности сократится до минимальных значений, а реальные доходы населения существенно вырастут. Будет обеспечена доступность качественно</w:t>
      </w:r>
      <w:r w:rsidR="00C96D9B">
        <w:rPr>
          <w:rFonts w:ascii="Times New Roman" w:hAnsi="Times New Roman"/>
          <w:color w:val="auto"/>
          <w:sz w:val="26"/>
          <w:szCs w:val="26"/>
        </w:rPr>
        <w:t>го образования на всех уровнях –</w:t>
      </w:r>
      <w:r w:rsidRPr="00C96D9B">
        <w:rPr>
          <w:rFonts w:ascii="Times New Roman" w:hAnsi="Times New Roman"/>
          <w:color w:val="auto"/>
          <w:sz w:val="26"/>
          <w:szCs w:val="26"/>
        </w:rPr>
        <w:t xml:space="preserve"> от детского сада до вуза, включая непрерывное профессиональное обучение. Ожидаемая продолжительность жизни достигнет показателей, превышающих среднероссийские, а система здравоохранения перейдет к персонализированной модели профилактики и лечения.</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Качество жизни населения повысится благодаря развитию комфортной и безопасной городской среды, модернизации жилищно-коммунального хозяйства, массовой газификации и строительству современных автомобильных дорог. Томская область войдет в число регионов-лидеров по уровню цифровизации государственных услуг </w:t>
      </w:r>
      <w:r w:rsidR="0033618D">
        <w:rPr>
          <w:rFonts w:ascii="Times New Roman" w:hAnsi="Times New Roman"/>
          <w:color w:val="auto"/>
          <w:sz w:val="26"/>
          <w:szCs w:val="26"/>
        </w:rPr>
        <w:t>–</w:t>
      </w:r>
      <w:r w:rsidRPr="00C96D9B">
        <w:rPr>
          <w:rFonts w:ascii="Times New Roman" w:hAnsi="Times New Roman"/>
          <w:color w:val="auto"/>
          <w:sz w:val="26"/>
          <w:szCs w:val="26"/>
        </w:rPr>
        <w:t xml:space="preserve"> массовые социально значимые услуги будут предоставляться в электронном виде в проактивном режиме. Экологическая ситуация улучшится за счет внедрения экономики замкнутого цикла, стопроцентной сортировки твердых коммунальных отходов, снижения выбросов и сбросов загрязняющих веществ, а также ежегодного превышения площади лесовосстановления над площадью вырубок.</w:t>
      </w:r>
    </w:p>
    <w:p w:rsidR="00E618FE" w:rsidRPr="00C96D9B" w:rsidRDefault="00800098">
      <w:pPr>
        <w:pStyle w:val="a4"/>
        <w:rPr>
          <w:rFonts w:ascii="Times New Roman" w:hAnsi="Times New Roman"/>
          <w:color w:val="auto"/>
          <w:sz w:val="26"/>
          <w:szCs w:val="26"/>
        </w:rPr>
      </w:pPr>
      <w:r w:rsidRPr="00C96D9B">
        <w:rPr>
          <w:rFonts w:ascii="Times New Roman" w:hAnsi="Times New Roman"/>
          <w:color w:val="auto"/>
          <w:sz w:val="26"/>
          <w:szCs w:val="26"/>
        </w:rPr>
        <w:t xml:space="preserve">В результате реализации Стратегии Томская область утвердится в качестве опорного научно-технологического центра России, где сформирована привлекательная, безопасная и комфортная среда для жизни, учебы, работы </w:t>
      </w:r>
      <w:r w:rsidR="0033618D">
        <w:rPr>
          <w:rFonts w:ascii="Times New Roman" w:hAnsi="Times New Roman"/>
          <w:color w:val="auto"/>
          <w:sz w:val="26"/>
          <w:szCs w:val="26"/>
        </w:rPr>
        <w:br/>
      </w:r>
      <w:r w:rsidRPr="00C96D9B">
        <w:rPr>
          <w:rFonts w:ascii="Times New Roman" w:hAnsi="Times New Roman"/>
          <w:color w:val="auto"/>
          <w:sz w:val="26"/>
          <w:szCs w:val="26"/>
        </w:rPr>
        <w:t>и отдыха всех поколений. Регион внесет весомый вклад в укрепление технологического суверенитета страны, развитие Сибири и достижение национальных целей развития Российской Федерации.</w:t>
      </w:r>
    </w:p>
    <w:p w:rsidR="00E618FE" w:rsidRDefault="00800098">
      <w:pPr>
        <w:pStyle w:val="a4"/>
        <w:rPr>
          <w:rFonts w:ascii="Times New Roman" w:hAnsi="Times New Roman"/>
          <w:color w:val="auto"/>
          <w:sz w:val="26"/>
          <w:szCs w:val="26"/>
        </w:rPr>
      </w:pPr>
      <w:r w:rsidRPr="00C96D9B">
        <w:rPr>
          <w:rFonts w:ascii="Times New Roman" w:hAnsi="Times New Roman"/>
          <w:color w:val="auto"/>
          <w:sz w:val="26"/>
          <w:szCs w:val="26"/>
        </w:rPr>
        <w:lastRenderedPageBreak/>
        <w:t>Целевые показатели (ожидаемые результаты реализации Стратегии) представлены в таблице ниже.</w:t>
      </w:r>
    </w:p>
    <w:p w:rsidR="0033618D" w:rsidRPr="00C96D9B" w:rsidRDefault="0033618D">
      <w:pPr>
        <w:pStyle w:val="a4"/>
        <w:rPr>
          <w:rFonts w:ascii="Times New Roman" w:hAnsi="Times New Roman"/>
          <w:color w:val="auto"/>
          <w:sz w:val="26"/>
          <w:szCs w:val="26"/>
        </w:rPr>
      </w:pPr>
    </w:p>
    <w:p w:rsidR="00E618FE" w:rsidRPr="0033618D" w:rsidRDefault="00800098">
      <w:pPr>
        <w:pStyle w:val="aff"/>
        <w:rPr>
          <w:rFonts w:ascii="Times New Roman" w:hAnsi="Times New Roman"/>
          <w:sz w:val="26"/>
          <w:szCs w:val="26"/>
          <w:lang w:val="ru-RU"/>
        </w:rPr>
      </w:pPr>
      <w:r w:rsidRPr="0033618D">
        <w:rPr>
          <w:rFonts w:ascii="Times New Roman" w:hAnsi="Times New Roman"/>
          <w:sz w:val="26"/>
          <w:szCs w:val="26"/>
          <w:lang w:val="ru-RU"/>
        </w:rPr>
        <w:t>Таблица 15.1. Целевые показатели реализации Стратегии 2036</w:t>
      </w:r>
    </w:p>
    <w:tbl>
      <w:tblPr>
        <w:tblStyle w:val="-141"/>
        <w:tblW w:w="10093" w:type="dxa"/>
        <w:jc w:val="center"/>
        <w:tblLayout w:type="fixed"/>
        <w:tblCellMar>
          <w:top w:w="57" w:type="dxa"/>
          <w:left w:w="57" w:type="dxa"/>
          <w:bottom w:w="57" w:type="dxa"/>
          <w:right w:w="57" w:type="dxa"/>
        </w:tblCellMar>
        <w:tblLook w:val="04A0" w:firstRow="1" w:lastRow="0" w:firstColumn="1" w:lastColumn="0" w:noHBand="0" w:noVBand="1"/>
      </w:tblPr>
      <w:tblGrid>
        <w:gridCol w:w="572"/>
        <w:gridCol w:w="5286"/>
        <w:gridCol w:w="1560"/>
        <w:gridCol w:w="1331"/>
        <w:gridCol w:w="1344"/>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shd w:val="clear" w:color="auto" w:fill="E7E6E6" w:themeFill="background2"/>
          </w:tcPr>
          <w:p w:rsidR="00E618FE" w:rsidRPr="00535A4B" w:rsidRDefault="00E618FE"/>
        </w:tc>
        <w:tc>
          <w:tcPr>
            <w:tcW w:w="5286" w:type="dxa"/>
            <w:tcBorders>
              <w:left w:val="none" w:sz="4" w:space="0" w:color="000000"/>
              <w:bottom w:val="single" w:sz="4" w:space="0" w:color="999999" w:themeColor="text1" w:themeTint="66"/>
            </w:tcBorders>
            <w:shd w:val="clear" w:color="auto" w:fill="E7E6E6" w:themeFill="background2"/>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Целевые показатели</w:t>
            </w:r>
          </w:p>
        </w:tc>
        <w:tc>
          <w:tcPr>
            <w:tcW w:w="1560" w:type="dxa"/>
            <w:tcBorders>
              <w:bottom w:val="single" w:sz="4" w:space="0" w:color="999999" w:themeColor="text1" w:themeTint="66"/>
            </w:tcBorders>
            <w:shd w:val="clear" w:color="auto" w:fill="E7E6E6" w:themeFill="background2"/>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2025 г.</w:t>
            </w:r>
          </w:p>
        </w:tc>
        <w:tc>
          <w:tcPr>
            <w:tcW w:w="1331" w:type="dxa"/>
            <w:tcBorders>
              <w:bottom w:val="single" w:sz="4" w:space="0" w:color="999999" w:themeColor="text1" w:themeTint="66"/>
            </w:tcBorders>
            <w:shd w:val="clear" w:color="auto" w:fill="E7E6E6" w:themeFill="background2"/>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2030 г.</w:t>
            </w:r>
          </w:p>
        </w:tc>
        <w:tc>
          <w:tcPr>
            <w:tcW w:w="1344" w:type="dxa"/>
            <w:tcBorders>
              <w:bottom w:val="single" w:sz="4" w:space="0" w:color="999999" w:themeColor="text1" w:themeTint="66"/>
            </w:tcBorders>
            <w:shd w:val="clear" w:color="auto" w:fill="E7E6E6" w:themeFill="background2"/>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2036 г.</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shd w:val="clear" w:color="auto" w:fill="DEEAF6" w:themeFill="accent1" w:themeFillTint="33"/>
          </w:tcPr>
          <w:p w:rsidR="00E618FE" w:rsidRPr="00535A4B" w:rsidRDefault="00E618FE"/>
        </w:tc>
        <w:tc>
          <w:tcPr>
            <w:tcW w:w="9521" w:type="dxa"/>
            <w:gridSpan w:val="4"/>
            <w:tcBorders>
              <w:left w:val="none" w:sz="4" w:space="0" w:color="000000"/>
              <w:bottom w:val="single" w:sz="4" w:space="0" w:color="999999" w:themeColor="text1" w:themeTint="66"/>
            </w:tcBorders>
            <w:shd w:val="clear" w:color="auto" w:fill="DEEAF6" w:themeFill="accent1" w:themeFillTint="33"/>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РЕГИОНАЛЬНАЯ ЦЕЛЬ 1 «СОХРАНЕНИЕ НАСЕЛЕНИЯ, УКРЕПЛЕНИЕ ЗДОРОВЬЯ И ПОВЫШЕНИЕ БЛАГОПОЛУЧИЯ ЛЮДЕЙ, ПОДДЕРЖКА СЕМЬИ»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1.1. Стратегический приоритет «Семья — основа будущего»</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Суммарный коэффициент рождаемости, единиц</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1,129</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1,39</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1,564</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Суммарный коэффициент рождаемости третьих и последующих детей, единиц</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0,280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0,362</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0,374</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1.2. Стратегический приоритет «Здоровая, продолжительная и активная жизнь — общее дело»</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lang w:val="ru-RU"/>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Доля граждан, ведущих здоровый образ жизни,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7,40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10,50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lang w:val="ru-RU"/>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Удовлетворенность населения медицинской помощью по результатам оценки общественного мнения,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36,50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38,40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40,60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Заболеваемость с впервые в жизни установленным диагнозом наркомании </w:t>
            </w:r>
            <w:r w:rsidRPr="00535A4B">
              <w:br/>
              <w:t>на 100 тыс. населения, человек</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4,90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4,80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Обеспеченность населения врачами,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w:t>
            </w:r>
            <w:r w:rsidRPr="00535A4B">
              <w:br/>
              <w:t xml:space="preserve"> на 10 тыс. населения, человек</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57,50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59,80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61,60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Обеспеченность населения средними медицинскими работниками, работающими </w:t>
            </w:r>
            <w:r w:rsidRPr="00535A4B">
              <w:br/>
              <w:t xml:space="preserve">в медицинских организациях, участвующих </w:t>
            </w:r>
            <w:r w:rsidRPr="00535A4B">
              <w:br/>
              <w:t>в реализации программы государственных гарантий бесплатного оказания гражданам медицинской помощи, на 10 тыс. населения, человек</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96,30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98,60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100,40</w:t>
            </w:r>
          </w:p>
        </w:tc>
      </w:tr>
      <w:tr w:rsidR="00E618FE" w:rsidRPr="00535A4B" w:rsidTr="00E618FE">
        <w:trPr>
          <w:trHeight w:val="58"/>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1.3. Стратегический приоритет «Физкультура и спорт — равные возможности </w:t>
            </w:r>
            <w:r w:rsidRPr="00535A4B">
              <w:br/>
              <w:t>для каждого»</w:t>
            </w:r>
          </w:p>
        </w:tc>
      </w:tr>
      <w:tr w:rsidR="00E618FE" w:rsidRPr="00535A4B" w:rsidTr="00E618FE">
        <w:trPr>
          <w:trHeight w:val="58"/>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b/>
                <w:bCs/>
              </w:rPr>
            </w:pPr>
            <w:r w:rsidRPr="00535A4B">
              <w:t>Уровень удовлетворенности граждан условиями для занятий физической культурой и спортом,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65,50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85,00</w:t>
            </w:r>
          </w:p>
        </w:tc>
      </w:tr>
      <w:tr w:rsidR="00E618FE" w:rsidRPr="00535A4B" w:rsidTr="00E618FE">
        <w:trPr>
          <w:trHeight w:val="58"/>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b/>
                <w:bCs/>
              </w:rPr>
            </w:pPr>
            <w:r w:rsidRPr="00535A4B">
              <w:t>Доля граждан, систематически занимающихся физической культурой и спортом,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58,60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70,00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1.4. Стратегический приоритет «Поддержка отдельных категорий граждан, в том числе участников СВО и членов их семей»</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Theme="minorHAnsi"/>
              </w:rPr>
              <w:t>Уровень бедности среди многодетных семей,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23,20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14,20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Theme="minorHAnsi"/>
              </w:rPr>
              <w:t xml:space="preserve">Доля детей-сирот и детей, оставшихся </w:t>
            </w:r>
            <w:r w:rsidRPr="00535A4B">
              <w:rPr>
                <w:rFonts w:eastAsiaTheme="minorHAnsi"/>
              </w:rPr>
              <w:br/>
              <w:t>без попечения родителей, в общей численности детского населения,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1,45</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1,39</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Доля пожилых граждан и инвалидов, получающих долговременный уход, от общего числа нуждающихся в таком уходе граждан,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2,60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15,30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15,90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t>1.5. Стратегический приоритет «Занятость и повышение уровня жизни населения»</w:t>
            </w:r>
          </w:p>
        </w:tc>
      </w:tr>
      <w:tr w:rsidR="00E618FE" w:rsidRPr="00535A4B" w:rsidTr="00E618FE">
        <w:trPr>
          <w:trHeight w:val="22"/>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bookmarkStart w:id="219" w:name="_Hlk231398942"/>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Calibri"/>
                <w:iCs/>
              </w:rPr>
              <w:t>Уровень безработицы (по методологии МОТ),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3,30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3,1</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2,9</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Calibri"/>
                <w:iCs/>
              </w:rPr>
              <w:t>Численность занятых в экономике (в среднем за год), тыс. человек</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508,1 (оценка)</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504,6</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505,0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Calibri"/>
                <w:iCs/>
              </w:rPr>
              <w:t>Количество созданных рабочих мест (накопленным итогом с 2025 г.), тыс. ед.</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16,00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45,00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Доля выпускников инженерно-технических и IT-специальностей (из числа иногородних), трудоустроенных в Томской области через 3 года после выпуска,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30,00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45,00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55,00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Theme="minorHAnsi"/>
              </w:rPr>
              <w:t>Темп роста (индекс роста) реального среднедушевого денежного дохода населения (к базовому году),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127,1</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(базовый год 2020)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156,2</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165,80</w:t>
            </w:r>
            <w:bookmarkEnd w:id="219"/>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Calibri"/>
                <w:iCs/>
              </w:rPr>
              <w:t>Среднемесячная номинальная начисленная заработная плата, тыс. руб.</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89,50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118,00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165,00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Calibri"/>
                <w:iCs/>
              </w:rPr>
              <w:t xml:space="preserve">Реальная среднемесячная начисленная заработная плата работников </w:t>
            </w:r>
            <w:r w:rsidRPr="00535A4B">
              <w:rPr>
                <w:rFonts w:eastAsiaTheme="minorHAnsi"/>
              </w:rPr>
              <w:t xml:space="preserve">(в качестве базового принимается значение показателя </w:t>
            </w:r>
            <w:r w:rsidRPr="00535A4B">
              <w:rPr>
                <w:rFonts w:eastAsiaTheme="minorHAnsi"/>
              </w:rPr>
              <w:br/>
              <w:t>за 2020 год),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121,80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144,30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iCs/>
              </w:rPr>
              <w:t>171,30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Calibri"/>
                <w:iCs/>
              </w:rPr>
              <w:t xml:space="preserve">Численность участников программы переселения соотечественников и членов </w:t>
            </w:r>
            <w:r w:rsidRPr="00535A4B">
              <w:rPr>
                <w:rFonts w:eastAsia="Calibri"/>
                <w:iCs/>
              </w:rPr>
              <w:br/>
              <w:t xml:space="preserve">их семей, прибывших в Томскую область </w:t>
            </w:r>
            <w:r w:rsidRPr="00535A4B">
              <w:rPr>
                <w:rFonts w:eastAsia="Calibri"/>
                <w:iCs/>
              </w:rPr>
              <w:br/>
              <w:t xml:space="preserve">и поставленных на учет в УМВД России </w:t>
            </w:r>
            <w:r w:rsidRPr="00535A4B">
              <w:rPr>
                <w:rFonts w:eastAsia="Calibri"/>
                <w:iCs/>
              </w:rPr>
              <w:br/>
              <w:t>по Томской области, человек (нарастающим итогом с 2016 года)</w:t>
            </w:r>
            <w:r w:rsidRPr="00535A4B">
              <w:rPr>
                <w:b/>
                <w:bCs/>
              </w:rPr>
              <w:t xml:space="preserve"> </w:t>
            </w:r>
          </w:p>
        </w:tc>
        <w:tc>
          <w:tcPr>
            <w:tcW w:w="1560" w:type="dxa"/>
            <w:shd w:val="clear" w:color="auto" w:fill="FFFFFF" w:themeFill="background1"/>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3411</w:t>
            </w:r>
          </w:p>
        </w:tc>
        <w:tc>
          <w:tcPr>
            <w:tcW w:w="1331" w:type="dxa"/>
            <w:shd w:val="clear" w:color="auto" w:fill="FFFFFF" w:themeFill="background1"/>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3700</w:t>
            </w:r>
          </w:p>
        </w:tc>
        <w:tc>
          <w:tcPr>
            <w:tcW w:w="1344" w:type="dxa"/>
            <w:shd w:val="clear" w:color="auto" w:fill="FFFFFF" w:themeFill="background1"/>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4000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Theme="minorHAnsi"/>
              </w:rPr>
              <w:t>Уровень бедности,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8,7</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7,4</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6,1</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shd w:val="clear" w:color="auto" w:fill="DEEAF6" w:themeFill="accent1" w:themeFillTint="33"/>
          </w:tcPr>
          <w:p w:rsidR="00E618FE" w:rsidRPr="00535A4B" w:rsidRDefault="00E618FE"/>
        </w:tc>
        <w:tc>
          <w:tcPr>
            <w:tcW w:w="9521" w:type="dxa"/>
            <w:gridSpan w:val="4"/>
            <w:tcBorders>
              <w:bottom w:val="single" w:sz="4" w:space="0" w:color="999999" w:themeColor="text1" w:themeTint="66"/>
            </w:tcBorders>
            <w:shd w:val="clear" w:color="auto" w:fill="DEEAF6" w:themeFill="accent1" w:themeFillTint="33"/>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РЕГИОНАЛЬНАЯ ЦЕЛЬ 2 «ЧЕЛОВЕЧЕСКИЙ КАПИТАЛ И РАЗВИТИЕ ТАЛАНТОВ»</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t>2.1. Стратегический приоритет «Томская область — территория качественного образования и естественного интеллекта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Уровень образования,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70,48</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83,42</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86,30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Доля выпускников, выбиравших </w:t>
            </w:r>
            <w:r w:rsidRPr="00535A4B">
              <w:br/>
              <w:t>для прохождения ГИА предмет «Математика профильного уровня»,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58,00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Охват детей и подростков дополнительным образованием,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81,00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85,00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Условия для воспитания гармонично развитой, патриотичной и социально ответственной личности,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90,00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Доля студентов профессиональных образовательных организаций, вовлеченных </w:t>
            </w:r>
            <w:r w:rsidRPr="00535A4B">
              <w:br/>
              <w:t>в мероприятия Всероссийского чемпионатного движения по профессиональному мастерству «Профессионалы»,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10,25</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35,00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Доля образовательных организаций региона, обеспеченных системами управления </w:t>
            </w:r>
            <w:r w:rsidRPr="00535A4B">
              <w:br/>
              <w:t>и контроля доступа,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t>2.2. Стратегический приоритет «Активная молодежь»</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Доля молодых людей, вовлеченных </w:t>
            </w:r>
            <w:r w:rsidRPr="00535A4B">
              <w:br/>
              <w:t>в добровольческую и общественную деятельность,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en-US"/>
              </w:rPr>
              <w:t>27,70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rPr>
                <w:lang w:eastAsia="en-US"/>
              </w:rPr>
              <w:t xml:space="preserve">Доля молодых людей, вовлеченных </w:t>
            </w:r>
            <w:r w:rsidRPr="00535A4B">
              <w:rPr>
                <w:lang w:eastAsia="en-US"/>
              </w:rPr>
              <w:br/>
              <w:t xml:space="preserve">в мероприятия, направленные </w:t>
            </w:r>
            <w:r w:rsidRPr="00535A4B">
              <w:rPr>
                <w:lang w:eastAsia="en-US"/>
              </w:rPr>
              <w:br/>
              <w:t>на профессиональное развитие,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en-US"/>
              </w:rPr>
            </w:pPr>
            <w:r w:rsidRPr="00535A4B">
              <w:rPr>
                <w:lang w:eastAsia="en-US"/>
              </w:rPr>
              <w:t>18,10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75,00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78,00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Охват молодежи мероприятиями, проводимыми на базе инфраструктуры молодежной политики,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7,00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Доля молодых людей, участвующих в проектах и программах, направленных </w:t>
            </w:r>
            <w:r w:rsidRPr="00535A4B">
              <w:br/>
              <w:t>на патриотическое воспитание,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42,10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75,00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rPr>
                <w:lang w:eastAsia="en-US"/>
              </w:rPr>
              <w:t xml:space="preserve">Доля молодых семей, в том числе молодых семей имеющих детей, участвующих </w:t>
            </w:r>
            <w:r w:rsidRPr="00535A4B">
              <w:rPr>
                <w:lang w:eastAsia="en-US"/>
              </w:rPr>
              <w:br/>
              <w:t xml:space="preserve">в мероприятиях по продвижению традиционных духовно-нравственных ценностей, в том числе в проекты </w:t>
            </w:r>
            <w:r w:rsidRPr="00535A4B">
              <w:rPr>
                <w:lang w:eastAsia="en-US"/>
              </w:rPr>
              <w:br/>
              <w:t xml:space="preserve">и программы, направленные </w:t>
            </w:r>
            <w:r w:rsidRPr="00535A4B">
              <w:rPr>
                <w:lang w:eastAsia="en-US"/>
              </w:rPr>
              <w:br/>
              <w:t xml:space="preserve">на патриотическое воспитание, </w:t>
            </w:r>
            <w:r w:rsidRPr="00535A4B">
              <w:rPr>
                <w:lang w:eastAsia="en-US"/>
              </w:rPr>
              <w:br/>
              <w:t>в добровольческую и общественную деятельность,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3,30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20,00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t>2.3. Стратегический приоритет «Добровольчество»</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b/>
                <w:bCs/>
              </w:rPr>
            </w:pPr>
            <w:r w:rsidRPr="00535A4B">
              <w:t>Доля людей, вовлеченных в добровольческую деятельность,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35,20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45,00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48,00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t>2.4. Стратегический приоритет «Культура объединяет поколения»</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Число посещений культурных мероприятий, млн единиц</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19,20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21,60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21,60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Уровень удовлетворенности граждан работой государственных и муниципальных </w:t>
            </w:r>
            <w:r w:rsidRPr="00535A4B">
              <w:lastRenderedPageBreak/>
              <w:t>организаций культуры, искусства и народного творчества,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rPr>
              <w:lastRenderedPageBreak/>
              <w:t>76,80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rPr>
              <w:t>88,60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Calibri"/>
              </w:rPr>
              <w:t>88,60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t xml:space="preserve">2.5. Стратегический приоритет «Укрепление единства российской нации, сохранение </w:t>
            </w:r>
            <w:r w:rsidRPr="00535A4B">
              <w:br/>
              <w:t>и развитие этнокультурного и языкового наследия на территории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Доля граждан, положительно оценивающих состояние межнациональных отношений </w:t>
            </w:r>
            <w:r w:rsidRPr="00535A4B">
              <w:br/>
              <w:t>в Томской области,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93,20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94,00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Calibri" w:hAnsi="Times New Roman"/>
                <w:iCs/>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Доля граждан из числа коренных малочисленных народов Севера, Сибири </w:t>
            </w:r>
            <w:r w:rsidRPr="00535A4B">
              <w:br/>
              <w:t>и Дальнего Востока Российской Федерации, удовлетворенных качеством реализуемых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на территории Томской области,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42,70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shd w:val="clear" w:color="auto" w:fill="DEEAF6" w:themeFill="accent1" w:themeFillTint="33"/>
          </w:tcPr>
          <w:p w:rsidR="00E618FE" w:rsidRPr="00535A4B" w:rsidRDefault="00E618FE"/>
        </w:tc>
        <w:tc>
          <w:tcPr>
            <w:tcW w:w="9521" w:type="dxa"/>
            <w:gridSpan w:val="4"/>
            <w:tcBorders>
              <w:left w:val="none" w:sz="4" w:space="0" w:color="000000"/>
              <w:bottom w:val="single" w:sz="4" w:space="0" w:color="999999" w:themeColor="text1" w:themeTint="66"/>
            </w:tcBorders>
            <w:shd w:val="clear" w:color="auto" w:fill="DEEAF6" w:themeFill="accent1" w:themeFillTint="33"/>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
                <w:bCs/>
              </w:rPr>
            </w:pPr>
            <w:r w:rsidRPr="00535A4B">
              <w:rPr>
                <w:b/>
                <w:bCs/>
              </w:rPr>
              <w:t xml:space="preserve">РЕГИОНАЛЬНАЯ ЦЕЛЬ 3 «УСТОЙЧИВОЕ ЭКОНОМИЧЕСКОЕ </w:t>
            </w:r>
            <w:r w:rsidRPr="00535A4B">
              <w:rPr>
                <w:b/>
                <w:bCs/>
              </w:rPr>
              <w:br/>
              <w:t>И ТЕХНОЛОГИЧЕСКОЕ РАЗВИТИЕ»</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bookmarkStart w:id="220" w:name="_Hlk229123814"/>
          </w:p>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3.1. Стратегический приоритет «Экосистема технологического лидерства и кадры будущего»</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bookmarkStart w:id="221" w:name="_Hlk231398847"/>
            <w:bookmarkEnd w:id="220"/>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Внутренние затраты на исследования </w:t>
            </w:r>
            <w:r w:rsidRPr="00535A4B">
              <w:br/>
              <w:t>и разработки, млрд руб.</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24,70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28,90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33,10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Объем инновационных товаров, работ, услуг организаций Томской области, млрд рублей</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35,70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38,00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42,00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Доля продукции высокотехнологичных </w:t>
            </w:r>
            <w:r w:rsidRPr="00535A4B">
              <w:br/>
              <w:t>и наукоемких отраслей экономики в ВРП,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21,50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31,80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34,00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Экспорт услуг Томской области, связанных </w:t>
            </w:r>
            <w:r w:rsidRPr="00535A4B">
              <w:br/>
              <w:t>с получением образования, млн долл. США</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58,07</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68,97</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82,05</w:t>
            </w:r>
            <w:bookmarkEnd w:id="221"/>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Темп роста ВРП, в сопоставимых ценах </w:t>
            </w:r>
            <w:r w:rsidRPr="00535A4B">
              <w:br/>
              <w:t>к 2020 году,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109,90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strike/>
              </w:rPr>
            </w:pPr>
            <w:r w:rsidRPr="00535A4B">
              <w:rPr>
                <w:rFonts w:eastAsiaTheme="minorHAnsi"/>
              </w:rPr>
              <w:t>125,6</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strike/>
              </w:rPr>
            </w:pPr>
            <w:r w:rsidRPr="00535A4B">
              <w:rPr>
                <w:rFonts w:eastAsiaTheme="minorHAnsi"/>
              </w:rPr>
              <w:t>148,3</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Доля внутренних затрат на исследования </w:t>
            </w:r>
            <w:r w:rsidRPr="00535A4B">
              <w:br/>
              <w:t>и разработки в ВРП,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2,10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3,10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3,40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3.2. Стратегический приоритет «Модернизация промышленности и точки роста реального сектора»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Темп роста объема производства по виду экономической деятельности «Обрабатывающие производства» (в сопоставимых ценах, </w:t>
            </w:r>
            <w:r w:rsidRPr="00535A4B">
              <w:br/>
              <w:t>по отношению к 2020 году),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125,20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142,50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177,10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Индекс промышленного производства </w:t>
            </w:r>
            <w:r w:rsidRPr="00535A4B">
              <w:br/>
              <w:t>(к базовому году),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(базовый год 2025)</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110,60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126,40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3.3. Стратегический приоритет «</w:t>
            </w:r>
            <w:r w:rsidRPr="00535A4B">
              <w:rPr>
                <w:bCs/>
              </w:rPr>
              <w:t>Развитие предпринимательства: от стартапа до лидера рынка</w:t>
            </w:r>
            <w:r w:rsidRPr="00535A4B">
              <w:t>»</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bookmarkStart w:id="222" w:name="_Hlk231398790"/>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Число субъектов МСП (включая ИП), тыс. ед.</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42,70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45,90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48,50</w:t>
            </w:r>
            <w:bookmarkEnd w:id="222"/>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Отношение среднемесячной заработной платы в малых и средних предприятиях </w:t>
            </w:r>
            <w:r w:rsidRPr="00535A4B">
              <w:br/>
              <w:t>к среднемесячной заработной плате в крупных и средних предприятиях,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64,5</w:t>
            </w:r>
            <w:r w:rsidRPr="00535A4B">
              <w:rPr>
                <w:lang w:val="en-US"/>
              </w:rPr>
              <w:t>0</w:t>
            </w:r>
            <w:r w:rsidRPr="00535A4B">
              <w:t xml:space="preserve"> </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68,00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Темп роста дохода в расчете на одного работника субъекта малого и среднего предпринимательства</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128,10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3.4. Стратегический приоритет «</w:t>
            </w:r>
            <w:r w:rsidRPr="00535A4B">
              <w:rPr>
                <w:bCs/>
              </w:rPr>
              <w:t>Гостеприимство и креативная экономика</w:t>
            </w:r>
            <w:r w:rsidRPr="00535A4B">
              <w:t>»</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Доля креативных индустрий в ВРП,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2,70</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3,80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Количество туристических поездок </w:t>
            </w:r>
            <w:r w:rsidRPr="00535A4B">
              <w:br/>
              <w:t>по территории Российской Федерации, млн ед.</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0,29</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0,40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0,50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pPr>
              <w:rPr>
                <w:rFonts w:eastAsia="Calibri"/>
              </w:rPr>
            </w:pPr>
          </w:p>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rPr>
                <w:rFonts w:eastAsia="Calibri"/>
              </w:rPr>
              <w:t>3.5. </w:t>
            </w:r>
            <w:r w:rsidRPr="00535A4B">
              <w:t>Стратегический приоритет «Инвестиционная привлекательность и внешняя открытость региона»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Темп роста (индекс роста) физического объема инвестиций в основной капитал, </w:t>
            </w:r>
            <w:r w:rsidRPr="00535A4B">
              <w:br/>
              <w:t>за исключением инвестиций инфраструктурных монополий (федеральные проекты) и бюджетных ассигнований федерального бюджета, % к базовому году</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132,29</w:t>
            </w:r>
          </w:p>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(базовый год 2020)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165,00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lang w:val="en-US"/>
              </w:rPr>
            </w:pPr>
            <w:r w:rsidRPr="00535A4B">
              <w:t>180,</w:t>
            </w:r>
            <w:r w:rsidRPr="00535A4B">
              <w:rPr>
                <w:lang w:val="en-US"/>
              </w:rPr>
              <w:t>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94"/>
              <w:jc w:val="both"/>
              <w:cnfStyle w:val="000000000000" w:firstRow="0" w:lastRow="0" w:firstColumn="0" w:lastColumn="0" w:oddVBand="0" w:evenVBand="0" w:oddHBand="0" w:evenHBand="0" w:firstRowFirstColumn="0" w:firstRowLastColumn="0" w:lastRowFirstColumn="0" w:lastRowLastColumn="0"/>
              <w:rPr>
                <w:bCs/>
              </w:rPr>
            </w:pPr>
            <w:r w:rsidRPr="00535A4B">
              <w:t>Объем несырьевого неэнергетического экспорта, млрд долл. США</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0,60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0,64</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shd w:val="clear" w:color="auto" w:fill="DEEAF6" w:themeFill="accent1" w:themeFillTint="33"/>
          </w:tcPr>
          <w:p w:rsidR="00E618FE" w:rsidRPr="00535A4B" w:rsidRDefault="00E618FE"/>
        </w:tc>
        <w:tc>
          <w:tcPr>
            <w:tcW w:w="9521" w:type="dxa"/>
            <w:gridSpan w:val="4"/>
            <w:tcBorders>
              <w:left w:val="none" w:sz="4" w:space="0" w:color="000000"/>
              <w:bottom w:val="single" w:sz="4" w:space="0" w:color="999999" w:themeColor="text1" w:themeTint="66"/>
            </w:tcBorders>
            <w:shd w:val="clear" w:color="auto" w:fill="DEEAF6" w:themeFill="accent1" w:themeFillTint="33"/>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
                <w:bCs/>
              </w:rPr>
            </w:pPr>
            <w:r w:rsidRPr="00535A4B">
              <w:rPr>
                <w:b/>
                <w:bCs/>
              </w:rPr>
              <w:t>РЕГИОНАЛЬНАЯ ЦЕЛЬ 4 «СБАЛАНСИРОВАННОЕ ПРОСТРАНСТВЕННОЕ РАЗВИТИЕ, УЛУЧШЕНИЕ КАЧЕСТВА ИНФРАСТРУКТУРЫ ДЛЯ ЖИЗНИ»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4.1. Стратегический приоритет «Устойчивое экономическое развитие муниципальных образований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Доля населения, занятого в организациях негосударственных форм собственности,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59,30 </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60,00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60,50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Calibri" w:hAnsi="Times New Roman"/>
                <w:iCs/>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 xml:space="preserve">Уровень предпринимательской активности (число субъектов малого бизнеса в расчете </w:t>
            </w:r>
            <w:r w:rsidRPr="00535A4B">
              <w:rPr>
                <w:rFonts w:eastAsiaTheme="minorHAnsi"/>
              </w:rPr>
              <w:br/>
              <w:t>на 1000 жителей)</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39,70 </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45,00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47,90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4.2. Стратегический приоритет «Сбалансированное развитие системы расселения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Соотношение среднемесячных доходов сельского и городского домохозяйств,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91,00 </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91,50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Доля населения сельских территорий </w:t>
            </w:r>
            <w:r w:rsidRPr="00535A4B">
              <w:br/>
              <w:t>и сельских агломераций в общей численности населения,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32,00 </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32,50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33,00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Отношение численности постоянно проживающего населения на территориях опорных населенных пунктов области, </w:t>
            </w:r>
            <w:r w:rsidRPr="00535A4B">
              <w:br/>
              <w:t xml:space="preserve">за исключением входящих в городские </w:t>
            </w:r>
            <w:r w:rsidRPr="00535A4B">
              <w:lastRenderedPageBreak/>
              <w:t>агломерации, к общей численности постоянного населения области, %</w:t>
            </w:r>
          </w:p>
        </w:tc>
        <w:tc>
          <w:tcPr>
            <w:tcW w:w="1560"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lastRenderedPageBreak/>
              <w:t>15,80</w:t>
            </w:r>
          </w:p>
        </w:tc>
        <w:tc>
          <w:tcPr>
            <w:tcW w:w="1331"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15,60</w:t>
            </w:r>
          </w:p>
        </w:tc>
        <w:tc>
          <w:tcPr>
            <w:tcW w:w="1344" w:type="dxa"/>
            <w:tcBorders>
              <w:bottom w:val="single" w:sz="4" w:space="0" w:color="999999" w:themeColor="text1" w:themeTint="66"/>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15,40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4.3. Стратегический приоритет «Повышение эффективности транспортной </w:t>
            </w:r>
            <w:r w:rsidRPr="00535A4B">
              <w:br/>
              <w:t>и информационно-коммуникационной инфраструктуры»</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Протяженность автомобильных дорог общего пользования с твердым покрытием, км</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8200,00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8212,00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8232,00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bCs/>
              </w:rPr>
              <w:t>Доля дорожной сети городских агломераций, находящаяся в нормативном состоянии,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77,02</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81,87</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 xml:space="preserve">Доля населения, обеспеченного доступом </w:t>
            </w:r>
            <w:r w:rsidRPr="00535A4B">
              <w:rPr>
                <w:rFonts w:eastAsiaTheme="minorHAnsi"/>
              </w:rPr>
              <w:br/>
              <w:t>к современным услугам связи,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97,85</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98,00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99,00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4.4. Стратегический приоритет «Модернизация и развитие жилищной и коммунальной инфраструктуры, повышение энергоэффективности»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 xml:space="preserve">Общая площадь жилых помещений, приходящаяся в среднем на одного жителя, </w:t>
            </w:r>
            <w:r w:rsidRPr="00535A4B">
              <w:rPr>
                <w:rFonts w:eastAsiaTheme="minorHAnsi"/>
              </w:rPr>
              <w:br/>
              <w:t>кв. м</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28,19</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31,40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36,00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Объем ввода в эксплуатацию жилой и нежилой недвижимости, млн кв. м</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0,541</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0,964</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Количество сетей теплоснабжения, капитально отремонтированных/ реконструированных </w:t>
            </w:r>
            <w:r w:rsidRPr="00535A4B">
              <w:br/>
              <w:t>в год от общей протяженности сетей,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0,45</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5,00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7,00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Количество сетей водоснабжения, капитально отремонтированных/ реконструированных </w:t>
            </w:r>
            <w:r w:rsidRPr="00535A4B">
              <w:br/>
              <w:t xml:space="preserve">в год от общей протяженности сетей, %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0,31</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2,50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Количество сетей водоотведения, капитально отремонтированных/ реконструированных </w:t>
            </w:r>
            <w:r w:rsidRPr="00535A4B">
              <w:br/>
              <w:t>в год от общей протяженности сетей,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0,00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2,50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bCs/>
              </w:rPr>
              <w:t>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Доля площади жилищного фонда, обеспеченного всеми видами благоустройства,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66,30 </w:t>
            </w:r>
            <w:r w:rsidRPr="00535A4B">
              <w:br/>
              <w:t>(2024)</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74,00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83,00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Уровень газификации населения Томской области,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67,70 </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76,00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Потребление природного газа в качестве моторного топлива, млн куб. м</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12,20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13,50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tcPr>
          <w:p w:rsidR="00E618FE" w:rsidRPr="00535A4B" w:rsidRDefault="00E618FE"/>
        </w:tc>
        <w:tc>
          <w:tcPr>
            <w:tcW w:w="9521" w:type="dxa"/>
            <w:gridSpan w:val="4"/>
            <w:tcBorders>
              <w:left w:val="none" w:sz="4" w:space="0" w:color="000000"/>
              <w:bottom w:val="single" w:sz="4" w:space="0" w:color="999999" w:themeColor="text1" w:themeTint="66"/>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4.5. Стратегический приоритет «Развитие комфортной среды жизнедеятельности </w:t>
            </w:r>
            <w:r w:rsidRPr="00535A4B">
              <w:br/>
              <w:t>в населенных пунктах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lang w:val="ru-RU"/>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Качество среды для жизни в опорных населенных пунктах, %</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22,29</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30,23</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t>60,00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tcPr>
          <w:p w:rsidR="00E618FE" w:rsidRPr="00535A4B" w:rsidRDefault="00E618FE"/>
        </w:tc>
        <w:tc>
          <w:tcPr>
            <w:tcW w:w="9521" w:type="dxa"/>
            <w:gridSpan w:val="4"/>
            <w:tcBorders>
              <w:left w:val="none" w:sz="4" w:space="0" w:color="000000"/>
              <w:bottom w:val="single" w:sz="4" w:space="0" w:color="999999" w:themeColor="text1" w:themeTint="66"/>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4.6. Стратегический приоритет «Обеспечение безопасности жизнедеятельности»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lang w:val="ru-RU"/>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Количество зарегистрированных преступлений, ед. на 100 тыс. населения</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1561,00</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1510,00</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1450,00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 xml:space="preserve">Количество населения, погибшего </w:t>
            </w:r>
            <w:r w:rsidRPr="00535A4B">
              <w:rPr>
                <w:rFonts w:eastAsiaTheme="minorHAnsi"/>
              </w:rPr>
              <w:br/>
              <w:t>и пострадавшего при чрезвычайных ситуациях, погибших на пожарах, человек</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37,00</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32,00</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25,00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 xml:space="preserve">Оперативный расчет количества погибших </w:t>
            </w:r>
            <w:r w:rsidRPr="00535A4B">
              <w:rPr>
                <w:rFonts w:eastAsiaTheme="minorHAnsi"/>
              </w:rPr>
              <w:br/>
              <w:t>в ДТП на 10 тыс. транспортных средств, человек</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1,2184</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0,75</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iCs/>
              </w:rPr>
              <w:t>Количество зарегистрированных киберпреступлений, ед.</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7320,00</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4300,00</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1840,00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iCs/>
              </w:rPr>
            </w:pPr>
            <w:r w:rsidRPr="00535A4B">
              <w:rPr>
                <w:iCs/>
              </w:rPr>
              <w:t xml:space="preserve">Доля преступлений, совершенных лицами, </w:t>
            </w:r>
            <w:r w:rsidRPr="00535A4B">
              <w:t>ранее судимыми, в общем ко</w:t>
            </w:r>
            <w:r w:rsidRPr="00535A4B">
              <w:rPr>
                <w:rFonts w:eastAsiaTheme="minorHAnsi"/>
              </w:rPr>
              <w:t>личестве зарегистрированных преступлений, %</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17,50</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15,00</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35A4B">
              <w:rPr>
                <w:rFonts w:eastAsiaTheme="minorHAnsi"/>
              </w:rPr>
              <w:t>12,00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shd w:val="clear" w:color="auto" w:fill="DEEAF6" w:themeFill="accent1" w:themeFillTint="33"/>
          </w:tcPr>
          <w:p w:rsidR="00E618FE" w:rsidRPr="00535A4B" w:rsidRDefault="00E618FE">
            <w:bookmarkStart w:id="223" w:name="_Hlk231399277"/>
          </w:p>
        </w:tc>
        <w:tc>
          <w:tcPr>
            <w:tcW w:w="9521" w:type="dxa"/>
            <w:gridSpan w:val="4"/>
            <w:tcBorders>
              <w:left w:val="none" w:sz="4" w:space="0" w:color="000000"/>
              <w:bottom w:val="single" w:sz="4" w:space="0" w:color="999999" w:themeColor="text1" w:themeTint="66"/>
            </w:tcBorders>
            <w:shd w:val="clear" w:color="auto" w:fill="DEEAF6" w:themeFill="accent1" w:themeFillTint="33"/>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
                <w:bCs/>
              </w:rPr>
            </w:pPr>
            <w:r w:rsidRPr="00535A4B">
              <w:rPr>
                <w:b/>
                <w:bCs/>
              </w:rPr>
              <w:t>РЕГИОНАЛЬНАЯ ЦЕЛЬ 5 «РАЦИОНАЛЬНОЕ ИСПОЛЬЗОВАНИЕ ПРИРОДНОГО КАПИТАЛА, ЭКОЛОГИЧЕСКОЕ БЛАГОПОЛУЧИЕ И АДАПТАЦИЯ К ИЗМЕНЕНИЯМ КЛИМАТА»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5.1. Стратегический приоритет «</w:t>
            </w:r>
            <w:r w:rsidRPr="00535A4B">
              <w:rPr>
                <w:bCs/>
              </w:rPr>
              <w:t>Экономика замкнутого цикла</w:t>
            </w:r>
            <w:r w:rsidRPr="00535A4B">
              <w:t>»</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b/>
                <w:bCs/>
              </w:rPr>
            </w:pPr>
            <w:r w:rsidRPr="00535A4B">
              <w:rPr>
                <w:rFonts w:eastAsia="PT Astra Serif"/>
              </w:rPr>
              <w:t>Доля обрабатываемых твердых коммунальных отходов в общей массе образованных твердых коммунальных отходов,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19,00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100,00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100,00</w:t>
            </w:r>
            <w:bookmarkEnd w:id="223"/>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PT Astra Serif"/>
              </w:rPr>
            </w:pPr>
            <w:r w:rsidRPr="00535A4B">
              <w:t xml:space="preserve">Доля захораниваемых твердых коммунальных отходов в общей массе образованных твердых коммунальных отходов, % </w:t>
            </w:r>
            <w:r w:rsidRPr="00535A4B">
              <w:rPr>
                <w:rStyle w:val="af3"/>
                <w:rFonts w:eastAsia="Liberation Sans"/>
              </w:rPr>
              <w:footnoteReference w:id="22"/>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92,40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51,40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rFonts w:eastAsia="PT Astra Serif"/>
              </w:rPr>
            </w:pPr>
            <w:r w:rsidRPr="00535A4B">
              <w:rPr>
                <w:rFonts w:eastAsia="PT Astra Serif"/>
              </w:rPr>
              <w:t>48,40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PT Astra Serif"/>
              </w:rPr>
              <w:t xml:space="preserve">Доля отходов производства и потребления, вовлеченных в хозяйственный оборот </w:t>
            </w:r>
            <w:r w:rsidRPr="00535A4B">
              <w:rPr>
                <w:rFonts w:eastAsia="PT Astra Serif"/>
              </w:rPr>
              <w:br/>
              <w:t>в качестве вторичных ресурсов и сырья,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39,00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42,00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rFonts w:eastAsia="PT Astra Serif"/>
              </w:rPr>
              <w:t>45,00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bookmarkStart w:id="224" w:name="_Hlk229123851"/>
            <w:r w:rsidRPr="00535A4B">
              <w:t xml:space="preserve">5.2. Стратегический приоритет </w:t>
            </w:r>
            <w:r w:rsidRPr="00535A4B">
              <w:rPr>
                <w:rFonts w:eastAsia="Calibri"/>
              </w:rPr>
              <w:t>«Устойчивое развитие агропромышленного комплекса»</w:t>
            </w:r>
            <w:bookmarkEnd w:id="224"/>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Индекс производства продукции сельского хозяйства в хозяйствах всех категорий </w:t>
            </w:r>
            <w:r w:rsidRPr="00535A4B">
              <w:br/>
              <w:t>(в сопоставимых ценах к 2021 году),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94,40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106,3</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112,9</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rPr>
            </w:pPr>
            <w:r w:rsidRPr="00535A4B">
              <w:t xml:space="preserve">Индекс производства пищевых продуктов </w:t>
            </w:r>
          </w:p>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(в сопоставимых ценах к 2021 году),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106,30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116,10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138,10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Отношение объема экспорта продукции агропромышленного комплекса к показателю 2025 года, %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100,00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112,80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144,00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5.3. Стратегический приоритет «Экологическое благополучие и адаптация к изменениям климата»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rPr>
                <w:rFonts w:eastAsia="PT Astra Serif"/>
              </w:rPr>
              <w:t>Качество окружающей среды, %</w:t>
            </w:r>
          </w:p>
        </w:tc>
        <w:tc>
          <w:tcPr>
            <w:tcW w:w="1560"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118,90</w:t>
            </w:r>
          </w:p>
        </w:tc>
        <w:tc>
          <w:tcPr>
            <w:tcW w:w="1331"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c>
          <w:tcPr>
            <w:tcW w:w="1344"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t>5.4. Стратегический приоритет «</w:t>
            </w:r>
            <w:r w:rsidRPr="00535A4B">
              <w:rPr>
                <w:rFonts w:eastAsia="PT Astra Serif"/>
              </w:rPr>
              <w:t>Растущий и эффективно используемый природно-ресурсный потенциал</w:t>
            </w:r>
            <w:r w:rsidRPr="00535A4B">
              <w:t>»</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Отношение площади лесовосстановления </w:t>
            </w:r>
            <w:r w:rsidRPr="00535A4B">
              <w:br/>
              <w:t xml:space="preserve">и лесоразведения к площади вырубленных </w:t>
            </w:r>
            <w:r w:rsidRPr="00535A4B">
              <w:br/>
              <w:t>и погибших лесных насаждений в 2024 году,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100,20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112,00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116,00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Отношение объема переработки рыбо- </w:t>
            </w:r>
            <w:r w:rsidRPr="00535A4B">
              <w:br/>
              <w:t>и морепродуктов к показателю 2025 года,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114,30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128,60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right w:val="none" w:sz="4" w:space="0" w:color="000000"/>
            </w:tcBorders>
            <w:shd w:val="clear" w:color="auto" w:fill="DEEAF6" w:themeFill="accent1" w:themeFillTint="33"/>
          </w:tcPr>
          <w:p w:rsidR="00E618FE" w:rsidRPr="00535A4B" w:rsidRDefault="00E618FE"/>
        </w:tc>
        <w:tc>
          <w:tcPr>
            <w:tcW w:w="9521" w:type="dxa"/>
            <w:gridSpan w:val="4"/>
            <w:tcBorders>
              <w:left w:val="none" w:sz="4" w:space="0" w:color="000000"/>
              <w:bottom w:val="single" w:sz="4" w:space="0" w:color="999999" w:themeColor="text1" w:themeTint="66"/>
            </w:tcBorders>
            <w:shd w:val="clear" w:color="auto" w:fill="DEEAF6" w:themeFill="accent1" w:themeFillTint="33"/>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b/>
                <w:bCs/>
              </w:rPr>
            </w:pPr>
            <w:r w:rsidRPr="00535A4B">
              <w:rPr>
                <w:b/>
                <w:bCs/>
              </w:rPr>
              <w:t xml:space="preserve">РЕГИОНАЛЬНАЯ ЦЕЛЬ 6 «СОВЕРШЕНСТВОВАНИЕ ГОСУДАРСТВЕННОГО </w:t>
            </w:r>
            <w:r w:rsidRPr="00535A4B">
              <w:rPr>
                <w:b/>
                <w:bCs/>
              </w:rPr>
              <w:br/>
              <w:t>И МУНИЦИПАЛЬНОГО УПРАВЛЕНИЯ. ЦИФРОВАЯ ТРАНСФОРМАЦИЯ»</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6.1. Стратегический приоритет «Эффективное государственное и муниципальное управление»</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Доля государственных гражданских служащих Томской области, принявших участие </w:t>
            </w:r>
            <w:r w:rsidRPr="00535A4B">
              <w:br/>
              <w:t xml:space="preserve">в мероприятиях по профессиональному развитию, %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71,00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71,00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73,00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Доля муниципальных служащих Томской области, принявших участие в мероприятиях по профессиональному развитию, %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52,00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50,00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52,00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rPr>
            </w:pPr>
          </w:p>
        </w:tc>
        <w:tc>
          <w:tcPr>
            <w:tcW w:w="5286" w:type="dxa"/>
            <w:tcBorders>
              <w:bottom w:val="single" w:sz="4" w:space="0" w:color="999999" w:themeColor="text1" w:themeTint="66"/>
            </w:tcBorders>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Доля населения, положительно оценивающая отношения между представителями различных национальностей в месте своего проживания, % </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eastAsia="ar-SA"/>
              </w:rPr>
              <w:t>—</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rPr>
                <w:lang w:val="en-US" w:eastAsia="ar-SA"/>
              </w:rPr>
              <w:t>85</w:t>
            </w:r>
            <w:r w:rsidRPr="00535A4B">
              <w:rPr>
                <w:lang w:eastAsia="ar-SA"/>
              </w:rPr>
              <w:t>,00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6.2. Стратегический приоритет «Эффективное управление региональными финансами </w:t>
            </w:r>
            <w:r w:rsidRPr="00535A4B">
              <w:br/>
              <w:t>и совершенствование межбюджетных отношений»</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pPr>
            <w:r w:rsidRPr="00535A4B">
              <w:t xml:space="preserve">Доля бюджетных ассигнований областного бюджета, увязанных с показателями, характеризующими условия и результат </w:t>
            </w:r>
            <w:r w:rsidRPr="00535A4B">
              <w:br/>
              <w:t>их использования, в общем объеме расходов областного бюджета,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97,70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98,00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98,00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single" w:sz="4" w:space="0" w:color="999999" w:themeColor="text1" w:themeTint="66"/>
            </w:tcBorders>
          </w:tcPr>
          <w:p w:rsidR="00E618FE" w:rsidRPr="00535A4B" w:rsidRDefault="00E618FE">
            <w:pPr>
              <w:pStyle w:val="a8"/>
              <w:numPr>
                <w:ilvl w:val="0"/>
                <w:numId w:val="46"/>
              </w:numPr>
              <w:rPr>
                <w:rFonts w:ascii="Times New Roman" w:eastAsiaTheme="minorHAnsi" w:hAnsi="Times New Roman"/>
              </w:rPr>
            </w:pPr>
          </w:p>
        </w:tc>
        <w:tc>
          <w:tcPr>
            <w:tcW w:w="5286" w:type="dxa"/>
            <w:tcBorders>
              <w:bottom w:val="single" w:sz="4" w:space="0" w:color="999999" w:themeColor="text1" w:themeTint="66"/>
            </w:tcBorders>
          </w:tcPr>
          <w:p w:rsidR="00E618FE" w:rsidRPr="00535A4B" w:rsidRDefault="00800098" w:rsidP="00F71119">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Снижение дебиторской задолженности перед бюджетом Томской области к уровню </w:t>
            </w:r>
            <w:r w:rsidRPr="00535A4B">
              <w:br/>
              <w:t>2025 года в %</w:t>
            </w:r>
          </w:p>
        </w:tc>
        <w:tc>
          <w:tcPr>
            <w:tcW w:w="1560"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c>
          <w:tcPr>
            <w:tcW w:w="1331"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95,00</w:t>
            </w:r>
          </w:p>
        </w:tc>
        <w:tc>
          <w:tcPr>
            <w:tcW w:w="1344" w:type="dxa"/>
            <w:tcBorders>
              <w:bottom w:val="single" w:sz="4" w:space="0" w:color="999999" w:themeColor="text1" w:themeTint="66"/>
            </w:tcBorders>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90,00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Borders>
              <w:right w:val="none" w:sz="4" w:space="0" w:color="000000"/>
            </w:tcBorders>
          </w:tcPr>
          <w:p w:rsidR="00E618FE" w:rsidRPr="00535A4B" w:rsidRDefault="00E618FE"/>
        </w:tc>
        <w:tc>
          <w:tcPr>
            <w:tcW w:w="9521" w:type="dxa"/>
            <w:gridSpan w:val="4"/>
            <w:tcBorders>
              <w:left w:val="non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6.3. Стратегический приоритет «Цифровая зрелость» </w:t>
            </w:r>
            <w:r w:rsidRPr="00535A4B">
              <w:rPr>
                <w:rFonts w:eastAsia="PT Astra Serif"/>
                <w:bCs/>
              </w:rPr>
              <w:t>государственного и муниципального управления, ключевых отраслей экономики и социальной сферы, в том числе здравоохранения и образования»</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lang w:val="ru-RU"/>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 xml:space="preserve">«Цифровая зрелость» государственного </w:t>
            </w:r>
            <w:r w:rsidRPr="00535A4B">
              <w:br/>
              <w:t xml:space="preserve">и муниципального управления, ключевых отраслей экономики и социальной сферы, </w:t>
            </w:r>
            <w:r w:rsidRPr="00535A4B">
              <w:br/>
              <w:t>в том числе здравоохранения и образования,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55,65</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572" w:type="dxa"/>
          </w:tcPr>
          <w:p w:rsidR="00E618FE" w:rsidRPr="00535A4B" w:rsidRDefault="00E618FE">
            <w:pPr>
              <w:pStyle w:val="a8"/>
              <w:numPr>
                <w:ilvl w:val="0"/>
                <w:numId w:val="46"/>
              </w:numPr>
              <w:rPr>
                <w:rFonts w:ascii="Times New Roman" w:eastAsiaTheme="minorHAnsi" w:hAnsi="Times New Roman"/>
              </w:rPr>
            </w:pPr>
          </w:p>
        </w:tc>
        <w:tc>
          <w:tcPr>
            <w:tcW w:w="5286" w:type="dxa"/>
          </w:tcPr>
          <w:p w:rsidR="00E618FE" w:rsidRPr="00535A4B" w:rsidRDefault="00800098">
            <w:pPr>
              <w:ind w:left="284"/>
              <w:jc w:val="both"/>
              <w:cnfStyle w:val="000000000000" w:firstRow="0" w:lastRow="0" w:firstColumn="0" w:lastColumn="0" w:oddVBand="0" w:evenVBand="0" w:oddHBand="0" w:evenHBand="0" w:firstRowFirstColumn="0" w:firstRowLastColumn="0" w:lastRowFirstColumn="0" w:lastRowLastColumn="0"/>
              <w:rPr>
                <w:rFonts w:eastAsiaTheme="minorHAnsi"/>
                <w:b/>
                <w:bCs/>
              </w:rPr>
            </w:pPr>
            <w:r w:rsidRPr="00535A4B">
              <w:t>Доля массовых социально значимых государственных и муниципальных услуг, предоставляемых в электронной форме, %</w:t>
            </w:r>
          </w:p>
        </w:tc>
        <w:tc>
          <w:tcPr>
            <w:tcW w:w="1560"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c>
          <w:tcPr>
            <w:tcW w:w="1331"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p>
        </w:tc>
        <w:tc>
          <w:tcPr>
            <w:tcW w:w="134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100,00</w:t>
            </w:r>
            <w:bookmarkEnd w:id="192"/>
          </w:p>
        </w:tc>
      </w:tr>
    </w:tbl>
    <w:p w:rsidR="00E618FE" w:rsidRPr="00535A4B" w:rsidRDefault="00E618FE">
      <w:pPr>
        <w:pStyle w:val="aff"/>
        <w:rPr>
          <w:rFonts w:ascii="Times New Roman" w:hAnsi="Times New Roman"/>
          <w:lang w:val="ru-RU"/>
        </w:rPr>
      </w:pPr>
    </w:p>
    <w:p w:rsidR="00E618FE" w:rsidRPr="00535A4B" w:rsidRDefault="00800098">
      <w:pPr>
        <w:pStyle w:val="10"/>
        <w:rPr>
          <w:rFonts w:ascii="Times New Roman" w:eastAsia="PT Astra Serif" w:hAnsi="Times New Roman" w:cs="Times New Roman"/>
          <w:lang w:val="ru-RU"/>
        </w:rPr>
      </w:pPr>
      <w:r w:rsidRPr="00535A4B">
        <w:rPr>
          <w:rFonts w:ascii="Times New Roman" w:eastAsia="PT Astra Serif" w:hAnsi="Times New Roman" w:cs="Times New Roman"/>
          <w:lang w:val="ru-RU"/>
        </w:rPr>
        <w:br w:type="page" w:clear="all"/>
      </w:r>
    </w:p>
    <w:p w:rsidR="00E618FE" w:rsidRPr="00535A4B" w:rsidRDefault="00800098">
      <w:pPr>
        <w:pStyle w:val="10"/>
        <w:rPr>
          <w:rFonts w:ascii="Times New Roman" w:eastAsia="PT Astra Serif" w:hAnsi="Times New Roman" w:cs="Times New Roman"/>
          <w:lang w:val="ru-RU"/>
        </w:rPr>
      </w:pPr>
      <w:bookmarkStart w:id="225" w:name="_Toc235810176"/>
      <w:bookmarkStart w:id="226" w:name="_Toc238554564"/>
      <w:r w:rsidRPr="00535A4B">
        <w:rPr>
          <w:rFonts w:ascii="Times New Roman" w:eastAsia="PT Astra Serif" w:hAnsi="Times New Roman" w:cs="Times New Roman"/>
          <w:lang w:val="ru-RU"/>
        </w:rPr>
        <w:lastRenderedPageBreak/>
        <w:t>16.</w:t>
      </w:r>
      <w:r w:rsidRPr="00535A4B">
        <w:rPr>
          <w:rFonts w:ascii="Times New Roman" w:eastAsiaTheme="minorHAnsi" w:hAnsi="Times New Roman" w:cs="Times New Roman"/>
          <w:bCs/>
          <w:caps w:val="0"/>
          <w:szCs w:val="28"/>
          <w:lang w:val="ru-RU"/>
        </w:rPr>
        <w:t xml:space="preserve"> </w:t>
      </w:r>
      <w:r w:rsidRPr="00535A4B">
        <w:rPr>
          <w:rFonts w:ascii="Times New Roman" w:eastAsia="PT Astra Serif" w:hAnsi="Times New Roman" w:cs="Times New Roman"/>
          <w:lang w:val="ru-RU"/>
        </w:rPr>
        <w:t xml:space="preserve">Проекты, оказывающие влияние на социально-экономическое развитие Томской области </w:t>
      </w:r>
      <w:r w:rsidRPr="00535A4B">
        <w:rPr>
          <w:rFonts w:ascii="Times New Roman" w:eastAsia="PT Astra Serif" w:hAnsi="Times New Roman" w:cs="Times New Roman"/>
          <w:lang w:val="ru-RU"/>
        </w:rPr>
        <w:br/>
        <w:t>в долгосрочной перспективе</w:t>
      </w:r>
      <w:bookmarkEnd w:id="225"/>
      <w:bookmarkEnd w:id="226"/>
      <w:r w:rsidRPr="00535A4B">
        <w:rPr>
          <w:rFonts w:ascii="Times New Roman" w:eastAsia="PT Astra Serif" w:hAnsi="Times New Roman" w:cs="Times New Roman"/>
          <w:lang w:val="ru-RU"/>
        </w:rPr>
        <w:t xml:space="preserve"> </w:t>
      </w:r>
    </w:p>
    <w:p w:rsidR="00E618FE" w:rsidRPr="00535A4B" w:rsidRDefault="00E618FE">
      <w:pPr>
        <w:rPr>
          <w:rFonts w:eastAsia="PT Astra Serif"/>
          <w:lang w:eastAsia="en-US" w:bidi="en-US"/>
        </w:rPr>
      </w:pP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В долгосрочной перспективе Томская область будет развиваться </w:t>
      </w:r>
      <w:r w:rsidR="00F71119">
        <w:rPr>
          <w:rFonts w:ascii="Times New Roman" w:hAnsi="Times New Roman"/>
          <w:color w:val="auto"/>
          <w:sz w:val="26"/>
          <w:szCs w:val="26"/>
        </w:rPr>
        <w:br/>
      </w:r>
      <w:r w:rsidRPr="00F71119">
        <w:rPr>
          <w:rFonts w:ascii="Times New Roman" w:hAnsi="Times New Roman"/>
          <w:color w:val="auto"/>
          <w:sz w:val="26"/>
          <w:szCs w:val="26"/>
        </w:rPr>
        <w:t xml:space="preserve">как глобально значимый технологический центр с высокомаржинальными продуктовыми и сервисными специализациями, высокой долей инновационных товаров в ВРП. Этому будут способствовать модернизация существующих </w:t>
      </w:r>
      <w:r w:rsidR="00F71119">
        <w:rPr>
          <w:rFonts w:ascii="Times New Roman" w:hAnsi="Times New Roman"/>
          <w:color w:val="auto"/>
          <w:sz w:val="26"/>
          <w:szCs w:val="26"/>
        </w:rPr>
        <w:br/>
      </w:r>
      <w:r w:rsidRPr="00F71119">
        <w:rPr>
          <w:rFonts w:ascii="Times New Roman" w:hAnsi="Times New Roman"/>
          <w:color w:val="auto"/>
          <w:sz w:val="26"/>
          <w:szCs w:val="26"/>
        </w:rPr>
        <w:t xml:space="preserve">и создание новых высокотехнологичных производств и высокопроизводительных рабочих мест. К 2030 и 2036 годам в регионе будет обеспечена диверсифицированная структура высокотехнологичного экспорта; уровень производственной инфраструктуры будет соответствовать передовым стандартам, область станет более привлекательной для внешних и внутренних инвесторов. Будущее экономической среды и инфраструктуры закладывается уже сейчас, когда создаются благоприятные условия для развития малого и среднего бизнеса, в первую очередь </w:t>
      </w:r>
      <w:r w:rsidR="00F71119">
        <w:rPr>
          <w:rFonts w:ascii="Times New Roman" w:hAnsi="Times New Roman"/>
          <w:color w:val="auto"/>
          <w:sz w:val="26"/>
          <w:szCs w:val="26"/>
        </w:rPr>
        <w:t>–</w:t>
      </w:r>
      <w:r w:rsidRPr="00F71119">
        <w:rPr>
          <w:rFonts w:ascii="Times New Roman" w:hAnsi="Times New Roman"/>
          <w:color w:val="auto"/>
          <w:sz w:val="26"/>
          <w:szCs w:val="26"/>
        </w:rPr>
        <w:t xml:space="preserve"> в сфере услуг и высоких технологий.</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В Томской области реализуется комплекс инвестиционных проектов, охватывающих ключевые направления: добывающую промышленность, обрабатывающий сектор, высокотехнологичные производства, научно-образовательную инфраструктуру, логистику, здравоохранение и жилищное строительство. Совокупность данных инициатив формирует основу долгосрочного социально-экономического развития региона, усиливает его промышленную специализацию, научный потенциал и пространственную устойчивость.</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Стратегические приоритеты развития Томской области на горизонте </w:t>
      </w:r>
      <w:r w:rsidR="00F71119">
        <w:rPr>
          <w:rFonts w:ascii="Times New Roman" w:hAnsi="Times New Roman"/>
          <w:color w:val="auto"/>
          <w:sz w:val="26"/>
          <w:szCs w:val="26"/>
        </w:rPr>
        <w:br/>
      </w:r>
      <w:r w:rsidRPr="00F71119">
        <w:rPr>
          <w:rFonts w:ascii="Times New Roman" w:hAnsi="Times New Roman"/>
          <w:color w:val="auto"/>
          <w:sz w:val="26"/>
          <w:szCs w:val="26"/>
        </w:rPr>
        <w:t>до 2036 года опираются на диверсифицированный портфель инвестиционных проектов. Инициативы структурированы по отраслевым и инфраструктурным направлениям, что обеспечивает системный подход к трансформации региональной экономики.</w:t>
      </w:r>
    </w:p>
    <w:p w:rsidR="00E618FE" w:rsidRPr="00F71119" w:rsidRDefault="00800098">
      <w:pPr>
        <w:ind w:firstLine="709"/>
        <w:jc w:val="both"/>
        <w:rPr>
          <w:sz w:val="26"/>
          <w:szCs w:val="26"/>
        </w:rPr>
      </w:pPr>
      <w:r w:rsidRPr="00F71119">
        <w:rPr>
          <w:sz w:val="26"/>
          <w:szCs w:val="26"/>
        </w:rPr>
        <w:t xml:space="preserve">Большинство этих проектов требует развитой современной инфраструктуры. Поэтому первостепенное значение имеют инфраструктурные проекты, без которых невозможна активная работа по освоению богатого ресурсного потенциала, связь </w:t>
      </w:r>
      <w:r w:rsidR="00F71119">
        <w:rPr>
          <w:sz w:val="26"/>
          <w:szCs w:val="26"/>
        </w:rPr>
        <w:br/>
      </w:r>
      <w:r w:rsidRPr="00F71119">
        <w:rPr>
          <w:sz w:val="26"/>
          <w:szCs w:val="26"/>
        </w:rPr>
        <w:t>с соседними регионами и экспортная деятельность (здесь следует отметить проект «</w:t>
      </w:r>
      <w:bookmarkStart w:id="227" w:name="_Hlk230934651"/>
      <w:r w:rsidRPr="00F71119">
        <w:rPr>
          <w:sz w:val="26"/>
          <w:szCs w:val="26"/>
        </w:rPr>
        <w:t>Элеонор</w:t>
      </w:r>
      <w:bookmarkEnd w:id="227"/>
      <w:r w:rsidRPr="00F71119">
        <w:rPr>
          <w:sz w:val="26"/>
          <w:szCs w:val="26"/>
        </w:rPr>
        <w:t xml:space="preserve">»). Данные проекты в совокупности обеспечат ввод миллионов квадратных метров жилья и создадут современную городскую среду. Масштабная трансформация жилой и транспортной инфраструктуры, призванная обеспечить пространственное развитие и рост качества жизни, неизбежно вызывает необходимость строительства новых проектов улично-дорожной сети: Левобережный (45,2 млрд рублей), ЖК Ботаника (44,3 млрд рублей) и Южные Ворота (96,3 млрд рублей совокупно), проект «Элеонор». Критически важным для связанности этих новых районов является развитие транспортного каркаса: строительство третьего моста через реку Томь и формирование Малого транспортного кольца. Данные инфраструктурные проекты, хотя и требуют значительных бюджетных и частных инвестиций, создают базовые условия для дальнейшего роста агломерации и повышения инвестиционной привлекательности территории. </w:t>
      </w:r>
    </w:p>
    <w:p w:rsidR="00E618FE" w:rsidRPr="00F71119" w:rsidRDefault="00800098">
      <w:pPr>
        <w:ind w:firstLine="709"/>
        <w:jc w:val="both"/>
        <w:rPr>
          <w:sz w:val="26"/>
          <w:szCs w:val="26"/>
        </w:rPr>
      </w:pPr>
      <w:r w:rsidRPr="00F71119">
        <w:rPr>
          <w:sz w:val="26"/>
          <w:szCs w:val="26"/>
        </w:rPr>
        <w:t xml:space="preserve">Проекты развития недропользования также требуют создания современной инфраструктуры. В сфере недропользования реализуются проект «Палеозой» </w:t>
      </w:r>
      <w:r w:rsidR="00F71119">
        <w:rPr>
          <w:sz w:val="26"/>
          <w:szCs w:val="26"/>
        </w:rPr>
        <w:br/>
      </w:r>
      <w:r w:rsidRPr="00F71119">
        <w:rPr>
          <w:sz w:val="26"/>
          <w:szCs w:val="26"/>
        </w:rPr>
        <w:t xml:space="preserve">(42,1 млрд рублей) и разработка месторождений ООО «Газпромнефть-Восток» </w:t>
      </w:r>
      <w:r w:rsidR="00F71119">
        <w:rPr>
          <w:sz w:val="26"/>
          <w:szCs w:val="26"/>
        </w:rPr>
        <w:br/>
      </w:r>
      <w:r w:rsidRPr="00F71119">
        <w:rPr>
          <w:sz w:val="26"/>
          <w:szCs w:val="26"/>
        </w:rPr>
        <w:lastRenderedPageBreak/>
        <w:t xml:space="preserve">(65,7 млрд рублей), направленные на поддержание и наращивание добычи углеводородов в условиях выработанности традиционных запасов. Параллельно идет промышленное освоение твердых полезных ископаемых: первая очередь Туганского ильменит-цирконового месторождения (10,14 млрд рублей) и Турунтаевского проявления полиметаллов (25 млрд рублей). В лесопромышленном комплексе ключевую роль играют проекты создания лесозаготовительной инфраструктуры в Александровском и Каргасокском районах </w:t>
      </w:r>
      <w:r w:rsidRPr="00F71119">
        <w:rPr>
          <w:sz w:val="26"/>
          <w:szCs w:val="26"/>
        </w:rPr>
        <w:br/>
        <w:t xml:space="preserve">(1,53 млрд рублей) и строительство завода OSB-плит мощностью </w:t>
      </w:r>
      <w:r w:rsidRPr="00F71119">
        <w:rPr>
          <w:sz w:val="26"/>
          <w:szCs w:val="26"/>
        </w:rPr>
        <w:br/>
        <w:t xml:space="preserve">250 тыс. куб. м в год (5 млрд рублей). Важно подчеркнуть, </w:t>
      </w:r>
      <w:r w:rsidRPr="00F71119">
        <w:rPr>
          <w:sz w:val="26"/>
          <w:szCs w:val="26"/>
        </w:rPr>
        <w:br/>
        <w:t xml:space="preserve">что эти инициативы интегрированы или будут интегрированы в отраслевые кластеры «Лес, лесопереработка и лесохимия» и «Цветные и редкоземельные металлы», что позволяет синхронизировать развитие добывающего </w:t>
      </w:r>
      <w:r w:rsidRPr="00F71119">
        <w:rPr>
          <w:sz w:val="26"/>
          <w:szCs w:val="26"/>
        </w:rPr>
        <w:br/>
        <w:t>и перерабатывающего секторов и максимизировать добавленную стоимость, создаваемую на территории региона.</w:t>
      </w:r>
    </w:p>
    <w:p w:rsidR="00E618FE" w:rsidRPr="00F71119" w:rsidRDefault="00800098">
      <w:pPr>
        <w:ind w:firstLine="709"/>
        <w:jc w:val="both"/>
        <w:rPr>
          <w:sz w:val="26"/>
          <w:szCs w:val="26"/>
        </w:rPr>
      </w:pPr>
      <w:r w:rsidRPr="00F71119">
        <w:rPr>
          <w:sz w:val="26"/>
          <w:szCs w:val="26"/>
        </w:rPr>
        <w:t xml:space="preserve">Фундаментальное значение для долгосрочного развития имеет проект «Прорыв» </w:t>
      </w:r>
      <w:r w:rsidR="00F71119">
        <w:rPr>
          <w:sz w:val="26"/>
          <w:szCs w:val="26"/>
        </w:rPr>
        <w:t>–</w:t>
      </w:r>
      <w:r w:rsidRPr="00F71119">
        <w:rPr>
          <w:sz w:val="26"/>
          <w:szCs w:val="26"/>
        </w:rPr>
        <w:t xml:space="preserve"> строительство опытно-демонстрационного энергокомплекса </w:t>
      </w:r>
      <w:r w:rsidRPr="00F71119">
        <w:rPr>
          <w:sz w:val="26"/>
          <w:szCs w:val="26"/>
        </w:rPr>
        <w:br/>
        <w:t xml:space="preserve">с реактором БРЕСТ-ОД-300 на площадке АО «СХК» в Северске (объем инвестиций 350 млрд рублей). Данный проект не только создает уникальные для мировой атомной энергетики компетенции по замыканию ядерного топливного цикла, </w:t>
      </w:r>
      <w:r w:rsidR="00F71119">
        <w:rPr>
          <w:sz w:val="26"/>
          <w:szCs w:val="26"/>
        </w:rPr>
        <w:br/>
      </w:r>
      <w:r w:rsidRPr="00F71119">
        <w:rPr>
          <w:sz w:val="26"/>
          <w:szCs w:val="26"/>
        </w:rPr>
        <w:t xml:space="preserve">но и формирует мощный мультипликативный эффект: вокруг него </w:t>
      </w:r>
      <w:r w:rsidR="00F71119">
        <w:rPr>
          <w:sz w:val="26"/>
          <w:szCs w:val="26"/>
        </w:rPr>
        <w:br/>
      </w:r>
      <w:r w:rsidRPr="00F71119">
        <w:rPr>
          <w:sz w:val="26"/>
          <w:szCs w:val="26"/>
        </w:rPr>
        <w:t xml:space="preserve">уже разворачиваются сопутствующие производства </w:t>
      </w:r>
      <w:r w:rsidR="00F71119">
        <w:rPr>
          <w:sz w:val="26"/>
          <w:szCs w:val="26"/>
        </w:rPr>
        <w:t>–</w:t>
      </w:r>
      <w:r w:rsidRPr="00F71119">
        <w:rPr>
          <w:sz w:val="26"/>
          <w:szCs w:val="26"/>
        </w:rPr>
        <w:t xml:space="preserve"> переработка обедненного гексафторида урана (4,36 млрд рублей). Вместе с тем в регионе формируется химический промышленный кластер, объединяющий проекты по производству пигментного диоксида титана (5,77 млрд рублей) и малотоннажной химии, </w:t>
      </w:r>
      <w:r w:rsidR="00F71119">
        <w:rPr>
          <w:sz w:val="26"/>
          <w:szCs w:val="26"/>
        </w:rPr>
        <w:br/>
      </w:r>
      <w:r w:rsidRPr="00F71119">
        <w:rPr>
          <w:sz w:val="26"/>
          <w:szCs w:val="26"/>
        </w:rPr>
        <w:t xml:space="preserve">а также кластер электроники и беспилотных технологий. Замыкает инновационный контур масштабный проект создания современного межвузовского кампуса </w:t>
      </w:r>
      <w:r w:rsidR="00F71119">
        <w:rPr>
          <w:sz w:val="26"/>
          <w:szCs w:val="26"/>
        </w:rPr>
        <w:br/>
      </w:r>
      <w:r w:rsidRPr="00F71119">
        <w:rPr>
          <w:sz w:val="26"/>
          <w:szCs w:val="26"/>
        </w:rPr>
        <w:t xml:space="preserve">в г. Томске (51,3 млрд рублей), призванный обеспечить кадровую </w:t>
      </w:r>
      <w:r w:rsidR="00F71119">
        <w:rPr>
          <w:sz w:val="26"/>
          <w:szCs w:val="26"/>
        </w:rPr>
        <w:br/>
      </w:r>
      <w:r w:rsidRPr="00F71119">
        <w:rPr>
          <w:sz w:val="26"/>
          <w:szCs w:val="26"/>
        </w:rPr>
        <w:t>и исследовательскую базу для высокотехнологичных отраслей.</w:t>
      </w:r>
    </w:p>
    <w:p w:rsidR="00E618FE" w:rsidRPr="00F71119" w:rsidRDefault="00800098">
      <w:pPr>
        <w:ind w:firstLine="709"/>
        <w:jc w:val="both"/>
        <w:rPr>
          <w:sz w:val="26"/>
          <w:szCs w:val="26"/>
        </w:rPr>
      </w:pPr>
      <w:r w:rsidRPr="00F71119">
        <w:rPr>
          <w:sz w:val="26"/>
          <w:szCs w:val="26"/>
        </w:rPr>
        <w:t xml:space="preserve">Проекты, представленные в таблице ниже, оказывают существенное влияние на социально-экономическое развития региона, что неизбежно проявится </w:t>
      </w:r>
      <w:r w:rsidR="00F71119">
        <w:rPr>
          <w:sz w:val="26"/>
          <w:szCs w:val="26"/>
        </w:rPr>
        <w:br/>
      </w:r>
      <w:r w:rsidRPr="00F71119">
        <w:rPr>
          <w:sz w:val="26"/>
          <w:szCs w:val="26"/>
        </w:rPr>
        <w:t>в достижении целевых показателей обновленной Стратегии социально-экономического развития Томской области до 2036 года, а также обеспечении роста объема инвестиций в основной капитал и среднегодового темпа роста экономики при одновременном повышении качества жизни населения и укреплении позиций региона как одного из ведущих научно-инновационных центров России.</w:t>
      </w:r>
    </w:p>
    <w:p w:rsidR="00E618FE" w:rsidRPr="00535A4B" w:rsidRDefault="00E618FE">
      <w:pPr>
        <w:pStyle w:val="a4"/>
        <w:rPr>
          <w:rFonts w:ascii="Times New Roman" w:hAnsi="Times New Roman"/>
          <w:color w:val="auto"/>
          <w:sz w:val="24"/>
        </w:rPr>
        <w:sectPr w:rsidR="00E618FE" w:rsidRPr="00535A4B">
          <w:pgSz w:w="11906" w:h="16838"/>
          <w:pgMar w:top="1134" w:right="850" w:bottom="1134" w:left="1701" w:header="708" w:footer="708" w:gutter="0"/>
          <w:cols w:space="708"/>
          <w:docGrid w:linePitch="360"/>
        </w:sectPr>
      </w:pPr>
    </w:p>
    <w:p w:rsidR="00E618FE" w:rsidRPr="00F71119" w:rsidRDefault="00800098">
      <w:pPr>
        <w:suppressLineNumbers/>
        <w:spacing w:before="180" w:after="120"/>
        <w:jc w:val="both"/>
        <w:outlineLvl w:val="8"/>
        <w:rPr>
          <w:bCs/>
          <w:sz w:val="26"/>
          <w:szCs w:val="26"/>
          <w:lang w:eastAsia="ar-SA" w:bidi="en-US"/>
        </w:rPr>
      </w:pPr>
      <w:bookmarkStart w:id="228" w:name="_Hlk230977651"/>
      <w:r w:rsidRPr="00F71119">
        <w:rPr>
          <w:bCs/>
          <w:sz w:val="26"/>
          <w:szCs w:val="26"/>
          <w:lang w:eastAsia="ar-SA" w:bidi="en-US"/>
        </w:rPr>
        <w:lastRenderedPageBreak/>
        <w:t>Таблица 16.1. Проекты, оказывающие влияние на социально-экономическое развитие Томской области в долгосрочной перспективе</w:t>
      </w:r>
    </w:p>
    <w:tbl>
      <w:tblPr>
        <w:tblStyle w:val="-180"/>
        <w:tblW w:w="14600" w:type="dxa"/>
        <w:tblLayout w:type="fixed"/>
        <w:tblCellMar>
          <w:left w:w="57" w:type="dxa"/>
          <w:right w:w="57" w:type="dxa"/>
        </w:tblCellMar>
        <w:tblLook w:val="04A0" w:firstRow="1" w:lastRow="0" w:firstColumn="1" w:lastColumn="0" w:noHBand="0" w:noVBand="1"/>
      </w:tblPr>
      <w:tblGrid>
        <w:gridCol w:w="624"/>
        <w:gridCol w:w="2915"/>
        <w:gridCol w:w="2126"/>
        <w:gridCol w:w="2977"/>
        <w:gridCol w:w="5958"/>
      </w:tblGrid>
      <w:tr w:rsidR="00E618FE" w:rsidRPr="00535A4B" w:rsidTr="00E618FE">
        <w:trPr>
          <w:cnfStyle w:val="100000000000" w:firstRow="1" w:lastRow="0" w:firstColumn="0" w:lastColumn="0" w:oddVBand="0" w:evenVBand="0" w:oddHBand="0" w:evenHBand="0" w:firstRowFirstColumn="0" w:firstRowLastColumn="0" w:lastRowFirstColumn="0" w:lastRowLastColumn="0"/>
          <w:trHeight w:val="785"/>
          <w:tblHeader/>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w:t>
            </w:r>
          </w:p>
          <w:p w:rsidR="00E618FE" w:rsidRPr="00535A4B" w:rsidRDefault="00800098">
            <w:pPr>
              <w:jc w:val="center"/>
              <w:rPr>
                <w:lang w:eastAsia="ar-SA"/>
              </w:rPr>
            </w:pPr>
            <w:r w:rsidRPr="00535A4B">
              <w:rPr>
                <w:lang w:eastAsia="ar-SA"/>
              </w:rPr>
              <w:t>п/п</w:t>
            </w:r>
          </w:p>
        </w:tc>
        <w:tc>
          <w:tcPr>
            <w:tcW w:w="2915"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lang w:eastAsia="ar-SA"/>
              </w:rPr>
              <w:t>Наименование инвестиционного проекта</w:t>
            </w:r>
          </w:p>
        </w:tc>
        <w:tc>
          <w:tcPr>
            <w:tcW w:w="2126"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lang w:eastAsia="ar-SA"/>
              </w:rPr>
              <w:t>Объем инвестиций</w:t>
            </w:r>
            <w:r w:rsidRPr="00535A4B">
              <w:rPr>
                <w:vertAlign w:val="superscript"/>
                <w:lang w:eastAsia="ar-SA"/>
              </w:rPr>
              <w:footnoteReference w:id="23"/>
            </w:r>
            <w:r w:rsidRPr="00535A4B">
              <w:rPr>
                <w:lang w:eastAsia="ar-SA"/>
              </w:rPr>
              <w:t xml:space="preserve">, </w:t>
            </w:r>
            <w:r w:rsidRPr="00535A4B">
              <w:rPr>
                <w:lang w:eastAsia="ar-SA"/>
              </w:rPr>
              <w:br/>
              <w:t>млн руб.</w:t>
            </w:r>
          </w:p>
        </w:tc>
        <w:tc>
          <w:tcPr>
            <w:tcW w:w="2977"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lang w:eastAsia="ar-SA"/>
              </w:rPr>
              <w:t>Статус проекта</w:t>
            </w:r>
          </w:p>
        </w:tc>
        <w:tc>
          <w:tcPr>
            <w:tcW w:w="5958" w:type="dxa"/>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lang w:eastAsia="ar-SA"/>
              </w:rPr>
              <w:t>Комментарии (связь с показателями)</w:t>
            </w:r>
            <w:r w:rsidRPr="00535A4B">
              <w:rPr>
                <w:vertAlign w:val="superscript"/>
                <w:lang w:eastAsia="ar-SA"/>
              </w:rPr>
              <w:footnoteReference w:id="24"/>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14600" w:type="dxa"/>
            <w:gridSpan w:val="5"/>
            <w:vAlign w:val="center"/>
          </w:tcPr>
          <w:p w:rsidR="00E618FE" w:rsidRPr="00535A4B" w:rsidRDefault="00800098">
            <w:pPr>
              <w:tabs>
                <w:tab w:val="left" w:pos="217"/>
              </w:tabs>
              <w:jc w:val="center"/>
              <w:rPr>
                <w:lang w:eastAsia="ar-SA"/>
              </w:rPr>
            </w:pPr>
            <w:r w:rsidRPr="00535A4B">
              <w:rPr>
                <w:lang w:eastAsia="ar-SA"/>
              </w:rPr>
              <w:t>Группа «Инфраструктура»</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1.</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Трубопровод-перемычка (часть «Восточной системы газоснабжения» (ВСГ), соединение действующей газотранспортной системы Западной Сибири</w:t>
            </w:r>
            <w:r w:rsidRPr="00535A4B">
              <w:rPr>
                <w:lang w:eastAsia="ar-SA"/>
              </w:rPr>
              <w:br/>
              <w:t xml:space="preserve"> с магистральным газопроводом «Сила Сибири — 2»</w:t>
            </w:r>
          </w:p>
        </w:tc>
        <w:tc>
          <w:tcPr>
            <w:tcW w:w="2126"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Требует оценки.</w:t>
            </w:r>
            <w:r w:rsidRPr="00535A4B">
              <w:t xml:space="preserve"> </w:t>
            </w:r>
            <w:r w:rsidRPr="00535A4B">
              <w:rPr>
                <w:lang w:eastAsia="ar-SA"/>
              </w:rPr>
              <w:t>Точная стоимость «томской перемычки» официально не выделяется, она входит в общую инвестпрограмму ВСГ</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Проект находится в стадии активного строительства. Работы ведутся в рамках внутренней программы расширения Единой системы газоснабжения (ЕСГ) и газификации регионов</w:t>
            </w:r>
          </w:p>
        </w:tc>
        <w:tc>
          <w:tcPr>
            <w:tcW w:w="5958" w:type="dxa"/>
          </w:tcPr>
          <w:p w:rsidR="00E618FE" w:rsidRPr="00535A4B" w:rsidRDefault="00800098">
            <w:pPr>
              <w:numPr>
                <w:ilvl w:val="0"/>
                <w:numId w:val="40"/>
              </w:numPr>
              <w:tabs>
                <w:tab w:val="left" w:pos="217"/>
              </w:tabs>
              <w:ind w:left="515"/>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Доля вида экономической деятельности «Добыча полезных ископаемых» в общем объеме промышленного производства, %.</w:t>
            </w:r>
          </w:p>
          <w:p w:rsidR="00E618FE" w:rsidRPr="00535A4B" w:rsidRDefault="00800098">
            <w:pPr>
              <w:numPr>
                <w:ilvl w:val="0"/>
                <w:numId w:val="40"/>
              </w:numPr>
              <w:tabs>
                <w:tab w:val="left" w:pos="217"/>
              </w:tabs>
              <w:ind w:left="515"/>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Отношение объема инвестиций в основной капитал к валовому региональному продукту, % </w:t>
            </w:r>
            <w:r w:rsidRPr="00535A4B">
              <w:rPr>
                <w:lang w:eastAsia="ar-SA"/>
              </w:rPr>
              <w:br/>
              <w:t>(приказ № 132</w:t>
            </w:r>
            <w:r w:rsidRPr="00535A4B">
              <w:rPr>
                <w:rStyle w:val="af3"/>
                <w:lang w:eastAsia="ar-SA"/>
              </w:rPr>
              <w:footnoteReference w:id="25"/>
            </w:r>
            <w:r w:rsidRPr="00535A4B">
              <w:rPr>
                <w:lang w:eastAsia="ar-SA"/>
              </w:rPr>
              <w:t>)</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2.</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Реконструкция ГРЭС-2, </w:t>
            </w:r>
            <w:r w:rsidRPr="00535A4B">
              <w:rPr>
                <w:lang w:eastAsia="ar-SA"/>
              </w:rPr>
              <w:br/>
              <w:t xml:space="preserve">в том числе пиковой водогрейной котельной </w:t>
            </w:r>
            <w:r w:rsidRPr="00535A4B">
              <w:rPr>
                <w:lang w:eastAsia="ar-SA"/>
              </w:rPr>
              <w:br/>
              <w:t>(на площадке ГРЭС-2; АО «Томская генерация»)</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&gt;1 000 (оценочно), на проект модернизации котельного оборудования станции до 2027 г. направлено 400; 232,7 (только разработка ПСД </w:t>
            </w:r>
            <w:r w:rsidRPr="00535A4B">
              <w:rPr>
                <w:lang w:eastAsia="ar-SA"/>
              </w:rPr>
              <w:lastRenderedPageBreak/>
              <w:t>пиковой водогрейной котельной)</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 xml:space="preserve">Модернизация котельного оборудования: проект находится в активной стадии реализации, завершение намечено </w:t>
            </w:r>
            <w:r w:rsidRPr="00535A4B">
              <w:rPr>
                <w:lang w:eastAsia="ar-SA"/>
              </w:rPr>
              <w:br/>
              <w:t>на 2027 г.</w:t>
            </w:r>
          </w:p>
        </w:tc>
        <w:tc>
          <w:tcPr>
            <w:tcW w:w="5958" w:type="dxa"/>
          </w:tcPr>
          <w:p w:rsidR="00E618FE" w:rsidRPr="00535A4B" w:rsidRDefault="00800098">
            <w:pPr>
              <w:numPr>
                <w:ilvl w:val="0"/>
                <w:numId w:val="40"/>
              </w:numPr>
              <w:tabs>
                <w:tab w:val="left" w:pos="217"/>
              </w:tabs>
              <w:ind w:left="515" w:hanging="283"/>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Коэффициент обновления основных фондов, % (приказ № 132).</w:t>
            </w:r>
          </w:p>
          <w:p w:rsidR="00E618FE" w:rsidRPr="00535A4B" w:rsidRDefault="00800098">
            <w:pPr>
              <w:numPr>
                <w:ilvl w:val="0"/>
                <w:numId w:val="40"/>
              </w:numPr>
              <w:tabs>
                <w:tab w:val="left" w:pos="217"/>
              </w:tabs>
              <w:ind w:left="515" w:hanging="283"/>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Отношение объема инвестиций в основной капитал к валовому региональному продукту, % </w:t>
            </w:r>
            <w:r w:rsidRPr="00535A4B">
              <w:rPr>
                <w:lang w:eastAsia="ar-SA"/>
              </w:rPr>
              <w:br/>
              <w:t>(приказ № 132).</w:t>
            </w:r>
          </w:p>
          <w:p w:rsidR="00E618FE" w:rsidRPr="00535A4B" w:rsidRDefault="00800098">
            <w:pPr>
              <w:numPr>
                <w:ilvl w:val="0"/>
                <w:numId w:val="40"/>
              </w:numPr>
              <w:tabs>
                <w:tab w:val="left" w:pos="217"/>
              </w:tabs>
              <w:ind w:left="515" w:hanging="283"/>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Инвестиции в основной капитал (темп роста физического объема), % к 2020 г.</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3.</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
                <w:lang w:eastAsia="ar-SA"/>
              </w:rPr>
            </w:pPr>
            <w:r w:rsidRPr="00535A4B">
              <w:rPr>
                <w:lang w:eastAsia="ar-SA"/>
              </w:rPr>
              <w:t xml:space="preserve">Расширение дороги </w:t>
            </w:r>
            <w:r w:rsidRPr="00535A4B">
              <w:rPr>
                <w:lang w:eastAsia="ar-SA"/>
              </w:rPr>
              <w:br/>
              <w:t xml:space="preserve">в г. Томске на участке </w:t>
            </w:r>
            <w:r w:rsidRPr="00535A4B">
              <w:rPr>
                <w:lang w:eastAsia="ar-SA"/>
              </w:rPr>
              <w:br/>
              <w:t>от коммунального моста до с. Тимирязевское</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4 000,0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 Разработанная ПСД</w:t>
            </w:r>
          </w:p>
        </w:tc>
        <w:tc>
          <w:tcPr>
            <w:tcW w:w="5958" w:type="dxa"/>
          </w:tcPr>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Протяженность автомобильных дорог общего пользования с твердым покрытием, км.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Доля дорожной сети городских агломераций, находящейся в нормативном состоянии, %</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4.</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Аникинская развязка на Богашевском тракте</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2 130,0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Есть разработанная ПСД</w:t>
            </w:r>
          </w:p>
        </w:tc>
        <w:tc>
          <w:tcPr>
            <w:tcW w:w="5958" w:type="dxa"/>
          </w:tcPr>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Протяженность автомобильных дорог общего пользования с твердым покрытием, км.</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Доля дорожной сети городских агломераций, находящейся в нормативном состоянии, %</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5.</w:t>
            </w:r>
          </w:p>
        </w:tc>
        <w:tc>
          <w:tcPr>
            <w:tcW w:w="2915"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 </w:t>
            </w:r>
            <w:r w:rsidRPr="00535A4B">
              <w:t>«Малое транспортное кольцо (МТК)»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Требует оценки</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Ключевая дискуссия </w:t>
            </w:r>
            <w:r w:rsidRPr="00535A4B">
              <w:rPr>
                <w:lang w:eastAsia="ar-SA"/>
              </w:rPr>
              <w:br/>
              <w:t xml:space="preserve">о транспортном каркасе. МТК необходимо </w:t>
            </w:r>
            <w:r w:rsidRPr="00535A4B">
              <w:rPr>
                <w:lang w:eastAsia="ar-SA"/>
              </w:rPr>
              <w:br/>
              <w:t xml:space="preserve">для разгрузки центра </w:t>
            </w:r>
            <w:r w:rsidRPr="00535A4B">
              <w:rPr>
                <w:lang w:eastAsia="ar-SA"/>
              </w:rPr>
              <w:br/>
              <w:t>и связи новых районов. Проект не имеет утвержденного финансирования</w:t>
            </w:r>
          </w:p>
        </w:tc>
        <w:tc>
          <w:tcPr>
            <w:tcW w:w="5958" w:type="dxa"/>
          </w:tcPr>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Протяженность автомобильных дорог общего пользования с твердым покрытием, км (с СЭР ТО 2030 г.).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Доля дорожной сети городских агломераций, находящейся в нормативном состоянии,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Темп роста (индекс роста) физического объема инвестиций в основной капитал.</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Коэффициент обновления основных фондов, %</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6.</w:t>
            </w:r>
          </w:p>
        </w:tc>
        <w:tc>
          <w:tcPr>
            <w:tcW w:w="2915"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«Третий мост через реку Томь в г. Томск»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80 500 – стоимость строительства, 1 800 – стоимость разработки проектной </w:t>
            </w:r>
            <w:r w:rsidRPr="00535A4B">
              <w:rPr>
                <w:lang w:eastAsia="ar-SA"/>
              </w:rPr>
              <w:br/>
              <w:t>и рабочей документации</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Утверждена документация по планировке территории,</w:t>
            </w:r>
          </w:p>
          <w:p w:rsidR="00E618FE" w:rsidRPr="00535A4B" w:rsidRDefault="00800098" w:rsidP="00F71119">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предусматривающая размещение линейного объекта транспортной инфраструктуры местного значения «Строительство третьего моста </w:t>
            </w:r>
            <w:r w:rsidRPr="00535A4B">
              <w:rPr>
                <w:lang w:eastAsia="ar-SA"/>
              </w:rPr>
              <w:br/>
              <w:t xml:space="preserve">через р. Томь». Третий мост </w:t>
            </w:r>
            <w:r w:rsidR="00F71119">
              <w:rPr>
                <w:lang w:eastAsia="ar-SA"/>
              </w:rPr>
              <w:t>–</w:t>
            </w:r>
            <w:r w:rsidRPr="00535A4B">
              <w:rPr>
                <w:lang w:eastAsia="ar-SA"/>
              </w:rPr>
              <w:t xml:space="preserve"> важный проект, </w:t>
            </w:r>
            <w:r w:rsidRPr="00535A4B">
              <w:rPr>
                <w:lang w:eastAsia="ar-SA"/>
              </w:rPr>
              <w:br/>
              <w:t xml:space="preserve">но он конкурирует </w:t>
            </w:r>
            <w:r w:rsidRPr="00535A4B">
              <w:rPr>
                <w:lang w:eastAsia="ar-SA"/>
              </w:rPr>
              <w:br/>
            </w:r>
            <w:r w:rsidRPr="00535A4B">
              <w:rPr>
                <w:lang w:eastAsia="ar-SA"/>
              </w:rPr>
              <w:lastRenderedPageBreak/>
              <w:t xml:space="preserve">за финансирование </w:t>
            </w:r>
            <w:r w:rsidRPr="00535A4B">
              <w:rPr>
                <w:lang w:eastAsia="ar-SA"/>
              </w:rPr>
              <w:br/>
              <w:t xml:space="preserve">с другими инфраструктурными нуждами (включая автомобильную дорогу </w:t>
            </w:r>
            <w:r w:rsidRPr="00535A4B">
              <w:rPr>
                <w:lang w:eastAsia="ar-SA"/>
              </w:rPr>
              <w:br/>
              <w:t>к кампусу)</w:t>
            </w:r>
          </w:p>
        </w:tc>
        <w:tc>
          <w:tcPr>
            <w:tcW w:w="5958" w:type="dxa"/>
          </w:tcPr>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Протяженность автомобильных дорог общего пользования с твердым покрытием, км (с СЭР ТО 2030 г.).</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Доля дорожной сети городских агломераций, находящейся в нормативном состоянии,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Темп роста (индекс роста) физического объема инвестиций в основной капитал.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Коэффициент обновления основных фондов, %.</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7.</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t>Строительство логистического комплекса «Озон»</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2 100,0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Подписано соглашение </w:t>
            </w:r>
            <w:r w:rsidRPr="00535A4B">
              <w:br/>
              <w:t>с ООО «Терминал А» (Группа компаний «Бизнес-парк») о строительстве логистического центра маркетплейса Ozon. В настоящее время проводятся предпроектные работы</w:t>
            </w:r>
          </w:p>
        </w:tc>
        <w:tc>
          <w:tcPr>
            <w:tcW w:w="5958" w:type="dxa"/>
          </w:tcPr>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t xml:space="preserve">Отношение объема инвестиций в основной капитал к валовому </w:t>
            </w:r>
            <w:r w:rsidRPr="00535A4B">
              <w:rPr>
                <w:lang w:eastAsia="ar-SA"/>
              </w:rPr>
              <w:t>региональному</w:t>
            </w:r>
            <w:r w:rsidRPr="00535A4B">
              <w:t xml:space="preserve"> продукту, % </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14600" w:type="dxa"/>
            <w:gridSpan w:val="5"/>
            <w:vAlign w:val="center"/>
          </w:tcPr>
          <w:p w:rsidR="00E618FE" w:rsidRPr="00535A4B" w:rsidRDefault="00800098">
            <w:pPr>
              <w:tabs>
                <w:tab w:val="left" w:pos="217"/>
              </w:tabs>
              <w:jc w:val="center"/>
              <w:rPr>
                <w:lang w:eastAsia="ar-SA"/>
              </w:rPr>
            </w:pPr>
            <w:r w:rsidRPr="00535A4B">
              <w:rPr>
                <w:lang w:eastAsia="ar-SA"/>
              </w:rPr>
              <w:t>Группа «Ресурсы»</w:t>
            </w:r>
          </w:p>
        </w:tc>
      </w:tr>
      <w:tr w:rsidR="00E618FE" w:rsidRPr="00535A4B" w:rsidTr="00E618FE">
        <w:trPr>
          <w:trHeight w:val="600"/>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bookmarkStart w:id="229" w:name="_Hlk222688205"/>
            <w:r w:rsidRPr="00535A4B">
              <w:rPr>
                <w:lang w:eastAsia="ar-SA"/>
              </w:rPr>
              <w:t>8.</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Разработка месторождений (ООО «Газпромнефть-Восток»)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66 064,0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Проект в стадии реализации. ПСД </w:t>
            </w:r>
            <w:r w:rsidRPr="00535A4B">
              <w:rPr>
                <w:lang w:eastAsia="ar-SA"/>
              </w:rPr>
              <w:br/>
              <w:t xml:space="preserve">в наличии по всем объектам, находящимся </w:t>
            </w:r>
            <w:r w:rsidRPr="00535A4B">
              <w:rPr>
                <w:lang w:eastAsia="ar-SA"/>
              </w:rPr>
              <w:br/>
              <w:t>в стадии строительства</w:t>
            </w:r>
          </w:p>
        </w:tc>
        <w:tc>
          <w:tcPr>
            <w:tcW w:w="5958" w:type="dxa"/>
          </w:tcPr>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Темп роста ВРП, в сопоставимых ценах </w:t>
            </w:r>
            <w:r w:rsidRPr="00535A4B">
              <w:rPr>
                <w:lang w:eastAsia="ar-SA"/>
              </w:rPr>
              <w:br/>
              <w:t>к 2020 г.,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Отношение объема инвестиций в основной капитал к валовому региональному продукту, % (приказ № 132)</w:t>
            </w:r>
            <w:bookmarkEnd w:id="229"/>
          </w:p>
        </w:tc>
      </w:tr>
      <w:tr w:rsidR="00E618FE" w:rsidRPr="00535A4B" w:rsidTr="00E618FE">
        <w:trPr>
          <w:trHeight w:val="600"/>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9.</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Реализация проекта «Палеозой» (совместно </w:t>
            </w:r>
            <w:r w:rsidRPr="00535A4B">
              <w:rPr>
                <w:lang w:eastAsia="ar-SA"/>
              </w:rPr>
              <w:br/>
              <w:t xml:space="preserve">с ПАО «Газпром нефть» </w:t>
            </w:r>
            <w:r w:rsidRPr="00535A4B">
              <w:rPr>
                <w:lang w:eastAsia="ar-SA"/>
              </w:rPr>
              <w:br/>
              <w:t>и АО «Независимая нефтяная компания»</w:t>
            </w:r>
            <w:r w:rsidRPr="00535A4B">
              <w:rPr>
                <w:lang w:eastAsia="ar-SA"/>
              </w:rPr>
              <w:br/>
              <w:t>на базе совместного предприятия АО «Томскнефть» ВНК)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21 700,0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Проект в стадии реализации</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Темп роста ВРП, в сопоставимых ценах </w:t>
            </w:r>
            <w:r w:rsidRPr="00535A4B">
              <w:rPr>
                <w:lang w:eastAsia="ar-SA"/>
              </w:rPr>
              <w:br/>
              <w:t>к 2020 г.,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Отношение объема инвестиций в основной капитал к валовому региональному продукту, % (приказ №132).</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rFonts w:eastAsia="Calibri"/>
                <w:iCs/>
              </w:rPr>
              <w:t>Количество созданных рабочих мест (накопленным итогом с 2025 г.), тыс. ед.</w:t>
            </w:r>
          </w:p>
        </w:tc>
      </w:tr>
      <w:tr w:rsidR="00E618FE" w:rsidRPr="00535A4B" w:rsidTr="00E618FE">
        <w:trPr>
          <w:trHeight w:val="600"/>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lastRenderedPageBreak/>
              <w:t>10.</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Бурение скважин на Южно-Пудинском лицензионном участке на территории Томской области </w:t>
            </w:r>
            <w:r w:rsidRPr="00535A4B">
              <w:rPr>
                <w:lang w:eastAsia="ar-SA"/>
              </w:rPr>
              <w:br/>
              <w:t>(ООО «Газпромнефть-Восток»)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11 581,0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ПСД разработана</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Темп роста ВРП, в сопоставимых ценах </w:t>
            </w:r>
            <w:r w:rsidRPr="00535A4B">
              <w:rPr>
                <w:lang w:eastAsia="ar-SA"/>
              </w:rPr>
              <w:br/>
              <w:t>к 2020 г.,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Отношение объема инвестиций в основной капитал к валовому региональному продукту, % (приказ № 132)</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11.</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Промышленная разработка участков Туганского ильменит-цирконового россыпного месторождения (первый этап: строительство ГОК мощностью 575 тыс. т рудных песков в год </w:t>
            </w:r>
            <w:r w:rsidRPr="00535A4B">
              <w:rPr>
                <w:lang w:eastAsia="ar-SA"/>
              </w:rPr>
              <w:br/>
              <w:t xml:space="preserve">и освоение Южно-Александровского участка Туганского месторождения, </w:t>
            </w:r>
            <w:r w:rsidRPr="00535A4B">
              <w:rPr>
                <w:lang w:eastAsia="ar-SA"/>
              </w:rPr>
              <w:br/>
              <w:t xml:space="preserve">с последующей модернизацией и увеличением мощности производства), </w:t>
            </w:r>
            <w:r w:rsidRPr="00535A4B">
              <w:rPr>
                <w:lang w:eastAsia="ar-SA"/>
              </w:rPr>
              <w:br/>
              <w:t>АО «ТГОК «Ильменит»</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10 141,0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Проект в стадии реализации</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Темп роста объема производства по виду экономической деятельности «Обрабатывающие производства» (в сопоставимых ценах),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Объем несырьевого неэнергетического экспорта, млрд долл. США.</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Инвестиции в основной капитал (темп роста физического объема), % к 2020 г.</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Количество созданных рабочих мест </w:t>
            </w:r>
            <w:r w:rsidRPr="00535A4B">
              <w:rPr>
                <w:rFonts w:eastAsia="Calibri"/>
                <w:iCs/>
              </w:rPr>
              <w:t>(накопленным итогом с 2025 г.), тыс. ед.</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14600" w:type="dxa"/>
            <w:gridSpan w:val="5"/>
          </w:tcPr>
          <w:p w:rsidR="00E618FE" w:rsidRPr="00535A4B" w:rsidRDefault="00800098">
            <w:pPr>
              <w:tabs>
                <w:tab w:val="left" w:pos="217"/>
              </w:tabs>
              <w:jc w:val="center"/>
              <w:rPr>
                <w:lang w:eastAsia="ar-SA"/>
              </w:rPr>
            </w:pPr>
            <w:r w:rsidRPr="00535A4B">
              <w:rPr>
                <w:lang w:eastAsia="ar-SA"/>
              </w:rPr>
              <w:t>Группа «Технологии»</w:t>
            </w:r>
          </w:p>
        </w:tc>
      </w:tr>
      <w:tr w:rsidR="00E618FE" w:rsidRPr="00535A4B" w:rsidTr="00E618FE">
        <w:trPr>
          <w:trHeight w:val="578"/>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bookmarkStart w:id="230" w:name="_Hlk222690444"/>
            <w:r w:rsidRPr="00535A4B">
              <w:rPr>
                <w:lang w:eastAsia="ar-SA"/>
              </w:rPr>
              <w:t>12.</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Строительство опытно-демонстрационного энергокомплекса </w:t>
            </w:r>
            <w:r w:rsidRPr="00535A4B">
              <w:rPr>
                <w:lang w:eastAsia="ar-SA"/>
              </w:rPr>
              <w:br/>
              <w:t xml:space="preserve">в составе энергоблока </w:t>
            </w:r>
            <w:r w:rsidRPr="00535A4B">
              <w:rPr>
                <w:lang w:eastAsia="ar-SA"/>
              </w:rPr>
              <w:br/>
            </w:r>
            <w:r w:rsidRPr="00535A4B">
              <w:rPr>
                <w:lang w:eastAsia="ar-SA"/>
              </w:rPr>
              <w:lastRenderedPageBreak/>
              <w:t xml:space="preserve">с реактором на быстрых нейтронах со свинцовым теплоносителем </w:t>
            </w:r>
            <w:r w:rsidRPr="00535A4B">
              <w:rPr>
                <w:lang w:eastAsia="ar-SA"/>
              </w:rPr>
              <w:br/>
              <w:t xml:space="preserve">БРЕСТ-ОД-300 </w:t>
            </w:r>
            <w:r w:rsidRPr="00535A4B">
              <w:rPr>
                <w:lang w:eastAsia="ar-SA"/>
              </w:rPr>
              <w:br/>
              <w:t>с пристанционным ядерным топливным циклом (АО «СХК», ГК «Росатом»), ЗАТО Северск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350 000,0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Проект в стадии реализации:</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1-й этап — запущен модуль фабрикации </w:t>
            </w:r>
            <w:r w:rsidRPr="00535A4B">
              <w:rPr>
                <w:lang w:eastAsia="ar-SA"/>
              </w:rPr>
              <w:br/>
            </w:r>
            <w:r w:rsidRPr="00535A4B">
              <w:rPr>
                <w:lang w:eastAsia="ar-SA"/>
              </w:rPr>
              <w:lastRenderedPageBreak/>
              <w:t>и рефабрикации ядерного топлива (25.12.2024).</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2-й этап — ведется строительство опытно-демонстрационного энергоблока с реактором БРЕСТ-ОД-300.</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3-й этап — завершается разработка проектной документации для строительства модуля переработки отработавшего ядерного топлива</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 xml:space="preserve">Доля продукции высокотехнологичных </w:t>
            </w:r>
            <w:r w:rsidRPr="00535A4B">
              <w:rPr>
                <w:lang w:eastAsia="ar-SA"/>
              </w:rPr>
              <w:br/>
              <w:t>и наукоемких отраслей экономики в ВРП,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Объем инновационных товаров, работ, услуг, </w:t>
            </w:r>
            <w:r w:rsidRPr="00535A4B">
              <w:rPr>
                <w:lang w:eastAsia="ar-SA"/>
              </w:rPr>
              <w:br/>
              <w:t xml:space="preserve">млрд руб..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 xml:space="preserve">Объем загрязнений на единицу ВРП, </w:t>
            </w:r>
            <w:r w:rsidRPr="00535A4B">
              <w:rPr>
                <w:lang w:eastAsia="ar-SA"/>
              </w:rPr>
              <w:br/>
              <w:t>тонн/млрд руб. (приказ № 132).</w:t>
            </w:r>
            <w:bookmarkEnd w:id="230"/>
          </w:p>
        </w:tc>
      </w:tr>
      <w:tr w:rsidR="00E618FE" w:rsidRPr="00535A4B" w:rsidTr="00E618FE">
        <w:trPr>
          <w:trHeight w:val="2154"/>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lastRenderedPageBreak/>
              <w:t>13.</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Создание производства переработки обедненного гексафторида урана на площадке АО «СХК» (ООО «Аврора Кемикалс»)</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4 359,0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Прединвестиционная стадия.</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Ведется определение источников и механизмов финансирования проекта</w:t>
            </w:r>
            <w:r w:rsidRPr="00535A4B">
              <w:rPr>
                <w:lang w:eastAsia="ar-SA"/>
              </w:rPr>
              <w:br/>
              <w:t>со стороны ГК «Росатом»</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Доля продукции высокотехнологичных </w:t>
            </w:r>
            <w:r w:rsidRPr="00535A4B">
              <w:rPr>
                <w:lang w:eastAsia="ar-SA"/>
              </w:rPr>
              <w:br/>
              <w:t>и наукоемких отраслей экономики в ВРП,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Объем инновационных товаров, работ, услуг, млрд руб.</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Объем загрязнений на единицу ВРП, </w:t>
            </w:r>
            <w:r w:rsidRPr="00535A4B">
              <w:rPr>
                <w:lang w:eastAsia="ar-SA"/>
              </w:rPr>
              <w:br/>
              <w:t>тонн/млрд руб. (приказ № 132).</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Коэффициент обновления основных фондов, % (приказ № 132)</w:t>
            </w:r>
          </w:p>
        </w:tc>
      </w:tr>
      <w:tr w:rsidR="00E618FE" w:rsidRPr="00535A4B" w:rsidTr="00E618FE">
        <w:trPr>
          <w:trHeight w:val="560"/>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14.</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Создание современного межвузовского кампуса </w:t>
            </w:r>
            <w:r w:rsidRPr="00535A4B">
              <w:rPr>
                <w:lang w:eastAsia="ar-SA"/>
              </w:rPr>
              <w:br/>
              <w:t>в г. Томске (Минобрнауки России, Правительство Томской области, ООО «Томский Студенческий Кампус»</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51 290,0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Разработка проектной документации завершена  в декабре 2025 года. Документация проходит проверку в ФАУ «Главгосэкспертиза России». Итоговая стоимость строительства </w:t>
            </w:r>
            <w:r w:rsidRPr="00535A4B">
              <w:rPr>
                <w:lang w:eastAsia="ar-SA"/>
              </w:rPr>
              <w:lastRenderedPageBreak/>
              <w:t>кампуса будет определена по результатам проверки документации ФАУ «Главгосэкспертиза России»</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Обеспеченность объектами научно-исследовательской инфраструктуры в Томской области на 10 исследователей, единиц / 10 человек (приказ № 132).</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Внутренние затраты на исследования и разработки в ВРП,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Объем инновационных товаров, работ, услуг организаций Томской области, млрд руб.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Удельный вес организаций, осуществляющих технологические инновации, в общем количестве обследованных организаций, % (приказ № 132).</w:t>
            </w:r>
          </w:p>
        </w:tc>
      </w:tr>
      <w:tr w:rsidR="00E618FE" w:rsidRPr="00535A4B" w:rsidTr="00E618FE">
        <w:trPr>
          <w:trHeight w:val="2154"/>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lastRenderedPageBreak/>
              <w:t>15.</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Максимизация мощности производств мономеров </w:t>
            </w:r>
            <w:r w:rsidRPr="00535A4B">
              <w:rPr>
                <w:lang w:eastAsia="ar-SA"/>
              </w:rPr>
              <w:br/>
              <w:t>и ПЭНП (ООО «Томскнефтехим»)</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5 905,0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Проект в стадии реализации</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Темп роста ВРП в сопоставимых ценах </w:t>
            </w:r>
            <w:r w:rsidRPr="00535A4B">
              <w:rPr>
                <w:lang w:eastAsia="ar-SA"/>
              </w:rPr>
              <w:br/>
              <w:t>к 2020 г., % .</w:t>
            </w:r>
          </w:p>
          <w:p w:rsidR="00E618FE" w:rsidRPr="00535A4B" w:rsidRDefault="00800098">
            <w:pPr>
              <w:numPr>
                <w:ilvl w:val="0"/>
                <w:numId w:val="40"/>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Отношение объема инвестиций в основной капитал к ВРП, % (приказ № 132).</w:t>
            </w:r>
          </w:p>
        </w:tc>
      </w:tr>
      <w:tr w:rsidR="00E618FE" w:rsidRPr="00535A4B" w:rsidTr="00E618FE">
        <w:trPr>
          <w:trHeight w:val="2154"/>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16.</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Cs/>
                <w:lang w:eastAsia="ar-SA"/>
              </w:rPr>
            </w:pPr>
            <w:r w:rsidRPr="00535A4B">
              <w:rPr>
                <w:bCs/>
              </w:rPr>
              <w:t>Проект «Создание стратегически значимого производства активных фармацевтических субстанций для обеспечения производства социально значимых лекарственных препаратов полного цикла», ООО «Амехим»</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t>2000,0</w:t>
            </w:r>
          </w:p>
        </w:tc>
        <w:tc>
          <w:tcPr>
            <w:tcW w:w="2977"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Срок реализации </w:t>
            </w:r>
            <w:r w:rsidRPr="00535A4B">
              <w:br/>
              <w:t>2026-2036 гг.</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В 2025 году «АМЕХИМ» получил статус резидента Особой экономической зоны.</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t>Проект реализуется</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Удовлетворенность населения медицинской помощью по результатам оценки общественного мнения.</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Количество созданных рабочих мест (накопленным итогом с 2025 г.), тыс. ед.</w:t>
            </w:r>
          </w:p>
        </w:tc>
      </w:tr>
      <w:tr w:rsidR="00E618FE" w:rsidRPr="00535A4B" w:rsidTr="00E618FE">
        <w:trPr>
          <w:trHeight w:val="2154"/>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17.</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Cs/>
                <w:lang w:eastAsia="ar-SA"/>
              </w:rPr>
            </w:pPr>
            <w:r w:rsidRPr="00535A4B">
              <w:rPr>
                <w:bCs/>
              </w:rPr>
              <w:t xml:space="preserve">Проект «Создание высокотехнологичного производства полного цикла препаратов </w:t>
            </w:r>
            <w:r w:rsidRPr="00535A4B">
              <w:rPr>
                <w:bCs/>
              </w:rPr>
              <w:br/>
              <w:t>из плазмы кр</w:t>
            </w:r>
            <w:r w:rsidR="00F71119">
              <w:rPr>
                <w:bCs/>
              </w:rPr>
              <w:t>ови человека»,</w:t>
            </w:r>
            <w:r w:rsidRPr="00535A4B">
              <w:rPr>
                <w:bCs/>
              </w:rPr>
              <w:t xml:space="preserve"> ООО «Био </w:t>
            </w:r>
            <w:r w:rsidRPr="00535A4B">
              <w:rPr>
                <w:bCs/>
              </w:rPr>
              <w:lastRenderedPageBreak/>
              <w:t>плазма групп» (дочка ООО «Профит фарм»)</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4 500,0</w:t>
            </w:r>
          </w:p>
        </w:tc>
        <w:tc>
          <w:tcPr>
            <w:tcW w:w="2977"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Срок реализации — с 2027 г.</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t>Осуществляется подбор земельных участков</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Удовлетворенность населения медицинской помощью по результатам оценки общественного мнения.</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rFonts w:eastAsia="Calibri"/>
                <w:iCs/>
              </w:rPr>
            </w:pPr>
            <w:r w:rsidRPr="00535A4B">
              <w:rPr>
                <w:rFonts w:eastAsia="Calibri"/>
                <w:iCs/>
              </w:rPr>
              <w:t>Количество созданных рабочих мест (накопленным итогом с 2025 г.), тыс. ед.</w:t>
            </w:r>
          </w:p>
        </w:tc>
      </w:tr>
      <w:tr w:rsidR="00E618FE" w:rsidRPr="00535A4B" w:rsidTr="00E618FE">
        <w:trPr>
          <w:trHeight w:val="1127"/>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18.</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bCs/>
              </w:rPr>
            </w:pPr>
            <w:r w:rsidRPr="00535A4B">
              <w:rPr>
                <w:bCs/>
              </w:rPr>
              <w:t xml:space="preserve">Строительство промышленных энергокомплексов </w:t>
            </w:r>
            <w:r w:rsidRPr="00535A4B">
              <w:rPr>
                <w:bCs/>
              </w:rPr>
              <w:br/>
              <w:t>в г. Северск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Уточняется</w:t>
            </w:r>
          </w:p>
        </w:tc>
        <w:tc>
          <w:tcPr>
            <w:tcW w:w="2977"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Проработка </w:t>
            </w:r>
            <w:r w:rsidRPr="00535A4B">
              <w:br/>
              <w:t>и предварительное планирование</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iCs/>
              </w:rPr>
            </w:pPr>
            <w:r w:rsidRPr="00535A4B">
              <w:rPr>
                <w:rFonts w:eastAsia="Calibri"/>
                <w:iCs/>
              </w:rPr>
              <w:t>До</w:t>
            </w:r>
            <w:r w:rsidRPr="00535A4B">
              <w:rPr>
                <w:rFonts w:eastAsia="PT Astra Serif"/>
                <w:iCs/>
              </w:rPr>
              <w:t>ля продукции высокотехнологичных и наукоемких отраслей экономики в ВРП,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iCs/>
              </w:rPr>
            </w:pPr>
            <w:r w:rsidRPr="00535A4B">
              <w:rPr>
                <w:rFonts w:eastAsia="PT Astra Serif"/>
                <w:iCs/>
              </w:rPr>
              <w:t xml:space="preserve">Объем инновационных товаров, работ, услуг, млрд руб. </w:t>
            </w:r>
          </w:p>
        </w:tc>
      </w:tr>
      <w:tr w:rsidR="00E618FE" w:rsidRPr="00535A4B" w:rsidTr="00E618FE">
        <w:trPr>
          <w:trHeight w:val="547"/>
        </w:trPr>
        <w:tc>
          <w:tcPr>
            <w:cnfStyle w:val="001000000000" w:firstRow="0" w:lastRow="0" w:firstColumn="1" w:lastColumn="0" w:oddVBand="0" w:evenVBand="0" w:oddHBand="0" w:evenHBand="0" w:firstRowFirstColumn="0" w:firstRowLastColumn="0" w:lastRowFirstColumn="0" w:lastRowLastColumn="0"/>
            <w:tcW w:w="14600" w:type="dxa"/>
            <w:gridSpan w:val="5"/>
          </w:tcPr>
          <w:p w:rsidR="00E618FE" w:rsidRPr="00535A4B" w:rsidRDefault="00800098">
            <w:pPr>
              <w:tabs>
                <w:tab w:val="left" w:pos="217"/>
              </w:tabs>
              <w:jc w:val="center"/>
              <w:rPr>
                <w:lang w:eastAsia="ar-SA"/>
              </w:rPr>
            </w:pPr>
            <w:r w:rsidRPr="00535A4B">
              <w:rPr>
                <w:lang w:eastAsia="ar-SA"/>
              </w:rPr>
              <w:t>Группа «Жилье»</w:t>
            </w:r>
          </w:p>
        </w:tc>
      </w:tr>
      <w:tr w:rsidR="00E618FE" w:rsidRPr="00535A4B" w:rsidTr="00E618FE">
        <w:trPr>
          <w:trHeight w:val="2154"/>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19.</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Строительство многоэтажного жилого микрорайона «Левобережный», 4 -й очереди (ООО Группа компаний «Карьероуправление») </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45 230,0</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Завершено строительство котельной, КОС, сетей теплоснабжения 1-й очереди, сетей водоотведения 1-й очереди, сетей водоснабжения, детского сада, жилых домов: № 1, 2, 3, 7/1, 7/2, 7/3, 6, 8, 9, 10, 11, 12, 13, 14, 15. Ведется строительство жилых домов №16, 17, 18</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Общая площадь жилых помещений, приходящаяся в среднем на 1-го жителя Томской области, кв. м (приказ № 132).</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rFonts w:eastAsiaTheme="minorHAnsi"/>
              </w:rPr>
              <w:t>Доля площади жилищного фонда, обеспеченного всеми видами благоустройства, %</w:t>
            </w:r>
          </w:p>
        </w:tc>
      </w:tr>
      <w:tr w:rsidR="00E618FE" w:rsidRPr="00535A4B" w:rsidTr="00E618FE">
        <w:trPr>
          <w:trHeight w:val="985"/>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20.</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 проект «Элеонор»</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242 565,2</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Активная фаза / реализуется.</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t xml:space="preserve">Подписано соглашение </w:t>
            </w:r>
            <w:r w:rsidRPr="00535A4B">
              <w:br/>
              <w:t xml:space="preserve">о сотрудничестве между </w:t>
            </w:r>
            <w:r w:rsidRPr="00535A4B">
              <w:lastRenderedPageBreak/>
              <w:t xml:space="preserve">Администрацией Томской области и АО «Сибагро» </w:t>
            </w:r>
            <w:r w:rsidRPr="00535A4B">
              <w:br/>
              <w:t>от 05.06.2024</w:t>
            </w:r>
            <w:r w:rsidRPr="00535A4B">
              <w:rPr>
                <w:lang w:eastAsia="ar-SA"/>
              </w:rPr>
              <w:t>.</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Ведутся проектные работы, сформирован детальный план первого этапа строительства.</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lastRenderedPageBreak/>
              <w:t xml:space="preserve"> Общая площадь жилых помещений, приходящаяся в среднем на 1-го жителя Томской области, кв. м (приказ № 132).</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rFonts w:eastAsiaTheme="minorHAnsi"/>
              </w:rPr>
              <w:lastRenderedPageBreak/>
              <w:t>Доля площади жилищного фонда, обеспеченного всеми видами благоустройства, %</w:t>
            </w:r>
            <w:r w:rsidRPr="00535A4B">
              <w:rPr>
                <w:lang w:eastAsia="ar-SA"/>
              </w:rPr>
              <w:t xml:space="preserve"> </w:t>
            </w:r>
          </w:p>
        </w:tc>
      </w:tr>
      <w:tr w:rsidR="00E618FE" w:rsidRPr="00535A4B" w:rsidTr="00E618FE">
        <w:trPr>
          <w:trHeight w:val="2154"/>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lastRenderedPageBreak/>
              <w:t>21.</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Строительство ЖК «Ботаника» в восточной части </w:t>
            </w:r>
            <w:r w:rsidRPr="00535A4B">
              <w:rPr>
                <w:lang w:eastAsia="ar-SA"/>
              </w:rPr>
              <w:br/>
              <w:t>г. Томска (ОАО «ТДСК»)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44 261,0 </w:t>
            </w:r>
            <w:r w:rsidRPr="00535A4B">
              <w:rPr>
                <w:lang w:eastAsia="ar-SA"/>
              </w:rPr>
              <w:br/>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Проект в стадии реализации, введено </w:t>
            </w:r>
            <w:r w:rsidRPr="00535A4B">
              <w:rPr>
                <w:lang w:eastAsia="ar-SA"/>
              </w:rPr>
              <w:br/>
              <w:t xml:space="preserve">30 тыс. кв. м квартир, </w:t>
            </w:r>
            <w:r w:rsidRPr="00535A4B">
              <w:rPr>
                <w:lang w:eastAsia="ar-SA"/>
              </w:rPr>
              <w:br/>
              <w:t xml:space="preserve">1 школа на 1100 мест, </w:t>
            </w:r>
            <w:r w:rsidRPr="00535A4B">
              <w:rPr>
                <w:lang w:eastAsia="ar-SA"/>
              </w:rPr>
              <w:br/>
              <w:t>1 детский сад по ул. Демьяна Бедного</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Общая площадь жилых помещений, приходящаяся в среднем на 1-го жителя Томской области, кв. м (приказ № 132).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rFonts w:eastAsiaTheme="minorHAnsi"/>
              </w:rPr>
              <w:t>Доля площади жилищного фонда, обеспеченного всеми видами благоустройства,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Общая площадь жилых помещений, приходящаяся в среднем на 1-го жителя Томской области, кв. м (приказ № 132)</w:t>
            </w:r>
          </w:p>
        </w:tc>
      </w:tr>
      <w:tr w:rsidR="00E618FE" w:rsidRPr="00535A4B" w:rsidTr="00E618FE">
        <w:trPr>
          <w:trHeight w:val="2154"/>
        </w:trPr>
        <w:tc>
          <w:tcPr>
            <w:cnfStyle w:val="001000000000" w:firstRow="0" w:lastRow="0" w:firstColumn="1" w:lastColumn="0" w:oddVBand="0" w:evenVBand="0" w:oddHBand="0" w:evenHBand="0" w:firstRowFirstColumn="0" w:firstRowLastColumn="0" w:lastRowFirstColumn="0" w:lastRowLastColumn="0"/>
            <w:tcW w:w="624" w:type="dxa"/>
          </w:tcPr>
          <w:p w:rsidR="00E618FE" w:rsidRPr="00535A4B" w:rsidRDefault="00800098">
            <w:pPr>
              <w:jc w:val="center"/>
              <w:rPr>
                <w:lang w:eastAsia="ar-SA"/>
              </w:rPr>
            </w:pPr>
            <w:r w:rsidRPr="00535A4B">
              <w:rPr>
                <w:lang w:eastAsia="ar-SA"/>
              </w:rPr>
              <w:t>22.</w:t>
            </w:r>
          </w:p>
        </w:tc>
        <w:tc>
          <w:tcPr>
            <w:tcW w:w="2915"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Строительство жилого района Южные ворота (Томский район), </w:t>
            </w:r>
            <w:r w:rsidRPr="00535A4B">
              <w:rPr>
                <w:lang w:eastAsia="ar-SA"/>
              </w:rPr>
              <w:br/>
              <w:t>1-я очередь (АО «ТДСК»)</w:t>
            </w:r>
          </w:p>
        </w:tc>
        <w:tc>
          <w:tcPr>
            <w:tcW w:w="2126"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35 017,0 —</w:t>
            </w:r>
            <w:r w:rsidRPr="00535A4B">
              <w:rPr>
                <w:lang w:eastAsia="ar-SA"/>
              </w:rPr>
              <w:br/>
              <w:t>1-я</w:t>
            </w:r>
            <w:r w:rsidRPr="00535A4B">
              <w:t> </w:t>
            </w:r>
            <w:r w:rsidRPr="00535A4B">
              <w:rPr>
                <w:lang w:eastAsia="ar-SA"/>
              </w:rPr>
              <w:t>очередь; 96 255,0 —весь проект</w:t>
            </w:r>
          </w:p>
        </w:tc>
        <w:tc>
          <w:tcPr>
            <w:tcW w:w="297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1-я очередь проекта </w:t>
            </w:r>
            <w:r w:rsidRPr="00535A4B">
              <w:rPr>
                <w:lang w:eastAsia="ar-SA"/>
              </w:rPr>
              <w:br/>
              <w:t xml:space="preserve">в стадии завершения, введено 474 тыс. кв. м квартир, 1 школа на 1100 мест, 1 школа-сад </w:t>
            </w:r>
            <w:r w:rsidRPr="00535A4B">
              <w:rPr>
                <w:lang w:eastAsia="ar-SA"/>
              </w:rPr>
              <w:br/>
              <w:t>на 200 мест, 2 детских сада, улицы районного значения, инженерные коммуникации протяженностью, объект инженерной инфраструктуры</w:t>
            </w:r>
          </w:p>
        </w:tc>
        <w:tc>
          <w:tcPr>
            <w:tcW w:w="5958" w:type="dxa"/>
          </w:tcPr>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Общая площадь жилых помещений, приходящаяся в среднем на 1-го жителя Томской области, кв. м (приказ № 132). </w:t>
            </w:r>
          </w:p>
          <w:p w:rsidR="00E618FE" w:rsidRPr="00535A4B" w:rsidRDefault="00800098">
            <w:pPr>
              <w:numPr>
                <w:ilvl w:val="0"/>
                <w:numId w:val="43"/>
              </w:numPr>
              <w:tabs>
                <w:tab w:val="left" w:pos="217"/>
              </w:tabs>
              <w:cnfStyle w:val="000000000000" w:firstRow="0" w:lastRow="0" w:firstColumn="0" w:lastColumn="0" w:oddVBand="0" w:evenVBand="0" w:oddHBand="0" w:evenHBand="0" w:firstRowFirstColumn="0" w:firstRowLastColumn="0" w:lastRowFirstColumn="0" w:lastRowLastColumn="0"/>
              <w:rPr>
                <w:lang w:eastAsia="ar-SA"/>
              </w:rPr>
            </w:pPr>
            <w:r w:rsidRPr="00535A4B">
              <w:rPr>
                <w:rFonts w:eastAsiaTheme="minorHAnsi"/>
              </w:rPr>
              <w:t>Доля площади жилищного фонда, обеспеченного всеми видами благоустройства, %</w:t>
            </w:r>
          </w:p>
        </w:tc>
      </w:tr>
    </w:tbl>
    <w:p w:rsidR="00E618FE" w:rsidRPr="00535A4B" w:rsidRDefault="00E618FE">
      <w:pPr>
        <w:rPr>
          <w:rFonts w:eastAsia="PT Astra Serif"/>
        </w:rPr>
      </w:pPr>
    </w:p>
    <w:p w:rsidR="00E618FE" w:rsidRPr="00535A4B" w:rsidRDefault="00E618FE">
      <w:pPr>
        <w:pStyle w:val="a4"/>
        <w:rPr>
          <w:rFonts w:ascii="Times New Roman" w:eastAsia="PT Astra Serif" w:hAnsi="Times New Roman"/>
          <w:color w:val="auto"/>
          <w:lang w:eastAsia="en-US" w:bidi="en-US"/>
        </w:rPr>
        <w:sectPr w:rsidR="00E618FE" w:rsidRPr="00535A4B">
          <w:pgSz w:w="16838" w:h="11906" w:orient="landscape"/>
          <w:pgMar w:top="1701" w:right="1134" w:bottom="851" w:left="1134" w:header="283" w:footer="283" w:gutter="0"/>
          <w:cols w:space="708"/>
          <w:docGrid w:linePitch="360"/>
        </w:sectPr>
      </w:pPr>
    </w:p>
    <w:p w:rsidR="00E618FE" w:rsidRPr="00535A4B" w:rsidRDefault="00800098">
      <w:pPr>
        <w:pStyle w:val="10"/>
        <w:rPr>
          <w:rFonts w:ascii="Times New Roman" w:eastAsia="PT Astra Serif" w:hAnsi="Times New Roman" w:cs="Times New Roman"/>
          <w:lang w:val="ru-RU"/>
        </w:rPr>
      </w:pPr>
      <w:bookmarkStart w:id="231" w:name="_Toc235810177"/>
      <w:bookmarkStart w:id="232" w:name="_Toc238554565"/>
      <w:r w:rsidRPr="00535A4B">
        <w:rPr>
          <w:rFonts w:ascii="Times New Roman" w:eastAsia="PT Astra Serif" w:hAnsi="Times New Roman" w:cs="Times New Roman"/>
          <w:lang w:val="ru-RU"/>
        </w:rPr>
        <w:lastRenderedPageBreak/>
        <w:t>17. Ресурсное обеспечение реализации Стратегии, в том числе оценка финансовых ресурсов, необходимых для реализации Стратегии</w:t>
      </w:r>
      <w:bookmarkEnd w:id="228"/>
      <w:bookmarkEnd w:id="231"/>
      <w:bookmarkEnd w:id="232"/>
    </w:p>
    <w:p w:rsidR="00E618FE" w:rsidRPr="00535A4B" w:rsidRDefault="00E618FE">
      <w:pPr>
        <w:pStyle w:val="a4"/>
        <w:rPr>
          <w:rFonts w:ascii="Times New Roman" w:hAnsi="Times New Roman"/>
          <w:b/>
          <w:bCs/>
          <w:color w:val="auto"/>
          <w14:ligatures w14:val="standardContextual"/>
        </w:rPr>
      </w:pPr>
    </w:p>
    <w:p w:rsidR="00E618FE" w:rsidRPr="00F71119" w:rsidRDefault="00800098">
      <w:pPr>
        <w:ind w:firstLine="709"/>
        <w:jc w:val="both"/>
        <w:rPr>
          <w:sz w:val="26"/>
          <w:szCs w:val="26"/>
          <w14:ligatures w14:val="standardContextual"/>
        </w:rPr>
      </w:pPr>
      <w:r w:rsidRPr="00F71119">
        <w:rPr>
          <w:sz w:val="26"/>
          <w:szCs w:val="26"/>
          <w14:ligatures w14:val="standardContextual"/>
        </w:rPr>
        <w:t>Реализация Стратегии потребует мобилизации значительных финансовых ресурсов. Они будут формироваться за счет средств бюджетной системы (федеральный бюджет, областной бюджет, местные бюджеты), государственных внебюджетных фондов, институтов развития, собственных и привлеченных средств предприятий-инвесторов, а также возможностей банковской системы. Прогнозируемый общий объем финансовых ресурсов, необходимых для реализации мероприятий Плана реализации Стратегии, оценивается в 5 522 млрд рублей.</w:t>
      </w:r>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Достижение стратегических целей и задач социально-экономического развития Томской области за счет средств регионального бюджета будет осуществляться в рамках реализации государственных программ Томской области, структура которых приведена в соответствие с новой системой регионального целеполагания. Расходы областного бюджета формируются с учетом безусловного приоритета выполнения действующих расходных обязательств, задач, определенных указами Президента Российской Федерации, а также исходя </w:t>
      </w:r>
      <w:r w:rsidR="00F71119">
        <w:rPr>
          <w:sz w:val="26"/>
          <w:szCs w:val="26"/>
          <w14:ligatures w14:val="standardContextual"/>
        </w:rPr>
        <w:br/>
      </w:r>
      <w:r w:rsidRPr="00F71119">
        <w:rPr>
          <w:sz w:val="26"/>
          <w:szCs w:val="26"/>
          <w14:ligatures w14:val="standardContextual"/>
        </w:rPr>
        <w:t xml:space="preserve">из реальных возможностей консолидированного бюджета. Общий объем средств областного бюджета на финансирование мероприятий Стратегии ожидается </w:t>
      </w:r>
      <w:r w:rsidR="00F71119">
        <w:rPr>
          <w:sz w:val="26"/>
          <w:szCs w:val="26"/>
          <w14:ligatures w14:val="standardContextual"/>
        </w:rPr>
        <w:br/>
      </w:r>
      <w:r w:rsidRPr="00F71119">
        <w:rPr>
          <w:sz w:val="26"/>
          <w:szCs w:val="26"/>
          <w14:ligatures w14:val="standardContextual"/>
        </w:rPr>
        <w:t>на уровне 991 млрд рублей.</w:t>
      </w:r>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Объем средств из федерального бюджета на софинансирование государственных программ Российской Федерации и национальных проектов прогнозируется на уровне 194 млрд рублей. Привлечение средств федерального бюджета планируется осуществлять в соответствии с действующим порядком финансирования государственных программ Российской Федерации, правилами предоставления бюджетных ассигнований. Будет активизирована работа </w:t>
      </w:r>
      <w:r w:rsidR="00F71119">
        <w:rPr>
          <w:sz w:val="26"/>
          <w:szCs w:val="26"/>
          <w14:ligatures w14:val="standardContextual"/>
        </w:rPr>
        <w:br/>
      </w:r>
      <w:r w:rsidRPr="00F71119">
        <w:rPr>
          <w:sz w:val="26"/>
          <w:szCs w:val="26"/>
          <w14:ligatures w14:val="standardContextual"/>
        </w:rPr>
        <w:t xml:space="preserve">по представлению интересов региона на федеральном уровне, в том числе </w:t>
      </w:r>
      <w:r w:rsidR="00F71119">
        <w:rPr>
          <w:sz w:val="26"/>
          <w:szCs w:val="26"/>
          <w14:ligatures w14:val="standardContextual"/>
        </w:rPr>
        <w:br/>
      </w:r>
      <w:r w:rsidRPr="00F71119">
        <w:rPr>
          <w:sz w:val="26"/>
          <w:szCs w:val="26"/>
          <w14:ligatures w14:val="standardContextual"/>
        </w:rPr>
        <w:t xml:space="preserve">по включению приоритетных инфраструктурных, научно-технологических </w:t>
      </w:r>
      <w:r w:rsidR="00F71119">
        <w:rPr>
          <w:sz w:val="26"/>
          <w:szCs w:val="26"/>
          <w14:ligatures w14:val="standardContextual"/>
        </w:rPr>
        <w:br/>
      </w:r>
      <w:r w:rsidRPr="00F71119">
        <w:rPr>
          <w:sz w:val="26"/>
          <w:szCs w:val="26"/>
          <w14:ligatures w14:val="standardContextual"/>
        </w:rPr>
        <w:t xml:space="preserve">и социальных объектов Томской области в состав государственных программ Российской Федерации. </w:t>
      </w:r>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Финансирование мероприятий Стратегии за счет средств местных бюджетов будет осуществляться в рамках полномочий органов местного самоуправления </w:t>
      </w:r>
      <w:r w:rsidR="00F71119">
        <w:rPr>
          <w:sz w:val="26"/>
          <w:szCs w:val="26"/>
          <w14:ligatures w14:val="standardContextual"/>
        </w:rPr>
        <w:br/>
      </w:r>
      <w:r w:rsidRPr="00F71119">
        <w:rPr>
          <w:sz w:val="26"/>
          <w:szCs w:val="26"/>
          <w14:ligatures w14:val="standardContextual"/>
        </w:rPr>
        <w:t xml:space="preserve">и с учетом приоритетов социально-экономического развития муниципальных образований. Объем средств местных бюджетов на реализацию Стратегии оценивается на уровне 350 млрд рублей. Основные направления расходования средств включают благоустройство территорий, развитие локальной транспортной и инженерной инфраструктуры, поддержку местных инициатив в сфере образования, культуры, спорта и жилищно-коммунального хозяйства. </w:t>
      </w:r>
      <w:r w:rsidR="00F71119">
        <w:rPr>
          <w:sz w:val="26"/>
          <w:szCs w:val="26"/>
          <w14:ligatures w14:val="standardContextual"/>
        </w:rPr>
        <w:br/>
      </w:r>
      <w:r w:rsidRPr="00F71119">
        <w:rPr>
          <w:sz w:val="26"/>
          <w:szCs w:val="26"/>
          <w14:ligatures w14:val="standardContextual"/>
        </w:rPr>
        <w:t xml:space="preserve">Для повышения финансовой устойчивости муниципальных образований предусматривается совершенствование межбюджетных отношений, стимулирование наращивания собственной доходной базы местных бюджетов, </w:t>
      </w:r>
      <w:r w:rsidR="00F71119">
        <w:rPr>
          <w:sz w:val="26"/>
          <w:szCs w:val="26"/>
          <w14:ligatures w14:val="standardContextual"/>
        </w:rPr>
        <w:br/>
      </w:r>
      <w:r w:rsidRPr="00F71119">
        <w:rPr>
          <w:sz w:val="26"/>
          <w:szCs w:val="26"/>
          <w14:ligatures w14:val="standardContextual"/>
        </w:rPr>
        <w:t>а также использование механизмов инициативного бюджетирования для вовлечения жителей в решение вопросов местного значения.</w:t>
      </w:r>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В целом объем бюджетных средств оценивается на уровне </w:t>
      </w:r>
      <w:r w:rsidRPr="00F71119">
        <w:rPr>
          <w:sz w:val="26"/>
          <w:szCs w:val="26"/>
          <w14:ligatures w14:val="standardContextual"/>
        </w:rPr>
        <w:br/>
        <w:t>1 535 млрд рублей.</w:t>
      </w:r>
      <w:bookmarkStart w:id="233" w:name="_Hlk235267478"/>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Кроме того, в объем финансовых ресурсов, необходимых для реализации мероприятий Плана реализации Стратегии, включены средства федерального </w:t>
      </w:r>
      <w:r w:rsidRPr="00F71119">
        <w:rPr>
          <w:sz w:val="26"/>
          <w:szCs w:val="26"/>
          <w14:ligatures w14:val="standardContextual"/>
        </w:rPr>
        <w:lastRenderedPageBreak/>
        <w:t xml:space="preserve">бюджета, минующие консолидированный бюджет региона и направляемые непосредственно получателям (гранты, субсидии, займы федеральных фондов, финансирование федеральных учреждений и госкорпораций), в сумме </w:t>
      </w:r>
      <w:r w:rsidR="00F71119">
        <w:rPr>
          <w:sz w:val="26"/>
          <w:szCs w:val="26"/>
          <w14:ligatures w14:val="standardContextual"/>
        </w:rPr>
        <w:br/>
      </w:r>
      <w:r w:rsidRPr="00F71119">
        <w:rPr>
          <w:sz w:val="26"/>
          <w:szCs w:val="26"/>
          <w14:ligatures w14:val="standardContextual"/>
        </w:rPr>
        <w:t>659 млрд рублей. Указанные средства обеспечивают реализацию на территории Томской области федеральных приоритетов в сфере технологического лидерства, научно-технологического развития и инфраструктурного строительства.</w:t>
      </w:r>
      <w:bookmarkEnd w:id="233"/>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Для реализации целей Стратегии необходимо масштабное привлечение внебюджетных средств отечественных и иностранных инвесторов. Их объем составит 3 328 млрд рублей. Ключевая задача по интенсивному развитию передовых производств и технологическому суверенитету может быть решена в результате увеличения объема привлекаемых внешних инвестиций в два раза по сравнению </w:t>
      </w:r>
      <w:r w:rsidR="00F71119">
        <w:rPr>
          <w:sz w:val="26"/>
          <w:szCs w:val="26"/>
          <w14:ligatures w14:val="standardContextual"/>
        </w:rPr>
        <w:br/>
      </w:r>
      <w:r w:rsidRPr="00F71119">
        <w:rPr>
          <w:sz w:val="26"/>
          <w:szCs w:val="26"/>
          <w14:ligatures w14:val="standardContextual"/>
        </w:rPr>
        <w:t xml:space="preserve">с базовым уровнем. Акцент будет сделан на проектах глубокой переработки сырья, развитии микроэлектроники, химии высоких переделов, беспилотных систем, </w:t>
      </w:r>
      <w:r w:rsidR="00F71119">
        <w:rPr>
          <w:sz w:val="26"/>
          <w:szCs w:val="26"/>
          <w14:ligatures w14:val="standardContextual"/>
        </w:rPr>
        <w:br/>
      </w:r>
      <w:r w:rsidRPr="00F71119">
        <w:rPr>
          <w:sz w:val="26"/>
          <w:szCs w:val="26"/>
          <w14:ligatures w14:val="standardContextual"/>
        </w:rPr>
        <w:t>а также на комплексном освоении территорий.</w:t>
      </w:r>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Динамика структуры ресурсов демонстрирует устойчивый сдвиг в сторону частных инвестиций: их доля возрастет с 54% (в предыдущей редакции) до 61%. Факторами изменения объема финансовых ресурсов с одной стороны выступают необходимость выполнения национальных проектов и масштабных инфраструктурных мегапроектов (таких как проект «Прорыв», «Элеонор», кластеры микроэлектроники и химии), требующих прямых инвестиций корпораций и бизнеса, с другой — макроэкономические ограничения, включая ожидаемое после 2030 года снижение доли нефтегазовых доходов в федеральном бюджете, что объективно ограничивает возможности прямого федерального софинансирования и требует </w:t>
      </w:r>
      <w:r w:rsidR="00F71119">
        <w:rPr>
          <w:sz w:val="26"/>
          <w:szCs w:val="26"/>
          <w14:ligatures w14:val="standardContextual"/>
        </w:rPr>
        <w:br/>
      </w:r>
      <w:r w:rsidRPr="00F71119">
        <w:rPr>
          <w:sz w:val="26"/>
          <w:szCs w:val="26"/>
          <w14:ligatures w14:val="standardContextual"/>
        </w:rPr>
        <w:t>от региона повышения эффективности собственных доходов, оптимизации расходов и активного внедрения механизмов ГЧП и концессий.</w:t>
      </w:r>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Реализация Стратегии сопряжена с рисками волатильности налоговых поступлений (зависимость от цен на углеводороды и прибыли градообразующих предприятий) и сохранения высокой ключевой ставки ЦБ РФ, удорожающей кредитные ресурсы. Финансовая устойчивость региона обеспечивается за счет оптимизации госдолга, стимулирования частных инвестиций и жесткой привязки бюджетных расходов к достижению стратегических результатов. Распределение </w:t>
      </w:r>
      <w:r w:rsidR="00F71119">
        <w:rPr>
          <w:sz w:val="26"/>
          <w:szCs w:val="26"/>
          <w14:ligatures w14:val="standardContextual"/>
        </w:rPr>
        <w:br/>
      </w:r>
      <w:r w:rsidRPr="00F71119">
        <w:rPr>
          <w:sz w:val="26"/>
          <w:szCs w:val="26"/>
          <w14:ligatures w14:val="standardContextual"/>
        </w:rPr>
        <w:t>и целевое использование бюджетных и инвестиционных ресурсов будет строго синхронизировано с шестью Региональными целями и их стратегическими приоритетами.</w:t>
      </w:r>
    </w:p>
    <w:p w:rsidR="00E618FE" w:rsidRPr="00F71119" w:rsidRDefault="00800098">
      <w:pPr>
        <w:ind w:firstLine="709"/>
        <w:jc w:val="both"/>
        <w:rPr>
          <w:sz w:val="26"/>
          <w:szCs w:val="26"/>
          <w14:ligatures w14:val="standardContextual"/>
        </w:rPr>
      </w:pPr>
      <w:r w:rsidRPr="00F71119">
        <w:rPr>
          <w:sz w:val="26"/>
          <w:szCs w:val="26"/>
          <w14:ligatures w14:val="standardContextual"/>
        </w:rPr>
        <w:t xml:space="preserve">Таким образом, выстроенная модель ресурсного обеспечения, сочетающая бюджетную дисциплину с масштабным привлечением внебюджетных инвестиций, создаст надежный финансовый фундамент для достижения всех региональных целей, устойчивого перехода к экономике знаний и повышения качества жизни </w:t>
      </w:r>
      <w:r w:rsidR="00F71119">
        <w:rPr>
          <w:sz w:val="26"/>
          <w:szCs w:val="26"/>
          <w14:ligatures w14:val="standardContextual"/>
        </w:rPr>
        <w:br/>
      </w:r>
      <w:r w:rsidRPr="00F71119">
        <w:rPr>
          <w:sz w:val="26"/>
          <w:szCs w:val="26"/>
          <w14:ligatures w14:val="standardContextual"/>
        </w:rPr>
        <w:t>в Томской области до 2036 года.</w:t>
      </w:r>
    </w:p>
    <w:p w:rsidR="00E618FE" w:rsidRPr="00535A4B" w:rsidRDefault="00E618FE">
      <w:pPr>
        <w:pStyle w:val="a4"/>
        <w:rPr>
          <w:rFonts w:ascii="Times New Roman" w:hAnsi="Times New Roman"/>
          <w:b/>
          <w:bCs/>
          <w:color w:val="auto"/>
          <w14:ligatures w14:val="standardContextual"/>
        </w:rPr>
      </w:pPr>
    </w:p>
    <w:p w:rsidR="00E618FE" w:rsidRPr="00535A4B" w:rsidRDefault="00800098">
      <w:pPr>
        <w:spacing w:after="160" w:line="259" w:lineRule="auto"/>
        <w:rPr>
          <w:rFonts w:eastAsia="PT Astra Serif"/>
          <w:b/>
          <w:caps/>
          <w:sz w:val="28"/>
          <w:szCs w:val="32"/>
          <w:lang w:eastAsia="en-US" w:bidi="en-US"/>
        </w:rPr>
      </w:pPr>
      <w:bookmarkStart w:id="234" w:name="_Hlk228534870"/>
      <w:r w:rsidRPr="00535A4B">
        <w:rPr>
          <w:rFonts w:eastAsia="PT Astra Serif"/>
        </w:rPr>
        <w:br w:type="page" w:clear="all"/>
      </w:r>
    </w:p>
    <w:p w:rsidR="00E618FE" w:rsidRPr="00535A4B" w:rsidRDefault="00800098">
      <w:pPr>
        <w:pStyle w:val="10"/>
        <w:rPr>
          <w:rFonts w:ascii="Times New Roman" w:eastAsia="PT Astra Serif" w:hAnsi="Times New Roman" w:cs="Times New Roman"/>
          <w:lang w:val="ru-RU"/>
        </w:rPr>
      </w:pPr>
      <w:bookmarkStart w:id="235" w:name="_Toc235810178"/>
      <w:bookmarkStart w:id="236" w:name="_Hlk231182295"/>
      <w:bookmarkStart w:id="237" w:name="_Toc238554566"/>
      <w:r w:rsidRPr="00535A4B">
        <w:rPr>
          <w:rFonts w:ascii="Times New Roman" w:eastAsia="PT Astra Serif" w:hAnsi="Times New Roman" w:cs="Times New Roman"/>
          <w:lang w:val="ru-RU"/>
        </w:rPr>
        <w:lastRenderedPageBreak/>
        <w:t>18. Механизмы реализации и организация управления Стратегией</w:t>
      </w:r>
      <w:bookmarkEnd w:id="218"/>
      <w:bookmarkEnd w:id="235"/>
      <w:bookmarkEnd w:id="236"/>
      <w:bookmarkEnd w:id="237"/>
    </w:p>
    <w:p w:rsidR="00E618FE" w:rsidRPr="00535A4B" w:rsidRDefault="00E618FE">
      <w:pPr>
        <w:pStyle w:val="a4"/>
        <w:rPr>
          <w:rFonts w:ascii="Times New Roman" w:hAnsi="Times New Roman"/>
          <w:color w:val="auto"/>
        </w:rPr>
      </w:pP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Ключевым принципом реализации Стратегии является создание системы эффективного взаимодействия органов государственной власти регионального </w:t>
      </w:r>
      <w:r w:rsidR="00F71119">
        <w:rPr>
          <w:rFonts w:ascii="Times New Roman" w:hAnsi="Times New Roman"/>
          <w:color w:val="auto"/>
          <w:sz w:val="26"/>
          <w:szCs w:val="26"/>
        </w:rPr>
        <w:br/>
      </w:r>
      <w:r w:rsidRPr="00F71119">
        <w:rPr>
          <w:rFonts w:ascii="Times New Roman" w:hAnsi="Times New Roman"/>
          <w:color w:val="auto"/>
          <w:sz w:val="26"/>
          <w:szCs w:val="26"/>
        </w:rPr>
        <w:t>и федерального уровней, научного и бизнес-сообщества, а также гражданского общества.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На уровне субъекта Российской Федерации 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 определенные федеральным законодательством и законодательством Томской области. Стратегия утверждается Законодательной Думой Томской области. Разработка проекта Стратегии </w:t>
      </w:r>
      <w:r w:rsidR="00F71119">
        <w:rPr>
          <w:rFonts w:ascii="Times New Roman" w:hAnsi="Times New Roman"/>
          <w:color w:val="auto"/>
          <w:sz w:val="26"/>
          <w:szCs w:val="26"/>
        </w:rPr>
        <w:br/>
      </w:r>
      <w:r w:rsidRPr="00F71119">
        <w:rPr>
          <w:rFonts w:ascii="Times New Roman" w:hAnsi="Times New Roman"/>
          <w:color w:val="auto"/>
          <w:sz w:val="26"/>
          <w:szCs w:val="26"/>
        </w:rPr>
        <w:t xml:space="preserve">и ее корректировка обеспечиваются Правительством Томской области </w:t>
      </w:r>
      <w:r w:rsidR="00F71119">
        <w:rPr>
          <w:rFonts w:ascii="Times New Roman" w:hAnsi="Times New Roman"/>
          <w:color w:val="auto"/>
          <w:sz w:val="26"/>
          <w:szCs w:val="26"/>
        </w:rPr>
        <w:br/>
      </w:r>
      <w:r w:rsidRPr="00F71119">
        <w:rPr>
          <w:rFonts w:ascii="Times New Roman" w:hAnsi="Times New Roman"/>
          <w:color w:val="auto"/>
          <w:sz w:val="26"/>
          <w:szCs w:val="26"/>
        </w:rPr>
        <w:t>при методическом руководстве Департамента экономики Правительства Томской области. Документы стратегического планирования муниципальных образований Томской области учитывают положения Стратегии.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В целях обеспечения гибкости Стратегии и ее соответствия возникающим вызовам социально-экономического развития предусмотрена возможность </w:t>
      </w:r>
      <w:r w:rsidR="00F71119">
        <w:rPr>
          <w:rFonts w:ascii="Times New Roman" w:hAnsi="Times New Roman"/>
          <w:color w:val="auto"/>
          <w:sz w:val="26"/>
          <w:szCs w:val="26"/>
        </w:rPr>
        <w:br/>
      </w:r>
      <w:r w:rsidRPr="00F71119">
        <w:rPr>
          <w:rFonts w:ascii="Times New Roman" w:hAnsi="Times New Roman"/>
          <w:color w:val="auto"/>
          <w:sz w:val="26"/>
          <w:szCs w:val="26"/>
        </w:rPr>
        <w:t>ее корректировки не реже одного раза в 6 лет с целью продления периода действия при изменении внутренних и внешних факторов и необходимости пересмотра параметров Стратегии.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Одним из основных инструментов управления Стратегией является План мероприятий по ее реализации. В соответствии с требованиями федерального законодательства План мероприятий содержит комплексы мероприятий, перечень государственных программ Томской области, обеспечивающих достижение </w:t>
      </w:r>
      <w:r w:rsidR="00F71119">
        <w:rPr>
          <w:rFonts w:ascii="Times New Roman" w:hAnsi="Times New Roman"/>
          <w:color w:val="auto"/>
          <w:sz w:val="26"/>
          <w:szCs w:val="26"/>
        </w:rPr>
        <w:br/>
      </w:r>
      <w:r w:rsidRPr="00F71119">
        <w:rPr>
          <w:rFonts w:ascii="Times New Roman" w:hAnsi="Times New Roman"/>
          <w:color w:val="auto"/>
          <w:sz w:val="26"/>
          <w:szCs w:val="26"/>
        </w:rPr>
        <w:t>на каждом этапе реализации долгосрочных целей социально-экономического развития Томской области.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Для реализации Стратегии будут привлечены финансовые ресурсы, источниками которых станут бюджетные (федеральный бюджет, областной бюджет, местные бюджеты) и внебюджетные средства.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Государственные программы являются основным инструментом достижения целей и задач Стратегии. Они обеспечивают перевод долгосрочных стратегических ориентиров в конкретные мероприятия, измеримые результаты и ресурсные обязательства. Госпрограммы интегрированы в бюджетный процесс и обеспечивают финансовую реализуемость Стратегии. Данная интеграция осуществляется на всех стадиях бюджетного цикла в соответствии с требованиями Бюджетного кодекса Российской Федерации и нормативными актами Томской области. </w:t>
      </w:r>
      <w:r w:rsidRPr="00F71119">
        <w:rPr>
          <w:rFonts w:ascii="Times New Roman" w:hAnsi="Times New Roman"/>
          <w:color w:val="auto"/>
          <w:sz w:val="26"/>
          <w:szCs w:val="26"/>
        </w:rPr>
        <w:br/>
        <w:t xml:space="preserve">В рамках стратегического управления предполагается приведение действующих </w:t>
      </w:r>
      <w:r w:rsidR="00F71119">
        <w:rPr>
          <w:rFonts w:ascii="Times New Roman" w:hAnsi="Times New Roman"/>
          <w:color w:val="auto"/>
          <w:sz w:val="26"/>
          <w:szCs w:val="26"/>
        </w:rPr>
        <w:br/>
      </w:r>
      <w:r w:rsidRPr="00F71119">
        <w:rPr>
          <w:rFonts w:ascii="Times New Roman" w:hAnsi="Times New Roman"/>
          <w:color w:val="auto"/>
          <w:sz w:val="26"/>
          <w:szCs w:val="26"/>
        </w:rPr>
        <w:t xml:space="preserve">и разработка новых государственных программ в соответствие с целями </w:t>
      </w:r>
      <w:r w:rsidR="00F71119">
        <w:rPr>
          <w:rFonts w:ascii="Times New Roman" w:hAnsi="Times New Roman"/>
          <w:color w:val="auto"/>
          <w:sz w:val="26"/>
          <w:szCs w:val="26"/>
        </w:rPr>
        <w:br/>
      </w:r>
      <w:r w:rsidRPr="00F71119">
        <w:rPr>
          <w:rFonts w:ascii="Times New Roman" w:hAnsi="Times New Roman"/>
          <w:color w:val="auto"/>
          <w:sz w:val="26"/>
          <w:szCs w:val="26"/>
        </w:rPr>
        <w:t xml:space="preserve">и направлениями развития, обозначенными в Стратегии. Планируемый перечень государственных программ Томской области представлен в приложении Е.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Организацию мониторинга реализации Стратегии осуществляет Правительство Томской области. Председатель Правительства Томской области обеспечивает сводку данных, подготовку аналитических материалов и предложений по корректировке Стратегии на основе результатов мониторинга.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Документами, в которых отражаются результаты мониторинга реализации Стратегии, являются ежегодный отчет о результатах деятельности Правительства Томской области, содержащий результаты мониторинга реализации документов </w:t>
      </w:r>
      <w:r w:rsidRPr="00F71119">
        <w:rPr>
          <w:rFonts w:ascii="Times New Roman" w:hAnsi="Times New Roman"/>
          <w:color w:val="auto"/>
          <w:sz w:val="26"/>
          <w:szCs w:val="26"/>
        </w:rPr>
        <w:lastRenderedPageBreak/>
        <w:t xml:space="preserve">стратегического планирования Томской области, а также отчет о ходе исполнения плана мероприятий по реализации стратегии социально-экономического развития Томской области, сводный годовой доклад о ходе реализации и об оценке эффективности государственных программ Томской области. Результаты мониторинга реализации Стратегии подлежат размещению на официальном сайте Правительства Томской области в «сети Интернет», за исключением сведений, отнесенных к государственной, коммерческой, служебной и иной охраняемой законом тайне.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Внутренний контроль за реализацией Стратегии в системе исполнительных органов Томской области осуществляет Председатель Правительства Томской области. Внешний контроль осуществляется Законодательной Думой Томской области. В этих целях Законодательная Дума Томской области взаимодействует </w:t>
      </w:r>
      <w:r w:rsidR="00F71119">
        <w:rPr>
          <w:rFonts w:ascii="Times New Roman" w:hAnsi="Times New Roman"/>
          <w:color w:val="auto"/>
          <w:sz w:val="26"/>
          <w:szCs w:val="26"/>
        </w:rPr>
        <w:br/>
      </w:r>
      <w:r w:rsidRPr="00F71119">
        <w:rPr>
          <w:rFonts w:ascii="Times New Roman" w:hAnsi="Times New Roman"/>
          <w:color w:val="auto"/>
          <w:sz w:val="26"/>
          <w:szCs w:val="26"/>
        </w:rPr>
        <w:t xml:space="preserve">с Контрольно-счетной палатой Томской области и Общественной палатой Томской области. Реализация Стратегии предусматривает активное участие населения </w:t>
      </w:r>
      <w:r w:rsidR="00F71119">
        <w:rPr>
          <w:rFonts w:ascii="Times New Roman" w:hAnsi="Times New Roman"/>
          <w:color w:val="auto"/>
          <w:sz w:val="26"/>
          <w:szCs w:val="26"/>
        </w:rPr>
        <w:br/>
      </w:r>
      <w:r w:rsidRPr="00F71119">
        <w:rPr>
          <w:rFonts w:ascii="Times New Roman" w:hAnsi="Times New Roman"/>
          <w:color w:val="auto"/>
          <w:sz w:val="26"/>
          <w:szCs w:val="26"/>
        </w:rPr>
        <w:t xml:space="preserve">и экспертного сообщества. Для повышения уровня открытости при реализации Стратегии обеспечивается раскрытие информации о деятельности участников реализации Стратегии, размещение открытых данных по реализации в сети «Интернет», в том числе с возможностью внесения предложений </w:t>
      </w:r>
      <w:r w:rsidRPr="00F71119">
        <w:rPr>
          <w:rFonts w:ascii="Times New Roman" w:hAnsi="Times New Roman"/>
          <w:color w:val="auto"/>
          <w:sz w:val="26"/>
          <w:szCs w:val="26"/>
        </w:rPr>
        <w:br/>
        <w:t xml:space="preserve">и комментариев онлайн по актуальным вопросам реализации Стратегии </w:t>
      </w:r>
      <w:r w:rsidRPr="00F71119">
        <w:rPr>
          <w:rFonts w:ascii="Times New Roman" w:hAnsi="Times New Roman"/>
          <w:color w:val="auto"/>
          <w:sz w:val="26"/>
          <w:szCs w:val="26"/>
        </w:rPr>
        <w:br/>
        <w:t>в целом.</w:t>
      </w:r>
    </w:p>
    <w:p w:rsidR="00E618FE" w:rsidRPr="00535A4B" w:rsidRDefault="00E618FE">
      <w:pPr>
        <w:pStyle w:val="a4"/>
        <w:rPr>
          <w:rFonts w:ascii="Times New Roman" w:hAnsi="Times New Roman"/>
          <w:color w:val="auto"/>
        </w:rPr>
      </w:pPr>
    </w:p>
    <w:p w:rsidR="00E618FE" w:rsidRPr="00535A4B" w:rsidRDefault="00800098">
      <w:pPr>
        <w:spacing w:after="160" w:line="259" w:lineRule="auto"/>
        <w:rPr>
          <w:rFonts w:eastAsia="PT Astra Serif"/>
          <w:b/>
          <w:caps/>
          <w:sz w:val="28"/>
          <w:szCs w:val="32"/>
          <w:lang w:eastAsia="en-US" w:bidi="en-US"/>
        </w:rPr>
      </w:pPr>
      <w:r w:rsidRPr="00535A4B">
        <w:rPr>
          <w:rFonts w:eastAsia="PT Astra Serif"/>
        </w:rPr>
        <w:br w:type="page" w:clear="all"/>
      </w:r>
    </w:p>
    <w:p w:rsidR="00E618FE" w:rsidRPr="00535A4B" w:rsidRDefault="00800098">
      <w:pPr>
        <w:pStyle w:val="10"/>
        <w:rPr>
          <w:rFonts w:ascii="Times New Roman" w:eastAsia="PT Astra Serif" w:hAnsi="Times New Roman" w:cs="Times New Roman"/>
          <w:lang w:val="ru-RU"/>
        </w:rPr>
      </w:pPr>
      <w:bookmarkStart w:id="238" w:name="_Toc235810179"/>
      <w:bookmarkStart w:id="239" w:name="_Toc238554567"/>
      <w:r w:rsidRPr="00535A4B">
        <w:rPr>
          <w:rFonts w:ascii="Times New Roman" w:eastAsia="PT Astra Serif" w:hAnsi="Times New Roman" w:cs="Times New Roman"/>
          <w:lang w:val="ru-RU"/>
        </w:rPr>
        <w:lastRenderedPageBreak/>
        <w:t>19 Этапы и сроки реализации Стратегии</w:t>
      </w:r>
      <w:bookmarkEnd w:id="238"/>
      <w:bookmarkEnd w:id="239"/>
    </w:p>
    <w:p w:rsidR="00E618FE" w:rsidRPr="00535A4B" w:rsidRDefault="00E618FE">
      <w:pPr>
        <w:pStyle w:val="a4"/>
        <w:rPr>
          <w:rFonts w:ascii="Times New Roman" w:eastAsia="PT Astra Serif" w:hAnsi="Times New Roman"/>
          <w:color w:val="auto"/>
          <w:lang w:bidi="en-US"/>
        </w:rPr>
      </w:pPr>
    </w:p>
    <w:p w:rsidR="00E618FE" w:rsidRPr="00F71119" w:rsidRDefault="00800098">
      <w:pPr>
        <w:pStyle w:val="a4"/>
        <w:rPr>
          <w:rFonts w:ascii="Times New Roman" w:hAnsi="Times New Roman"/>
          <w:color w:val="auto"/>
          <w:sz w:val="26"/>
          <w:szCs w:val="26"/>
        </w:rPr>
      </w:pPr>
      <w:bookmarkStart w:id="240" w:name="_Hlk231350790"/>
      <w:r w:rsidRPr="00F71119">
        <w:rPr>
          <w:rFonts w:ascii="Times New Roman" w:hAnsi="Times New Roman"/>
          <w:color w:val="auto"/>
          <w:sz w:val="26"/>
          <w:szCs w:val="26"/>
        </w:rPr>
        <w:t>Реализация мероприятий и проектов Стратегии социально-экономического развития Томской области планируется в 2 этапа:</w:t>
      </w:r>
    </w:p>
    <w:p w:rsidR="00E618FE" w:rsidRPr="00F71119" w:rsidRDefault="00F71119">
      <w:pPr>
        <w:pStyle w:val="a4"/>
        <w:rPr>
          <w:rFonts w:ascii="Times New Roman" w:hAnsi="Times New Roman"/>
          <w:color w:val="auto"/>
          <w:sz w:val="26"/>
          <w:szCs w:val="26"/>
        </w:rPr>
      </w:pPr>
      <w:r>
        <w:rPr>
          <w:rFonts w:ascii="Times New Roman" w:hAnsi="Times New Roman"/>
          <w:color w:val="auto"/>
          <w:sz w:val="26"/>
          <w:szCs w:val="26"/>
        </w:rPr>
        <w:t>1)1-й этап (2027–2030 годы) –</w:t>
      </w:r>
      <w:r w:rsidR="00800098" w:rsidRPr="00F71119">
        <w:rPr>
          <w:rFonts w:ascii="Times New Roman" w:hAnsi="Times New Roman"/>
          <w:color w:val="auto"/>
          <w:sz w:val="26"/>
          <w:szCs w:val="26"/>
        </w:rPr>
        <w:t xml:space="preserve"> концентрация ресурсов и адаптация экономики к вызовам с сохранением основы для будущего роста;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2)2-й этап (2031–2036 годы) </w:t>
      </w:r>
      <w:r w:rsidR="00F71119">
        <w:rPr>
          <w:rFonts w:ascii="Times New Roman" w:hAnsi="Times New Roman"/>
          <w:color w:val="auto"/>
          <w:sz w:val="26"/>
          <w:szCs w:val="26"/>
        </w:rPr>
        <w:t>–</w:t>
      </w:r>
      <w:r w:rsidRPr="00F71119">
        <w:rPr>
          <w:rFonts w:ascii="Times New Roman" w:hAnsi="Times New Roman"/>
          <w:color w:val="auto"/>
          <w:sz w:val="26"/>
          <w:szCs w:val="26"/>
        </w:rPr>
        <w:t xml:space="preserve"> реализация накопленного потенциала, устойчивое развитие и закрепление лидерских позиций.</w:t>
      </w:r>
    </w:p>
    <w:p w:rsidR="00E618FE" w:rsidRPr="00F71119" w:rsidRDefault="00800098">
      <w:pPr>
        <w:pStyle w:val="a4"/>
        <w:rPr>
          <w:rFonts w:ascii="Times New Roman" w:hAnsi="Times New Roman"/>
          <w:color w:val="auto"/>
          <w:sz w:val="26"/>
          <w:szCs w:val="26"/>
        </w:rPr>
      </w:pPr>
      <w:r w:rsidRPr="00F71119">
        <w:rPr>
          <w:rFonts w:ascii="Times New Roman" w:hAnsi="Times New Roman"/>
          <w:b/>
          <w:bCs/>
          <w:color w:val="auto"/>
          <w:sz w:val="26"/>
          <w:szCs w:val="26"/>
        </w:rPr>
        <w:t>В рамках первого этапа</w:t>
      </w:r>
      <w:r w:rsidRPr="00F71119">
        <w:rPr>
          <w:rFonts w:ascii="Times New Roman" w:hAnsi="Times New Roman"/>
          <w:color w:val="auto"/>
          <w:sz w:val="26"/>
          <w:szCs w:val="26"/>
        </w:rPr>
        <w:t xml:space="preserve"> необходимо сконцентрироваться на сохранении фундамента развития в условиях экономической турбулентности, внешних ограничений и ограниченной бюджетной мобильности. Приоритет отдается мероприятиям, обеспечивающим социальную стабильность, поддержку системообразующих предприятий, а также завершению уже начатых инфраструктурных проектов, имеющих критическое значение для будущего роста. В этот период предстоит адаптировать систему профессионального образования </w:t>
      </w:r>
      <w:r w:rsidR="00F71119">
        <w:rPr>
          <w:rFonts w:ascii="Times New Roman" w:hAnsi="Times New Roman"/>
          <w:color w:val="auto"/>
          <w:sz w:val="26"/>
          <w:szCs w:val="26"/>
        </w:rPr>
        <w:br/>
      </w:r>
      <w:r w:rsidRPr="00F71119">
        <w:rPr>
          <w:rFonts w:ascii="Times New Roman" w:hAnsi="Times New Roman"/>
          <w:color w:val="auto"/>
          <w:sz w:val="26"/>
          <w:szCs w:val="26"/>
        </w:rPr>
        <w:t xml:space="preserve">и государственного управления к новым вызовам, не допустить деградации научно-производственного комплекса, а также обеспечить реализацию природоохранных мероприятий, направленных на снижение антропогенной нагрузки и формирование экономики замкнутого цикла. Успешное прохождение этапа позволит перейти </w:t>
      </w:r>
      <w:r w:rsidR="00F71119">
        <w:rPr>
          <w:rFonts w:ascii="Times New Roman" w:hAnsi="Times New Roman"/>
          <w:color w:val="auto"/>
          <w:sz w:val="26"/>
          <w:szCs w:val="26"/>
        </w:rPr>
        <w:br/>
      </w:r>
      <w:r w:rsidRPr="00F71119">
        <w:rPr>
          <w:rFonts w:ascii="Times New Roman" w:hAnsi="Times New Roman"/>
          <w:color w:val="auto"/>
          <w:sz w:val="26"/>
          <w:szCs w:val="26"/>
        </w:rPr>
        <w:t>к фазе активной реализации проектов развития без потери накопленного человеческого, технологического и природного капитала.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В рамках первого этапа необходимо сконцентрироваться на: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достижении национальных целей развития Российской Федерации, установленных Указом Президента Российской Федерации от 7</w:t>
      </w:r>
      <w:r w:rsidR="00F71119">
        <w:rPr>
          <w:rFonts w:ascii="Times New Roman" w:hAnsi="Times New Roman"/>
          <w:color w:val="auto"/>
          <w:sz w:val="26"/>
          <w:szCs w:val="26"/>
        </w:rPr>
        <w:t xml:space="preserve"> </w:t>
      </w:r>
      <w:r w:rsidRPr="00F71119">
        <w:rPr>
          <w:rFonts w:ascii="Times New Roman" w:hAnsi="Times New Roman"/>
          <w:color w:val="auto"/>
          <w:sz w:val="26"/>
          <w:szCs w:val="26"/>
        </w:rPr>
        <w:t xml:space="preserve">мая 2024 года № 309 «О национальных целях развития Российской Федерации на период до 2030 года </w:t>
      </w:r>
      <w:r w:rsidR="00F71119">
        <w:rPr>
          <w:rFonts w:ascii="Times New Roman" w:hAnsi="Times New Roman"/>
          <w:color w:val="auto"/>
          <w:sz w:val="26"/>
          <w:szCs w:val="26"/>
        </w:rPr>
        <w:br/>
      </w:r>
      <w:r w:rsidRPr="00F71119">
        <w:rPr>
          <w:rFonts w:ascii="Times New Roman" w:hAnsi="Times New Roman"/>
          <w:color w:val="auto"/>
          <w:sz w:val="26"/>
          <w:szCs w:val="26"/>
        </w:rPr>
        <w:t>и на перспективу до 2036 года»;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реализации региональных составляющих национальных проектов </w:t>
      </w:r>
      <w:r w:rsidRPr="00F71119">
        <w:rPr>
          <w:rFonts w:ascii="Times New Roman" w:hAnsi="Times New Roman"/>
          <w:color w:val="auto"/>
          <w:sz w:val="26"/>
          <w:szCs w:val="26"/>
        </w:rPr>
        <w:br/>
        <w:t>и государственных программ Российской Федерации;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создании условий для технологического суверенитета </w:t>
      </w:r>
      <w:r w:rsidRPr="00F71119">
        <w:rPr>
          <w:rFonts w:ascii="Times New Roman" w:hAnsi="Times New Roman"/>
          <w:color w:val="auto"/>
          <w:sz w:val="26"/>
          <w:szCs w:val="26"/>
        </w:rPr>
        <w:br/>
        <w:t>и импортозамещения в приоритетных отраслях (микроэлектроника, фармацевтика, энергетическое машиностроение, беспилотные системы);</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завершении формирования инфраструктуры инновационного пояса (современный межвузовский кампус г. Томска, ОЭЗ, индустриальные парки, ТОР «Северск»);</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опережающей подготовке кадров для новой экономики (технологическое предпринимательство, инжиниринг, цифровые компетенции);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развитии транспортной и цифровой инфраструктуры, внедрении сетей 5G, интеллектуальных транспортных систем;</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повышении качества городской среды, закреплении населения (особенно молодых специалистов), снижении уровня бедности;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обеспечении «цифровой зрелости» </w:t>
      </w:r>
      <w:r w:rsidRPr="00F71119">
        <w:rPr>
          <w:rFonts w:ascii="Times New Roman" w:eastAsia="PT Astra Serif" w:hAnsi="Times New Roman"/>
          <w:color w:val="auto"/>
          <w:sz w:val="26"/>
          <w:szCs w:val="26"/>
        </w:rPr>
        <w:t>государственного и муниципального управления, ключевых отраслей экономики и социальной сферы, в том числе здравоохранения и образования</w:t>
      </w:r>
      <w:r w:rsidRPr="00F71119">
        <w:rPr>
          <w:rFonts w:ascii="Times New Roman" w:hAnsi="Times New Roman"/>
          <w:color w:val="auto"/>
          <w:sz w:val="26"/>
          <w:szCs w:val="26"/>
        </w:rPr>
        <w:t>.</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реализации природоохранных мероприятий и внедрении принципов экономики замкнутого цикла (сортировка и переработка отходов, сокращение выбросов, лесовосстановление).</w:t>
      </w:r>
    </w:p>
    <w:p w:rsidR="00E618FE" w:rsidRPr="00F71119" w:rsidRDefault="00800098">
      <w:pPr>
        <w:pStyle w:val="a4"/>
        <w:rPr>
          <w:rFonts w:ascii="Times New Roman" w:hAnsi="Times New Roman"/>
          <w:color w:val="auto"/>
          <w:sz w:val="26"/>
          <w:szCs w:val="26"/>
        </w:rPr>
      </w:pPr>
      <w:r w:rsidRPr="00F71119">
        <w:rPr>
          <w:rFonts w:ascii="Times New Roman" w:hAnsi="Times New Roman"/>
          <w:b/>
          <w:bCs/>
          <w:color w:val="auto"/>
          <w:sz w:val="26"/>
          <w:szCs w:val="26"/>
        </w:rPr>
        <w:t>В рамках второго этапа</w:t>
      </w:r>
      <w:r w:rsidRPr="00F71119">
        <w:rPr>
          <w:rFonts w:ascii="Times New Roman" w:hAnsi="Times New Roman"/>
          <w:color w:val="auto"/>
          <w:sz w:val="26"/>
          <w:szCs w:val="26"/>
        </w:rPr>
        <w:t xml:space="preserve"> необходимо уделить основное внимание полномасштабной реализации инвестиционных проектов нового технологического </w:t>
      </w:r>
      <w:r w:rsidRPr="00F71119">
        <w:rPr>
          <w:rFonts w:ascii="Times New Roman" w:hAnsi="Times New Roman"/>
          <w:color w:val="auto"/>
          <w:sz w:val="26"/>
          <w:szCs w:val="26"/>
        </w:rPr>
        <w:lastRenderedPageBreak/>
        <w:t xml:space="preserve">уклада, которые к этому времени выйдут на активную фазу. Накопленные на первом этапе ресурсы и сформированные инфраструктурные мощности позволяют перейти от адаптации к устойчивому росту, диверсификации экономики и закреплению конкурентных позиций региона. Основной акцент смещается на интеграцию Томской области в качестве научно-образовательного и технологического хаба </w:t>
      </w:r>
      <w:r w:rsidR="00F71119">
        <w:rPr>
          <w:rFonts w:ascii="Times New Roman" w:hAnsi="Times New Roman"/>
          <w:color w:val="auto"/>
          <w:sz w:val="26"/>
          <w:szCs w:val="26"/>
        </w:rPr>
        <w:br/>
      </w:r>
      <w:r w:rsidRPr="00F71119">
        <w:rPr>
          <w:rFonts w:ascii="Times New Roman" w:hAnsi="Times New Roman"/>
          <w:color w:val="auto"/>
          <w:sz w:val="26"/>
          <w:szCs w:val="26"/>
        </w:rPr>
        <w:t xml:space="preserve">в межрегиональные и международные цепочки, а также на достижение ключевых показателей качества жизни на уровне выше среднероссийского. Итогом этапа станет выход региона на траекторию самоподдерживающегося развития </w:t>
      </w:r>
      <w:r w:rsidR="00F71119">
        <w:rPr>
          <w:rFonts w:ascii="Times New Roman" w:hAnsi="Times New Roman"/>
          <w:color w:val="auto"/>
          <w:sz w:val="26"/>
          <w:szCs w:val="26"/>
        </w:rPr>
        <w:br/>
      </w:r>
      <w:r w:rsidRPr="00F71119">
        <w:rPr>
          <w:rFonts w:ascii="Times New Roman" w:hAnsi="Times New Roman"/>
          <w:color w:val="auto"/>
          <w:sz w:val="26"/>
          <w:szCs w:val="26"/>
        </w:rPr>
        <w:t>без внешнего дотирования.</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В рамках второго этапа необходимо уделить основное внимание:</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полномасштабной реализации инвестиционных проектов нового технологического уклада (ТЭК мирового уровня, кластеры глубокой переработки, новые промышленные кластеры, креативные индустрии);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закреплению населения на территории региона, обеспечению положительного миграционного прироста;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интеграции Томской области в качестве научно-образовательного </w:t>
      </w:r>
      <w:r w:rsidRPr="00F71119">
        <w:rPr>
          <w:rFonts w:ascii="Times New Roman" w:hAnsi="Times New Roman"/>
          <w:color w:val="auto"/>
          <w:sz w:val="26"/>
          <w:szCs w:val="26"/>
        </w:rPr>
        <w:br/>
        <w:t>и технологического хаба в межрегиональные и международные кооперационные цепочки (в рамках Сибирского федерального округа и сотрудничества со странами АТР);</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достижению целевых показателей качества жизни (ожидаемая продолжительность жизни, реальные доходы, уровень бедности) на уровне выше среднероссийского.</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По итогам первого этапа (в 2030 году) проводится углубленный анализ достижения целевых показателей, на основе которого при необходимости корректируются параметры второго этапа. В случае изменения внешних условий </w:t>
      </w:r>
      <w:r w:rsidR="00F71119">
        <w:rPr>
          <w:rFonts w:ascii="Times New Roman" w:hAnsi="Times New Roman"/>
          <w:color w:val="auto"/>
          <w:sz w:val="26"/>
          <w:szCs w:val="26"/>
        </w:rPr>
        <w:br/>
      </w:r>
      <w:r w:rsidRPr="00F71119">
        <w:rPr>
          <w:rFonts w:ascii="Times New Roman" w:hAnsi="Times New Roman"/>
          <w:color w:val="auto"/>
          <w:sz w:val="26"/>
          <w:szCs w:val="26"/>
        </w:rPr>
        <w:t>и продления периода федерального прогнозирования Стратегия может быть скорректирована с сохранением горизонта до 2036 года или с его дальнейшим продлением. Долгосрочное видение до 2042 года, сформулированное в миссии, определяет стратегические ориентиры за горизонтом планирования.</w:t>
      </w:r>
      <w:bookmarkEnd w:id="240"/>
    </w:p>
    <w:p w:rsidR="00E618FE" w:rsidRPr="00535A4B" w:rsidRDefault="00800098">
      <w:pPr>
        <w:spacing w:after="160" w:line="259" w:lineRule="auto"/>
        <w:rPr>
          <w:rFonts w:eastAsia="PT Astra Serif"/>
          <w:b/>
          <w:caps/>
          <w:strike/>
          <w:sz w:val="28"/>
          <w:szCs w:val="32"/>
          <w:lang w:eastAsia="en-US" w:bidi="en-US"/>
        </w:rPr>
      </w:pPr>
      <w:bookmarkStart w:id="241" w:name="_Toc228126852"/>
      <w:bookmarkEnd w:id="234"/>
      <w:r w:rsidRPr="00535A4B">
        <w:rPr>
          <w:rFonts w:eastAsia="PT Astra Serif"/>
          <w:strike/>
        </w:rPr>
        <w:br w:type="page" w:clear="all"/>
      </w:r>
      <w:bookmarkEnd w:id="241"/>
    </w:p>
    <w:p w:rsidR="00E618FE" w:rsidRPr="00535A4B" w:rsidRDefault="00E618FE">
      <w:pPr>
        <w:rPr>
          <w:rFonts w:eastAsia="PT Astra Serif"/>
          <w:lang w:eastAsia="en-US" w:bidi="en-US"/>
        </w:rPr>
      </w:pPr>
    </w:p>
    <w:p w:rsidR="00E618FE" w:rsidRPr="00535A4B" w:rsidRDefault="00800098">
      <w:pPr>
        <w:pStyle w:val="1f8"/>
        <w:rPr>
          <w:rFonts w:ascii="Times New Roman" w:eastAsia="PT Astra Serif" w:hAnsi="Times New Roman" w:cs="Times New Roman"/>
          <w:lang w:val="ru-RU"/>
        </w:rPr>
      </w:pPr>
      <w:bookmarkStart w:id="242" w:name="_Toc235810180"/>
      <w:bookmarkStart w:id="243" w:name="_Toc238554568"/>
      <w:bookmarkStart w:id="244" w:name="_Hlk231181991"/>
      <w:r w:rsidRPr="00535A4B">
        <w:rPr>
          <w:rFonts w:ascii="Times New Roman" w:eastAsia="PT Astra Serif" w:hAnsi="Times New Roman" w:cs="Times New Roman"/>
          <w:lang w:val="ru-RU"/>
        </w:rPr>
        <w:t>Приложение А</w:t>
      </w:r>
      <w:bookmarkEnd w:id="242"/>
      <w:bookmarkEnd w:id="243"/>
      <w:r w:rsidRPr="00535A4B">
        <w:rPr>
          <w:rFonts w:ascii="Times New Roman" w:eastAsia="PT Astra Serif" w:hAnsi="Times New Roman" w:cs="Times New Roman"/>
          <w:lang w:val="ru-RU"/>
        </w:rPr>
        <w:tab/>
      </w:r>
    </w:p>
    <w:p w:rsidR="00E618FE" w:rsidRPr="00535A4B" w:rsidRDefault="00800098">
      <w:pPr>
        <w:pStyle w:val="2f"/>
        <w:rPr>
          <w:rFonts w:ascii="Times New Roman" w:eastAsia="PT Astra Serif" w:hAnsi="Times New Roman" w:cs="Times New Roman"/>
        </w:rPr>
      </w:pPr>
      <w:bookmarkStart w:id="245" w:name="_Toc229962302"/>
      <w:bookmarkStart w:id="246" w:name="_Toc235810181"/>
      <w:bookmarkStart w:id="247" w:name="_Toc238554569"/>
      <w:r w:rsidRPr="00535A4B">
        <w:rPr>
          <w:rFonts w:ascii="Times New Roman" w:eastAsia="PT Astra Serif" w:hAnsi="Times New Roman" w:cs="Times New Roman"/>
        </w:rPr>
        <w:t>Перспективы развития муниципальных образований и опорных населенных пунктов Томской области</w:t>
      </w:r>
      <w:bookmarkEnd w:id="245"/>
      <w:bookmarkEnd w:id="246"/>
      <w:bookmarkEnd w:id="247"/>
    </w:p>
    <w:p w:rsidR="00E618FE" w:rsidRPr="00535A4B" w:rsidRDefault="00E618FE">
      <w:pPr>
        <w:pStyle w:val="a4"/>
        <w:rPr>
          <w:rFonts w:ascii="Times New Roman" w:hAnsi="Times New Roman"/>
          <w:b/>
          <w:bCs/>
          <w:color w:val="auto"/>
        </w:rPr>
      </w:pP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Неоднородное распределение производственных мощностей, природных ресурсов, населения и коммуникационных связей по территории региона определяют значительную разницу в перспективах инвестиционного развития муниципальных образований.</w:t>
      </w:r>
    </w:p>
    <w:p w:rsidR="00E618FE" w:rsidRPr="00F71119" w:rsidRDefault="00800098">
      <w:pPr>
        <w:pStyle w:val="a4"/>
        <w:rPr>
          <w:rFonts w:ascii="Times New Roman" w:hAnsi="Times New Roman"/>
          <w:color w:val="auto"/>
          <w:sz w:val="26"/>
          <w:szCs w:val="26"/>
        </w:rPr>
      </w:pPr>
      <w:r w:rsidRPr="00535A4B">
        <w:rPr>
          <w:rFonts w:ascii="Times New Roman" w:hAnsi="Times New Roman"/>
          <w:b/>
          <w:bCs/>
          <w:color w:val="auto"/>
        </w:rPr>
        <w:t>Различный масштаб хозяйственной деятельности.</w:t>
      </w:r>
      <w:r w:rsidRPr="00535A4B">
        <w:rPr>
          <w:rFonts w:ascii="Times New Roman" w:hAnsi="Times New Roman"/>
          <w:color w:val="auto"/>
        </w:rPr>
        <w:t xml:space="preserve"> </w:t>
      </w:r>
      <w:r w:rsidRPr="00F71119">
        <w:rPr>
          <w:rFonts w:ascii="Times New Roman" w:hAnsi="Times New Roman"/>
          <w:color w:val="auto"/>
          <w:sz w:val="26"/>
          <w:szCs w:val="26"/>
        </w:rPr>
        <w:t>По годовому обороту всех категорий хозяйствующих субъектов выделяется следующая система территориальных единиц:</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крупнейший центр — г. Томск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крупные производственные территории — ЗАТО Северск, Томский район, а также нефтегазодобывающие Каргасокский и Парабельский районы;</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средние — нефтегазодобывающие Александровский район и г. Стрежевой;</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малые — Колпашевский и Асиновский районы;</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микро — Первомайский, Кожевниковский, Шегарский, Кривошеинский, Тегульдетский, Верхнекетский, Зырянский районы;</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локальные — Молчановский, Чаинский, Бакчарский, г. Кедровый.</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Подушевые показатели экономической деятельности демонстрируют высокую концентрацию производства и инвестиций в нефтегазодобывающих муниципальных образованиях, среднюю концентрацию — в крайней южной части области. Пояс территорий, равноудаленных от центров экономической активности, характеризуется как экономически депрессивный. </w:t>
      </w:r>
    </w:p>
    <w:p w:rsidR="00E618FE" w:rsidRPr="00F71119" w:rsidRDefault="00800098">
      <w:pPr>
        <w:pStyle w:val="a4"/>
        <w:rPr>
          <w:rFonts w:ascii="Times New Roman" w:hAnsi="Times New Roman"/>
          <w:color w:val="auto"/>
          <w:sz w:val="26"/>
          <w:szCs w:val="26"/>
        </w:rPr>
      </w:pPr>
      <w:r w:rsidRPr="00535A4B">
        <w:rPr>
          <w:rFonts w:ascii="Times New Roman" w:hAnsi="Times New Roman"/>
          <w:b/>
          <w:bCs/>
          <w:color w:val="auto"/>
        </w:rPr>
        <w:t>Разная степень устойчивости экономической базы.</w:t>
      </w:r>
      <w:r w:rsidRPr="00535A4B">
        <w:rPr>
          <w:rFonts w:ascii="Times New Roman" w:hAnsi="Times New Roman"/>
          <w:color w:val="auto"/>
        </w:rPr>
        <w:t xml:space="preserve"> </w:t>
      </w:r>
      <w:r w:rsidRPr="00F71119">
        <w:rPr>
          <w:rFonts w:ascii="Times New Roman" w:hAnsi="Times New Roman"/>
          <w:color w:val="auto"/>
          <w:sz w:val="26"/>
          <w:szCs w:val="26"/>
        </w:rPr>
        <w:t xml:space="preserve">Наибольшую стабильность имеет промышленно развитая Томская агломерация, драйвером роста которой является научно-образовательный и производственный комплекс. Томская агломерация укрепляет высокотехнологичную специализацию за счет развития предприятий точного машиностроения, фармацевтики, химии и энергетики.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Средняя устойчивость характерна для районов с развивающимися производственными кластерами в лесной и сельской отраслях (Асиновский, Тегульдетский, Верхнекетский, Зырянский, Первомайский, Кривошеинский, Шегарский и Кожевниковский районы).</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Низкий уровень устойчивости имеют удаленные территории, крайне зависимые от ситуации на градообразующих предприятиях. В условиях неблагоприятной мировой конъюнктуры на углеводороды возможно ухудшение экономической ситуации в Александровском, Каргасокском, Парабельском районах и городе Стрежевом. Экономика Колпашевского района, не имеющего значимых природных ресурсов, близка к монопроф</w:t>
      </w:r>
      <w:r w:rsidR="00F71119">
        <w:rPr>
          <w:rFonts w:ascii="Times New Roman" w:hAnsi="Times New Roman"/>
          <w:color w:val="auto"/>
          <w:sz w:val="26"/>
          <w:szCs w:val="26"/>
        </w:rPr>
        <w:t>ильной (основная специализация –</w:t>
      </w:r>
      <w:r w:rsidRPr="00F71119">
        <w:rPr>
          <w:rFonts w:ascii="Times New Roman" w:hAnsi="Times New Roman"/>
          <w:color w:val="auto"/>
          <w:sz w:val="26"/>
          <w:szCs w:val="26"/>
        </w:rPr>
        <w:t xml:space="preserve"> производство электротехнической продукции).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Наиболее неблагоприятная экономическая обстановка свойственна муниципалитетам, практически утратившим градообразующую базу с преобладанием занятости в бюджетных организациях (г. Кедровый, Молчановский, Чаинский и Бакчарский районы). </w:t>
      </w:r>
    </w:p>
    <w:p w:rsidR="00E618FE" w:rsidRPr="00F71119" w:rsidRDefault="00800098">
      <w:pPr>
        <w:pStyle w:val="a4"/>
        <w:rPr>
          <w:rFonts w:ascii="Times New Roman" w:hAnsi="Times New Roman"/>
          <w:color w:val="auto"/>
          <w:sz w:val="26"/>
          <w:szCs w:val="26"/>
        </w:rPr>
      </w:pPr>
      <w:r w:rsidRPr="00535A4B">
        <w:rPr>
          <w:rFonts w:ascii="Times New Roman" w:hAnsi="Times New Roman"/>
          <w:b/>
          <w:bCs/>
          <w:color w:val="auto"/>
        </w:rPr>
        <w:t>Значительные различия в обеспеченности природными ресурсами.</w:t>
      </w:r>
      <w:r w:rsidRPr="00535A4B">
        <w:rPr>
          <w:rFonts w:ascii="Times New Roman" w:hAnsi="Times New Roman"/>
          <w:color w:val="auto"/>
        </w:rPr>
        <w:t xml:space="preserve"> </w:t>
      </w:r>
      <w:r w:rsidRPr="00F71119">
        <w:rPr>
          <w:rFonts w:ascii="Times New Roman" w:hAnsi="Times New Roman"/>
          <w:color w:val="auto"/>
          <w:sz w:val="26"/>
          <w:szCs w:val="26"/>
        </w:rPr>
        <w:t xml:space="preserve">Подтвержденные запасы углеводородов сконцентрированы исключительно </w:t>
      </w:r>
      <w:r w:rsidRPr="00F71119">
        <w:rPr>
          <w:rFonts w:ascii="Times New Roman" w:hAnsi="Times New Roman"/>
          <w:color w:val="auto"/>
          <w:sz w:val="26"/>
          <w:szCs w:val="26"/>
        </w:rPr>
        <w:lastRenderedPageBreak/>
        <w:t xml:space="preserve">в северной и западной частях области. За 2020 – 2024 годы добыча нефти </w:t>
      </w:r>
      <w:r w:rsidRPr="00F71119">
        <w:rPr>
          <w:rFonts w:ascii="Times New Roman" w:hAnsi="Times New Roman"/>
          <w:color w:val="auto"/>
          <w:sz w:val="26"/>
          <w:szCs w:val="26"/>
        </w:rPr>
        <w:br/>
        <w:t>и газа стабилизировалась, имеются как тенденции выработки ряда месторождений, так и перспективы прироста запасов.</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Наиболее вероятные к реализаци</w:t>
      </w:r>
      <w:r w:rsidR="00F71119">
        <w:rPr>
          <w:rFonts w:ascii="Times New Roman" w:hAnsi="Times New Roman"/>
          <w:color w:val="auto"/>
          <w:sz w:val="26"/>
          <w:szCs w:val="26"/>
        </w:rPr>
        <w:t>и проекты добычи рудного сырья –</w:t>
      </w:r>
      <w:r w:rsidRPr="00F71119">
        <w:rPr>
          <w:rFonts w:ascii="Times New Roman" w:hAnsi="Times New Roman"/>
          <w:color w:val="auto"/>
          <w:sz w:val="26"/>
          <w:szCs w:val="26"/>
        </w:rPr>
        <w:t xml:space="preserve"> увеличение мощности ТГОК «Ильменит», разработка и освоение Турунтаевского проявления руд полиметаллов и Батуринского золотоносного проявления </w:t>
      </w:r>
      <w:r w:rsidR="00F71119">
        <w:rPr>
          <w:rFonts w:ascii="Times New Roman" w:hAnsi="Times New Roman"/>
          <w:color w:val="auto"/>
          <w:sz w:val="26"/>
          <w:szCs w:val="26"/>
        </w:rPr>
        <w:t>–</w:t>
      </w:r>
      <w:r w:rsidRPr="00F71119">
        <w:rPr>
          <w:rFonts w:ascii="Times New Roman" w:hAnsi="Times New Roman"/>
          <w:color w:val="auto"/>
          <w:sz w:val="26"/>
          <w:szCs w:val="26"/>
        </w:rPr>
        <w:t xml:space="preserve"> расположены в пределах Томского района. Открытым остается вопрос </w:t>
      </w:r>
      <w:r w:rsidR="00F71119">
        <w:rPr>
          <w:rFonts w:ascii="Times New Roman" w:hAnsi="Times New Roman"/>
          <w:color w:val="auto"/>
          <w:sz w:val="26"/>
          <w:szCs w:val="26"/>
        </w:rPr>
        <w:br/>
      </w:r>
      <w:r w:rsidRPr="00F71119">
        <w:rPr>
          <w:rFonts w:ascii="Times New Roman" w:hAnsi="Times New Roman"/>
          <w:color w:val="auto"/>
          <w:sz w:val="26"/>
          <w:szCs w:val="26"/>
        </w:rPr>
        <w:t>об экономической эффективности разработки Бакчарского месторождения железных руд.</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Основные ресурсы для лесозаготовительной деятельности сконцентрированы главным образом в восточной (Первомайский, Верхнекетский, Тегульдетский районы) и средней (Каргасокский, Парабельский районы) частях области.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Имеются значительные ресурсы включения в оборот неиспользуемых сельскохозяйственных угодий, главным образом в южной части области. Потенциал оперативного наращивания сельскохозяйственной деятельности имеется </w:t>
      </w:r>
      <w:r w:rsidR="00F71119">
        <w:rPr>
          <w:rFonts w:ascii="Times New Roman" w:hAnsi="Times New Roman"/>
          <w:color w:val="auto"/>
          <w:sz w:val="26"/>
          <w:szCs w:val="26"/>
        </w:rPr>
        <w:br/>
      </w:r>
      <w:r w:rsidRPr="00F71119">
        <w:rPr>
          <w:rFonts w:ascii="Times New Roman" w:hAnsi="Times New Roman"/>
          <w:color w:val="auto"/>
          <w:sz w:val="26"/>
          <w:szCs w:val="26"/>
        </w:rPr>
        <w:t>в Кожевниковском, Томском, Чаинском и Шегарском районах.</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Наиболее перспективная зона для развития агропромышленного комплекса Томской области включает Кожевниковский, Томский, Шегарский, Кривошеинский и Асиновский районы, юг Первомайского района и западную часть Зырянского района. В остальных муниципальных образованиях сохранится очаговая сельскохозяйственная деятельность с повышенной долей хозяйств населения.</w:t>
      </w:r>
    </w:p>
    <w:p w:rsidR="00E618FE" w:rsidRPr="00535A4B" w:rsidRDefault="00E618FE">
      <w:pPr>
        <w:pStyle w:val="a4"/>
        <w:rPr>
          <w:rFonts w:ascii="Times New Roman" w:hAnsi="Times New Roman"/>
          <w:color w:val="auto"/>
        </w:rPr>
      </w:pPr>
    </w:p>
    <w:p w:rsidR="00E618FE" w:rsidRPr="00535A4B" w:rsidRDefault="00800098">
      <w:pPr>
        <w:pStyle w:val="41"/>
        <w:rPr>
          <w:rFonts w:ascii="Times New Roman" w:eastAsia="Aptos" w:hAnsi="Times New Roman"/>
          <w:lang w:val="ru-RU"/>
        </w:rPr>
      </w:pPr>
      <w:r w:rsidRPr="00535A4B">
        <w:rPr>
          <w:rFonts w:ascii="Times New Roman" w:eastAsia="Aptos" w:hAnsi="Times New Roman"/>
          <w:lang w:val="ru-RU"/>
        </w:rPr>
        <w:t>Томская агломерация (Городской округ Томск, ЗАТО Северск, Томский район)</w:t>
      </w:r>
    </w:p>
    <w:p w:rsidR="00E618FE" w:rsidRPr="00F71119" w:rsidRDefault="00800098">
      <w:pPr>
        <w:pStyle w:val="a4"/>
        <w:rPr>
          <w:rFonts w:ascii="Times New Roman" w:hAnsi="Times New Roman"/>
          <w:color w:val="auto"/>
          <w:sz w:val="26"/>
          <w:szCs w:val="26"/>
        </w:rPr>
      </w:pPr>
      <w:r w:rsidRPr="00F71119">
        <w:rPr>
          <w:rFonts w:ascii="Times New Roman" w:hAnsi="Times New Roman"/>
          <w:bCs/>
          <w:color w:val="auto"/>
          <w:sz w:val="26"/>
          <w:szCs w:val="26"/>
        </w:rPr>
        <w:t>Функциональное развитие Томской агломерации, в том числе</w:t>
      </w:r>
      <w:r w:rsidRPr="00F71119">
        <w:rPr>
          <w:rFonts w:ascii="Times New Roman" w:hAnsi="Times New Roman"/>
          <w:color w:val="auto"/>
          <w:sz w:val="26"/>
          <w:szCs w:val="26"/>
        </w:rPr>
        <w:t xml:space="preserve"> продолжение концентрации населения, объектов производственной и непроизводственной сферы, рассматривается как основное направление пространственного развития региона. Высокая инвестиционная активность и масштабная субурбанизация определяют значимость опережающего развития коммунальной и социальной инфраструктуры.</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Приоритеты развития Томской агломерации: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активное привлечение инвестиций в развитие высокотехнологичных </w:t>
      </w:r>
      <w:r w:rsidR="00F71119">
        <w:rPr>
          <w:rFonts w:ascii="Times New Roman" w:hAnsi="Times New Roman"/>
          <w:color w:val="auto"/>
          <w:sz w:val="26"/>
          <w:szCs w:val="26"/>
        </w:rPr>
        <w:br/>
      </w:r>
      <w:r w:rsidRPr="00F71119">
        <w:rPr>
          <w:rFonts w:ascii="Times New Roman" w:hAnsi="Times New Roman"/>
          <w:color w:val="auto"/>
          <w:sz w:val="26"/>
          <w:szCs w:val="26"/>
        </w:rPr>
        <w:t>и наукоемких отраслей производства товаров и услуг;</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удержание специалистов высокой квалификации через предоставление возможностей самореализации, в том числе в сфере креативных индустрий, карьерного роста, расширение форматов досуга;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формирование комфортной среды проживания населения в современных жилых кластерах на экологически благоприятных территориях с инфраструктурой, соответствующей международному уровню;</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доступность современной инфраструктуры деловой мобильности, позволяющая активному населению оперативно перемещаться, не прерывая доступа к цифровым сервисам, обеспечивающим непрерывность рабочих процессов;</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формирование института для решения вопросов взаимоувязанной градостроительной политики трех муниципальных образований агломерации </w:t>
      </w:r>
      <w:r w:rsidR="00F71119">
        <w:rPr>
          <w:rFonts w:ascii="Times New Roman" w:hAnsi="Times New Roman"/>
          <w:color w:val="auto"/>
          <w:sz w:val="26"/>
          <w:szCs w:val="26"/>
        </w:rPr>
        <w:br/>
      </w:r>
      <w:r w:rsidRPr="00F71119">
        <w:rPr>
          <w:rFonts w:ascii="Times New Roman" w:hAnsi="Times New Roman"/>
          <w:color w:val="auto"/>
          <w:sz w:val="26"/>
          <w:szCs w:val="26"/>
        </w:rPr>
        <w:t>в целях достижения синергетического эффекта в управлении развитием территорий;</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трансформация неэффективно используемых территорий, обладающих высоким потенциалом градостроительного развития;</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lastRenderedPageBreak/>
        <w:t xml:space="preserve">— развитие водно-зеленого каркаса и объектов туризма разного формата </w:t>
      </w:r>
      <w:r w:rsidR="00F71119">
        <w:rPr>
          <w:rFonts w:ascii="Times New Roman" w:hAnsi="Times New Roman"/>
          <w:color w:val="auto"/>
          <w:sz w:val="26"/>
          <w:szCs w:val="26"/>
        </w:rPr>
        <w:br/>
      </w:r>
      <w:r w:rsidRPr="00F71119">
        <w:rPr>
          <w:rFonts w:ascii="Times New Roman" w:hAnsi="Times New Roman"/>
          <w:color w:val="auto"/>
          <w:sz w:val="26"/>
          <w:szCs w:val="26"/>
        </w:rPr>
        <w:t>в пригородной зоне;</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 дальнейшая деконцентрация производственных функций в целях разгрузки густонаселенных территорий с высокой градостроительной ценностью </w:t>
      </w:r>
      <w:r w:rsidR="00F71119">
        <w:rPr>
          <w:rFonts w:ascii="Times New Roman" w:hAnsi="Times New Roman"/>
          <w:color w:val="auto"/>
          <w:sz w:val="26"/>
          <w:szCs w:val="26"/>
        </w:rPr>
        <w:br/>
      </w:r>
      <w:r w:rsidRPr="00F71119">
        <w:rPr>
          <w:rFonts w:ascii="Times New Roman" w:hAnsi="Times New Roman"/>
          <w:color w:val="auto"/>
          <w:sz w:val="26"/>
          <w:szCs w:val="26"/>
        </w:rPr>
        <w:t>от экологического и коммуникационного прессинга.</w:t>
      </w:r>
    </w:p>
    <w:p w:rsidR="00E618FE" w:rsidRPr="00535A4B" w:rsidRDefault="00E618FE">
      <w:pPr>
        <w:pStyle w:val="a4"/>
        <w:rPr>
          <w:rFonts w:ascii="Times New Roman" w:hAnsi="Times New Roman"/>
          <w:color w:val="auto"/>
        </w:rPr>
      </w:pPr>
    </w:p>
    <w:p w:rsidR="00E618FE" w:rsidRPr="00F71119" w:rsidRDefault="00800098">
      <w:pPr>
        <w:pStyle w:val="a4"/>
        <w:rPr>
          <w:rFonts w:ascii="Times New Roman" w:eastAsia="Aptos" w:hAnsi="Times New Roman"/>
          <w:color w:val="auto"/>
          <w:sz w:val="26"/>
          <w:szCs w:val="26"/>
        </w:rPr>
      </w:pPr>
      <w:r w:rsidRPr="00535A4B">
        <w:rPr>
          <w:rFonts w:ascii="Times New Roman" w:eastAsia="Aptos" w:hAnsi="Times New Roman"/>
          <w:b/>
          <w:bCs/>
          <w:color w:val="auto"/>
        </w:rPr>
        <w:t>Городской округ Томск</w:t>
      </w:r>
      <w:r w:rsidRPr="00535A4B">
        <w:rPr>
          <w:rFonts w:ascii="Times New Roman" w:eastAsia="Aptos" w:hAnsi="Times New Roman"/>
          <w:color w:val="auto"/>
        </w:rPr>
        <w:t xml:space="preserve"> </w:t>
      </w:r>
      <w:r w:rsidRPr="00F71119">
        <w:rPr>
          <w:rFonts w:ascii="Times New Roman" w:eastAsia="Aptos" w:hAnsi="Times New Roman"/>
          <w:color w:val="auto"/>
          <w:sz w:val="26"/>
          <w:szCs w:val="26"/>
        </w:rPr>
        <w:t xml:space="preserve">сохранит исключительную роль в системе расселения и хозяйственной деятельности области как административный, крупнейший промышленный, транспортно-распределительный и финансово-организационный центр области с высокой концентрацией научно-исследовательской и образовательной деятельности. За период 2020 – 2025 годы </w:t>
      </w:r>
      <w:r w:rsidRPr="00F71119">
        <w:rPr>
          <w:rFonts w:ascii="Times New Roman" w:eastAsia="Aptos" w:hAnsi="Times New Roman"/>
          <w:bCs/>
          <w:color w:val="auto"/>
          <w:sz w:val="26"/>
          <w:szCs w:val="26"/>
        </w:rPr>
        <w:t>численность населения округа снизилась на 5,5%, что связано с активным процессом субурбанизации.</w:t>
      </w:r>
    </w:p>
    <w:p w:rsidR="00E618FE" w:rsidRPr="00F71119" w:rsidRDefault="00800098">
      <w:pPr>
        <w:pStyle w:val="a4"/>
        <w:rPr>
          <w:rFonts w:ascii="Times New Roman" w:hAnsi="Times New Roman"/>
          <w:color w:val="auto"/>
          <w:sz w:val="26"/>
          <w:szCs w:val="26"/>
        </w:rPr>
      </w:pPr>
      <w:r w:rsidRPr="00F71119">
        <w:rPr>
          <w:rFonts w:ascii="Times New Roman" w:eastAsia="Aptos" w:hAnsi="Times New Roman"/>
          <w:color w:val="auto"/>
          <w:sz w:val="26"/>
          <w:szCs w:val="26"/>
        </w:rPr>
        <w:t xml:space="preserve">В структуре промышленности преобладают машиностроение </w:t>
      </w:r>
      <w:r w:rsidR="00F71119">
        <w:rPr>
          <w:rFonts w:ascii="Times New Roman" w:eastAsia="Aptos" w:hAnsi="Times New Roman"/>
          <w:color w:val="auto"/>
          <w:sz w:val="26"/>
          <w:szCs w:val="26"/>
        </w:rPr>
        <w:br/>
      </w:r>
      <w:r w:rsidRPr="00F71119">
        <w:rPr>
          <w:rFonts w:ascii="Times New Roman" w:eastAsia="Aptos" w:hAnsi="Times New Roman"/>
          <w:color w:val="auto"/>
          <w:sz w:val="26"/>
          <w:szCs w:val="26"/>
        </w:rPr>
        <w:t xml:space="preserve">и металлообработка, пищевая отрасль, химическая и фармацевтическая промышленность. </w:t>
      </w:r>
      <w:r w:rsidRPr="00F71119">
        <w:rPr>
          <w:rFonts w:ascii="Times New Roman" w:hAnsi="Times New Roman"/>
          <w:color w:val="auto"/>
          <w:sz w:val="26"/>
          <w:szCs w:val="26"/>
        </w:rPr>
        <w:t xml:space="preserve">Ключевыми отраслями машиностроения являются электротехническое, электронное, общего и специального назначения </w:t>
      </w:r>
      <w:r w:rsidR="00F71119">
        <w:rPr>
          <w:rFonts w:ascii="Times New Roman" w:hAnsi="Times New Roman"/>
          <w:color w:val="auto"/>
          <w:sz w:val="26"/>
          <w:szCs w:val="26"/>
        </w:rPr>
        <w:t>–</w:t>
      </w:r>
      <w:r w:rsidRPr="00F71119">
        <w:rPr>
          <w:rFonts w:ascii="Times New Roman" w:hAnsi="Times New Roman"/>
          <w:color w:val="auto"/>
          <w:sz w:val="26"/>
          <w:szCs w:val="26"/>
        </w:rPr>
        <w:t xml:space="preserve"> производство кабельно-проводниковой продукции, двигателей, электрических </w:t>
      </w:r>
      <w:r w:rsidR="00F71119">
        <w:rPr>
          <w:rFonts w:ascii="Times New Roman" w:hAnsi="Times New Roman"/>
          <w:color w:val="auto"/>
          <w:sz w:val="26"/>
          <w:szCs w:val="26"/>
        </w:rPr>
        <w:br/>
      </w:r>
      <w:r w:rsidRPr="00F71119">
        <w:rPr>
          <w:rFonts w:ascii="Times New Roman" w:hAnsi="Times New Roman"/>
          <w:color w:val="auto"/>
          <w:sz w:val="26"/>
          <w:szCs w:val="26"/>
        </w:rPr>
        <w:t xml:space="preserve">и измерительных приборов, программно-аппаратных комплексов, систем телематики, роботизированных комплексов, подшипников, инструмента механизированного, холодильного оборудования, промышленного оборудования, станков и пр.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Пищевая промышленность представлена переработкой мяса, молока, рыбы, фруктов и овощей, мукомольным производством, производством хлебобулочных, кондитерских изделий и напитков. </w:t>
      </w:r>
      <w:r w:rsidRPr="00F71119">
        <w:rPr>
          <w:rFonts w:ascii="Times New Roman" w:eastAsia="Aptos" w:hAnsi="Times New Roman"/>
          <w:color w:val="auto"/>
          <w:sz w:val="26"/>
          <w:szCs w:val="26"/>
        </w:rPr>
        <w:t xml:space="preserve">Химическая и фармацевтическая промышленность производят полимеры, метанол, формалин, реагенты, технические газы, </w:t>
      </w:r>
      <w:r w:rsidRPr="00F71119">
        <w:rPr>
          <w:rFonts w:ascii="Times New Roman" w:hAnsi="Times New Roman"/>
          <w:color w:val="auto"/>
          <w:sz w:val="26"/>
          <w:szCs w:val="26"/>
        </w:rPr>
        <w:t xml:space="preserve">комплексные минеральные удобрения, масла и смазки, готовые изделия </w:t>
      </w:r>
      <w:r w:rsidR="00F71119">
        <w:rPr>
          <w:rFonts w:ascii="Times New Roman" w:hAnsi="Times New Roman"/>
          <w:color w:val="auto"/>
          <w:sz w:val="26"/>
          <w:szCs w:val="26"/>
        </w:rPr>
        <w:br/>
      </w:r>
      <w:r w:rsidRPr="00F71119">
        <w:rPr>
          <w:rFonts w:ascii="Times New Roman" w:hAnsi="Times New Roman"/>
          <w:color w:val="auto"/>
          <w:sz w:val="26"/>
          <w:szCs w:val="26"/>
        </w:rPr>
        <w:t>из пластмасс и резины, косметические средства, лекарственные, ветеринарные препараты и БАДы.</w:t>
      </w:r>
    </w:p>
    <w:p w:rsidR="00E618FE" w:rsidRPr="00F71119" w:rsidRDefault="00800098">
      <w:pPr>
        <w:pStyle w:val="a4"/>
        <w:rPr>
          <w:rFonts w:ascii="Times New Roman" w:eastAsia="Aptos" w:hAnsi="Times New Roman"/>
          <w:color w:val="auto"/>
          <w:sz w:val="26"/>
          <w:szCs w:val="26"/>
        </w:rPr>
      </w:pPr>
      <w:r w:rsidRPr="00F71119">
        <w:rPr>
          <w:rFonts w:ascii="Times New Roman" w:hAnsi="Times New Roman"/>
          <w:color w:val="auto"/>
          <w:sz w:val="26"/>
          <w:szCs w:val="26"/>
        </w:rPr>
        <w:t xml:space="preserve">Машиностроение и химическая отрасль работают на многие регионы Российской Федерации, характеризуются высокой конкурентоспособностью </w:t>
      </w:r>
      <w:r w:rsidR="00F71119">
        <w:rPr>
          <w:rFonts w:ascii="Times New Roman" w:hAnsi="Times New Roman"/>
          <w:color w:val="auto"/>
          <w:sz w:val="26"/>
          <w:szCs w:val="26"/>
        </w:rPr>
        <w:br/>
      </w:r>
      <w:r w:rsidRPr="00F71119">
        <w:rPr>
          <w:rFonts w:ascii="Times New Roman" w:hAnsi="Times New Roman"/>
          <w:color w:val="auto"/>
          <w:sz w:val="26"/>
          <w:szCs w:val="26"/>
        </w:rPr>
        <w:t xml:space="preserve">и инновационной составляющей. Пищевая промышленность работает преимущественно на внутрирегиональный рынок. </w:t>
      </w:r>
      <w:r w:rsidRPr="00F71119">
        <w:rPr>
          <w:rFonts w:ascii="Times New Roman" w:eastAsia="Aptos" w:hAnsi="Times New Roman"/>
          <w:color w:val="auto"/>
          <w:sz w:val="26"/>
          <w:szCs w:val="26"/>
        </w:rPr>
        <w:t>Сопутствующие отра</w:t>
      </w:r>
      <w:r w:rsidR="00CC23A2">
        <w:rPr>
          <w:rFonts w:ascii="Times New Roman" w:eastAsia="Aptos" w:hAnsi="Times New Roman"/>
          <w:color w:val="auto"/>
          <w:sz w:val="26"/>
          <w:szCs w:val="26"/>
        </w:rPr>
        <w:t>сли промышленной специализации –</w:t>
      </w:r>
      <w:r w:rsidRPr="00F71119">
        <w:rPr>
          <w:rFonts w:ascii="Times New Roman" w:eastAsia="Aptos" w:hAnsi="Times New Roman"/>
          <w:color w:val="auto"/>
          <w:sz w:val="26"/>
          <w:szCs w:val="26"/>
        </w:rPr>
        <w:t xml:space="preserve"> деревообработка, производство строительных материалов, швейная промышленность.</w:t>
      </w:r>
    </w:p>
    <w:p w:rsidR="00E618FE" w:rsidRPr="00F71119" w:rsidRDefault="00800098">
      <w:pPr>
        <w:pStyle w:val="a4"/>
        <w:rPr>
          <w:rFonts w:ascii="Times New Roman" w:hAnsi="Times New Roman"/>
          <w:color w:val="auto"/>
          <w:sz w:val="26"/>
          <w:szCs w:val="26"/>
        </w:rPr>
      </w:pPr>
      <w:r w:rsidRPr="00F71119">
        <w:rPr>
          <w:rFonts w:ascii="Times New Roman" w:eastAsia="Aptos" w:hAnsi="Times New Roman"/>
          <w:color w:val="auto"/>
          <w:sz w:val="26"/>
          <w:szCs w:val="26"/>
        </w:rPr>
        <w:t xml:space="preserve">В Томске дислоцированы крупнейшие в регионе строительные организации, предприятия железнодорожного, воздушного, водного, автомобильного транспорта и связи; </w:t>
      </w:r>
      <w:r w:rsidRPr="00F71119">
        <w:rPr>
          <w:rFonts w:ascii="Times New Roman" w:hAnsi="Times New Roman"/>
          <w:color w:val="auto"/>
          <w:sz w:val="26"/>
          <w:szCs w:val="26"/>
        </w:rPr>
        <w:t xml:space="preserve">базируются крупные оптовые и распределительные компании, обслуживающие розничный рынок Томской области и соседних регионов.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Томск является научно-образовательным центром межрегионального значения. Высшее образование осуществляют </w:t>
      </w:r>
      <w:bookmarkStart w:id="248" w:name="_Hlk231441523"/>
      <w:r w:rsidRPr="00F71119">
        <w:rPr>
          <w:rFonts w:ascii="Times New Roman" w:hAnsi="Times New Roman"/>
          <w:color w:val="auto"/>
          <w:sz w:val="26"/>
          <w:szCs w:val="26"/>
        </w:rPr>
        <w:t xml:space="preserve">ФГАОУ ВО «Национальный исследовательский Томский государственный университет» (старейший университет Сибири входит в топ-3 вузов России в Глобальном агрегированном рейтинге 2025 года), ФГАОУ ВО «Национальный исследовательский Томский политехнический университет», </w:t>
      </w:r>
      <w:r w:rsidRPr="00F71119">
        <w:rPr>
          <w:rFonts w:ascii="Times New Roman" w:eastAsia="Calibri" w:hAnsi="Times New Roman"/>
          <w:color w:val="auto"/>
          <w:sz w:val="26"/>
          <w:szCs w:val="26"/>
        </w:rPr>
        <w:t>ФГБОУ ВО «Сибирский государственный медицинский университет» Министерства здравоохранения Российской Федерации</w:t>
      </w:r>
      <w:r w:rsidRPr="00F71119">
        <w:rPr>
          <w:rFonts w:ascii="Times New Roman" w:hAnsi="Times New Roman"/>
          <w:color w:val="auto"/>
          <w:sz w:val="26"/>
          <w:szCs w:val="26"/>
        </w:rPr>
        <w:t xml:space="preserve">, ФГАОУ ВО «Томский государственный университет систем управления </w:t>
      </w:r>
      <w:r w:rsidR="00CC23A2">
        <w:rPr>
          <w:rFonts w:ascii="Times New Roman" w:hAnsi="Times New Roman"/>
          <w:color w:val="auto"/>
          <w:sz w:val="26"/>
          <w:szCs w:val="26"/>
        </w:rPr>
        <w:br/>
      </w:r>
      <w:r w:rsidRPr="00F71119">
        <w:rPr>
          <w:rFonts w:ascii="Times New Roman" w:hAnsi="Times New Roman"/>
          <w:color w:val="auto"/>
          <w:sz w:val="26"/>
          <w:szCs w:val="26"/>
        </w:rPr>
        <w:t xml:space="preserve">и радиоэлектроники», ФГБОУ ВО «Томский государственный педагогический </w:t>
      </w:r>
      <w:r w:rsidRPr="00F71119">
        <w:rPr>
          <w:rFonts w:ascii="Times New Roman" w:hAnsi="Times New Roman"/>
          <w:color w:val="auto"/>
          <w:sz w:val="26"/>
          <w:szCs w:val="26"/>
        </w:rPr>
        <w:lastRenderedPageBreak/>
        <w:t>университет», ФГБОУ ВО «Томский государственный архитектурно-строительный университет», а также частные вузы.</w:t>
      </w:r>
      <w:bookmarkEnd w:id="248"/>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Всего на территории городского округа заявлены к реализации порядка </w:t>
      </w:r>
      <w:r w:rsidR="00CC23A2">
        <w:rPr>
          <w:rFonts w:ascii="Times New Roman" w:hAnsi="Times New Roman"/>
          <w:color w:val="auto"/>
          <w:sz w:val="26"/>
          <w:szCs w:val="26"/>
        </w:rPr>
        <w:br/>
      </w:r>
      <w:r w:rsidRPr="00F71119">
        <w:rPr>
          <w:rFonts w:ascii="Times New Roman" w:hAnsi="Times New Roman"/>
          <w:color w:val="auto"/>
          <w:sz w:val="26"/>
          <w:szCs w:val="26"/>
        </w:rPr>
        <w:t>100 инвестиционных проектов. Основные объемы финансирования будут направлены в социальный сектор — образование, здравоохранение, культуру, спорт и досуг. Таким образом, экономика города и его функционал станет еще более социально ориентированными.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Основу хозяйственного развития округа на перспективу составят нефтехимический кластер и кластер инновационного машиностроения </w:t>
      </w:r>
      <w:r w:rsidR="00CC23A2">
        <w:rPr>
          <w:rFonts w:ascii="Times New Roman" w:hAnsi="Times New Roman"/>
          <w:color w:val="auto"/>
          <w:sz w:val="26"/>
          <w:szCs w:val="26"/>
        </w:rPr>
        <w:br/>
      </w:r>
      <w:r w:rsidRPr="00F71119">
        <w:rPr>
          <w:rFonts w:ascii="Times New Roman" w:hAnsi="Times New Roman"/>
          <w:color w:val="auto"/>
          <w:sz w:val="26"/>
          <w:szCs w:val="26"/>
        </w:rPr>
        <w:t xml:space="preserve">при сопутствующей роли агропромышленных и лесопромышленных производств. Реализации подлежит обширный ряд заявленных инвестиционных проектов, которые преимущественно включают модернизацию и введение новых технологических линий на существующих предприятиях нефтехимии </w:t>
      </w:r>
      <w:r w:rsidR="00CC23A2">
        <w:rPr>
          <w:rFonts w:ascii="Times New Roman" w:hAnsi="Times New Roman"/>
          <w:color w:val="auto"/>
          <w:sz w:val="26"/>
          <w:szCs w:val="26"/>
        </w:rPr>
        <w:br/>
      </w:r>
      <w:r w:rsidRPr="00F71119">
        <w:rPr>
          <w:rFonts w:ascii="Times New Roman" w:hAnsi="Times New Roman"/>
          <w:color w:val="auto"/>
          <w:sz w:val="26"/>
          <w:szCs w:val="26"/>
        </w:rPr>
        <w:t>и машиностроения, а также развитие деревообработки (в том числе строительство завода по производству плит OSB). Потенциально с учетом сложившейся специализации территория округа является перспективной для размещения производств бытовой техники и бытовой химии.</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Дополнительный стимул развитию производственной функции округа дает статус ОЭЗ ТВТ «Томск», а также наличие двух площадок промышленного парка «Томск».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В реальном секторе экономики среди обрабатывающих производственных направлений основной объем инвестиций получат химическое производство (более 10 млрд рублей), пищевой комплекс (2,7 млрд рублей), производство электрического оборудования (2,6 млрд рублей), производство прочей неметаллической минеральной продукции (2,1 млрд рублей), производство машин и оборудования </w:t>
      </w:r>
      <w:r w:rsidRPr="00F71119">
        <w:rPr>
          <w:rFonts w:ascii="Times New Roman" w:hAnsi="Times New Roman"/>
          <w:color w:val="auto"/>
          <w:sz w:val="26"/>
          <w:szCs w:val="26"/>
        </w:rPr>
        <w:br/>
        <w:t>(1,9</w:t>
      </w:r>
      <w:r w:rsidR="00CC23A2">
        <w:rPr>
          <w:rFonts w:ascii="Times New Roman" w:hAnsi="Times New Roman"/>
          <w:color w:val="auto"/>
          <w:sz w:val="26"/>
          <w:szCs w:val="26"/>
        </w:rPr>
        <w:t xml:space="preserve"> </w:t>
      </w:r>
      <w:r w:rsidRPr="00F71119">
        <w:rPr>
          <w:rFonts w:ascii="Times New Roman" w:hAnsi="Times New Roman"/>
          <w:color w:val="auto"/>
          <w:sz w:val="26"/>
          <w:szCs w:val="26"/>
        </w:rPr>
        <w:t>–</w:t>
      </w:r>
      <w:r w:rsidR="00CC23A2">
        <w:rPr>
          <w:rFonts w:ascii="Times New Roman" w:hAnsi="Times New Roman"/>
          <w:color w:val="auto"/>
          <w:sz w:val="26"/>
          <w:szCs w:val="26"/>
        </w:rPr>
        <w:t xml:space="preserve"> </w:t>
      </w:r>
      <w:r w:rsidRPr="00F71119">
        <w:rPr>
          <w:rFonts w:ascii="Times New Roman" w:hAnsi="Times New Roman"/>
          <w:color w:val="auto"/>
          <w:sz w:val="26"/>
          <w:szCs w:val="26"/>
        </w:rPr>
        <w:t>2,0 млрд рублей), производство пиломатериалов (1,6 млрд рублей).</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Кроме производственных направлений, весьма большие объемы инвестирования планируются в науку и исследования (2,2 млрд рублей), разработку программных продуктов (3,1 млрд рублей). Также будут расти другие (сопутствующие) виды деятельности, в частности сфера услуг.</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Также следует учитывать общий тренд на перенос промышленных производств из городов в зону агломерации. В Томске крупные производственные зоны расположены в северной и северо-западной части, на границе городского округа. Однако более мелкие промзоны имеются и на периферии основного пятна застройки. Некоторые из них сохранят свой функционал, но малоэффективные промышленные зоны, подвергающиеся «эрозии», давлению со стороны смежных селитебных зон, будут преобразовываться.</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Реализация образовательного и инновационного потенциала Томска намечается посредством осуществления научных и образовательных программ </w:t>
      </w:r>
      <w:r w:rsidR="00CC23A2">
        <w:rPr>
          <w:rFonts w:ascii="Times New Roman" w:hAnsi="Times New Roman"/>
          <w:color w:val="auto"/>
          <w:sz w:val="26"/>
          <w:szCs w:val="26"/>
        </w:rPr>
        <w:br/>
      </w:r>
      <w:r w:rsidRPr="00F71119">
        <w:rPr>
          <w:rFonts w:ascii="Times New Roman" w:hAnsi="Times New Roman"/>
          <w:color w:val="auto"/>
          <w:sz w:val="26"/>
          <w:szCs w:val="26"/>
        </w:rPr>
        <w:t xml:space="preserve">и проектов, создания современного межвузовского кампуса в г. Томске </w:t>
      </w:r>
      <w:r w:rsidR="00CC23A2">
        <w:rPr>
          <w:rFonts w:ascii="Times New Roman" w:hAnsi="Times New Roman"/>
          <w:color w:val="auto"/>
          <w:sz w:val="26"/>
          <w:szCs w:val="26"/>
        </w:rPr>
        <w:br/>
      </w:r>
      <w:r w:rsidRPr="00F71119">
        <w:rPr>
          <w:rFonts w:ascii="Times New Roman" w:hAnsi="Times New Roman"/>
          <w:color w:val="auto"/>
          <w:sz w:val="26"/>
          <w:szCs w:val="26"/>
        </w:rPr>
        <w:t xml:space="preserve">с инновационной средой.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Ввод кампуса запланирован на четвертый квартал 2030 года. Кампус разместится на земельном участке площадью более 55 га рядом с ОЭЗ ТВТ «Томск». Он будет включать жилой комплекс для студентов и аспирантов на 6 тыс. мест; многофункциональный учебный центр; физкультурно-оздоровительный комплекс </w:t>
      </w:r>
      <w:r w:rsidR="00CC23A2">
        <w:rPr>
          <w:rFonts w:ascii="Times New Roman" w:hAnsi="Times New Roman"/>
          <w:color w:val="auto"/>
          <w:sz w:val="26"/>
          <w:szCs w:val="26"/>
        </w:rPr>
        <w:br/>
      </w:r>
      <w:r w:rsidRPr="00F71119">
        <w:rPr>
          <w:rFonts w:ascii="Times New Roman" w:hAnsi="Times New Roman"/>
          <w:color w:val="auto"/>
          <w:sz w:val="26"/>
          <w:szCs w:val="26"/>
        </w:rPr>
        <w:t xml:space="preserve">с бассейном. Площадь застройки — более 39 тыс. кв. м.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lastRenderedPageBreak/>
        <w:t xml:space="preserve">Сохранение квалифицированных кадров в регионе может быть достигнуто </w:t>
      </w:r>
      <w:r w:rsidR="00CC23A2">
        <w:rPr>
          <w:rFonts w:ascii="Times New Roman" w:hAnsi="Times New Roman"/>
          <w:color w:val="auto"/>
          <w:sz w:val="26"/>
          <w:szCs w:val="26"/>
        </w:rPr>
        <w:br/>
      </w:r>
      <w:r w:rsidRPr="00F71119">
        <w:rPr>
          <w:rFonts w:ascii="Times New Roman" w:hAnsi="Times New Roman"/>
          <w:color w:val="auto"/>
          <w:sz w:val="26"/>
          <w:szCs w:val="26"/>
        </w:rPr>
        <w:t>за счет усиления ориентации научно-образовательного комплекса на содействие достижению технологического лидерства.</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Повышение инвестиционного потенциала Томска и привлекательности </w:t>
      </w:r>
      <w:r w:rsidR="00CC23A2">
        <w:rPr>
          <w:rFonts w:ascii="Times New Roman" w:hAnsi="Times New Roman"/>
          <w:color w:val="auto"/>
          <w:sz w:val="26"/>
          <w:szCs w:val="26"/>
        </w:rPr>
        <w:br/>
      </w:r>
      <w:r w:rsidRPr="00F71119">
        <w:rPr>
          <w:rFonts w:ascii="Times New Roman" w:hAnsi="Times New Roman"/>
          <w:color w:val="auto"/>
          <w:sz w:val="26"/>
          <w:szCs w:val="26"/>
        </w:rPr>
        <w:t>его для проживания напрямую связано с восстановлением исторического облика центра города. Длительная стагнация территорий с высокой градостроительной ценностью может привести к постепенной утрате объектов, представляющих историко-культурный интерес, имеющих значительный потенциал в плане редевелопмента и включения в городскую экономику.</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Действующие градостроительные регламенты в границах исторического поселения из-за жестких требований по этажности и проценту застройки практически исключают какую-либо возможность инвестиционной активности. Регенерация пространства исторического поселения требует взаимоувязки ценностных и инвестиционных аспектов, комплексной диагностики застройки </w:t>
      </w:r>
      <w:r w:rsidR="00CC23A2">
        <w:rPr>
          <w:rFonts w:ascii="Times New Roman" w:hAnsi="Times New Roman"/>
          <w:color w:val="auto"/>
          <w:sz w:val="26"/>
          <w:szCs w:val="26"/>
        </w:rPr>
        <w:br/>
      </w:r>
      <w:r w:rsidRPr="00F71119">
        <w:rPr>
          <w:rFonts w:ascii="Times New Roman" w:hAnsi="Times New Roman"/>
          <w:color w:val="auto"/>
          <w:sz w:val="26"/>
          <w:szCs w:val="26"/>
        </w:rPr>
        <w:t xml:space="preserve">с последующим проведением дифференцированной градостроительной политики </w:t>
      </w:r>
      <w:r w:rsidR="00CC23A2">
        <w:rPr>
          <w:rFonts w:ascii="Times New Roman" w:hAnsi="Times New Roman"/>
          <w:color w:val="auto"/>
          <w:sz w:val="26"/>
          <w:szCs w:val="26"/>
        </w:rPr>
        <w:t>–</w:t>
      </w:r>
      <w:r w:rsidRPr="00F71119">
        <w:rPr>
          <w:rFonts w:ascii="Times New Roman" w:hAnsi="Times New Roman"/>
          <w:color w:val="auto"/>
          <w:sz w:val="26"/>
          <w:szCs w:val="26"/>
        </w:rPr>
        <w:t xml:space="preserve"> регенерации, санации, адаптации диссонирующей застройки к историческому контексту в увязке с улично-дорожной сетью и водно-зелеными ландшафтами.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Приоритетные направления пространственного развития включают:</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а) территории, занятые преимущественно ветхим и неблагоустроенным фондом в центральной части города;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б) неэффективно используемые территории в юго-восточном и левобережном направлениях; </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 xml:space="preserve">в) формирование транспортно-логистического, промышленного и делового кластеров между Северском и Томском. Основные площадки нового жилищного строительства </w:t>
      </w:r>
      <w:r w:rsidR="00CC23A2">
        <w:rPr>
          <w:rFonts w:ascii="Times New Roman" w:hAnsi="Times New Roman"/>
          <w:color w:val="auto"/>
          <w:sz w:val="26"/>
          <w:szCs w:val="26"/>
        </w:rPr>
        <w:t xml:space="preserve">– </w:t>
      </w:r>
      <w:r w:rsidRPr="00F71119">
        <w:rPr>
          <w:rFonts w:ascii="Times New Roman" w:hAnsi="Times New Roman"/>
          <w:color w:val="auto"/>
          <w:sz w:val="26"/>
          <w:szCs w:val="26"/>
        </w:rPr>
        <w:t>ЖК Ботаника, Сосновый Бор.</w:t>
      </w:r>
    </w:p>
    <w:p w:rsidR="00E618FE" w:rsidRPr="00F71119" w:rsidRDefault="00800098">
      <w:pPr>
        <w:pStyle w:val="a4"/>
        <w:rPr>
          <w:rFonts w:ascii="Times New Roman" w:hAnsi="Times New Roman"/>
          <w:color w:val="auto"/>
          <w:sz w:val="26"/>
          <w:szCs w:val="26"/>
        </w:rPr>
      </w:pPr>
      <w:r w:rsidRPr="00F71119">
        <w:rPr>
          <w:rFonts w:ascii="Times New Roman" w:eastAsia="PT Astra Serif" w:hAnsi="Times New Roman"/>
          <w:color w:val="auto"/>
          <w:sz w:val="26"/>
          <w:szCs w:val="26"/>
        </w:rPr>
        <w:t>Ключевые проекты по развитию транспортной инфраструктуры включают строительство Малого транспортного кольца, строительство транспортной развязки в разных уровнях на площади Транспортной в г. Томске, реконструкцию Степановского переезда, строительство левобережной объездной автомобильной дороги.</w:t>
      </w:r>
    </w:p>
    <w:p w:rsidR="00E618FE" w:rsidRPr="00F71119" w:rsidRDefault="00800098">
      <w:pPr>
        <w:pStyle w:val="a4"/>
        <w:rPr>
          <w:rFonts w:ascii="Times New Roman" w:hAnsi="Times New Roman"/>
          <w:color w:val="auto"/>
          <w:sz w:val="26"/>
          <w:szCs w:val="26"/>
        </w:rPr>
      </w:pPr>
      <w:bookmarkStart w:id="249" w:name="_Hlk231400076"/>
      <w:r w:rsidRPr="00F71119">
        <w:rPr>
          <w:rFonts w:ascii="Times New Roman" w:hAnsi="Times New Roman"/>
          <w:color w:val="auto"/>
          <w:sz w:val="26"/>
          <w:szCs w:val="26"/>
        </w:rPr>
        <w:t xml:space="preserve">Основные задачи по развитию коммунальной инфраструктуры </w:t>
      </w:r>
      <w:r w:rsidR="00CC23A2">
        <w:rPr>
          <w:rFonts w:ascii="Times New Roman" w:hAnsi="Times New Roman"/>
          <w:color w:val="auto"/>
          <w:sz w:val="26"/>
          <w:szCs w:val="26"/>
        </w:rPr>
        <w:t>–</w:t>
      </w:r>
      <w:r w:rsidRPr="00F71119">
        <w:rPr>
          <w:rFonts w:ascii="Times New Roman" w:hAnsi="Times New Roman"/>
          <w:color w:val="auto"/>
          <w:sz w:val="26"/>
          <w:szCs w:val="26"/>
        </w:rPr>
        <w:t xml:space="preserve"> строительство дублирующего водовода от водозабора до потребителей г. Томска, подключение к централизованным системам водоснабжения и водоотведения районов новой застройки, модернизация сетей водоснабжения и водоотведения, городских очистных сооружений.</w:t>
      </w:r>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Основные задачи развития</w:t>
      </w:r>
      <w:r w:rsidR="00CC23A2">
        <w:rPr>
          <w:rFonts w:ascii="Times New Roman" w:hAnsi="Times New Roman"/>
          <w:color w:val="auto"/>
          <w:sz w:val="26"/>
          <w:szCs w:val="26"/>
        </w:rPr>
        <w:t xml:space="preserve"> энергетической инфраструктуры –</w:t>
      </w:r>
      <w:r w:rsidRPr="00F71119">
        <w:rPr>
          <w:rFonts w:ascii="Times New Roman" w:hAnsi="Times New Roman"/>
          <w:color w:val="auto"/>
          <w:sz w:val="26"/>
          <w:szCs w:val="26"/>
        </w:rPr>
        <w:t xml:space="preserve"> строительство замещающих мощностей для замены выбывающих мощностей ГРЭС–2 ориентировочной установленной мощностью порядка 360 Гкал / час; модернизация сетей централизованной системы теплоснабжения, модернизация локальных угольных и газовых котельных с переводом угольных котельных на природный газ.</w:t>
      </w:r>
      <w:bookmarkEnd w:id="249"/>
    </w:p>
    <w:p w:rsidR="00E618FE" w:rsidRPr="00F71119" w:rsidRDefault="00800098">
      <w:pPr>
        <w:pStyle w:val="a4"/>
        <w:rPr>
          <w:rFonts w:ascii="Times New Roman" w:hAnsi="Times New Roman"/>
          <w:color w:val="auto"/>
          <w:sz w:val="26"/>
          <w:szCs w:val="26"/>
        </w:rPr>
      </w:pPr>
      <w:r w:rsidRPr="00F71119">
        <w:rPr>
          <w:rFonts w:ascii="Times New Roman" w:hAnsi="Times New Roman"/>
          <w:color w:val="auto"/>
          <w:sz w:val="26"/>
          <w:szCs w:val="26"/>
        </w:rPr>
        <w:t>Перспективы развития городского округа в системе расселения региона связаны с усилением его роли в оказании социальных и коммуникационных услуг, активном развитии жилищного строительства с территориальным срастанием сельских населенных пунктов в составе округа.</w:t>
      </w:r>
    </w:p>
    <w:p w:rsidR="00E618FE" w:rsidRPr="00CC23A2"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ЗАТО Северск</w:t>
      </w:r>
      <w:r w:rsidRPr="00535A4B">
        <w:rPr>
          <w:rFonts w:ascii="Times New Roman" w:eastAsia="Aptos" w:hAnsi="Times New Roman"/>
          <w:color w:val="auto"/>
          <w:lang w:eastAsia="en-US"/>
          <w14:ligatures w14:val="standardContextual"/>
        </w:rPr>
        <w:t xml:space="preserve"> </w:t>
      </w:r>
      <w:r w:rsidR="00CC23A2">
        <w:rPr>
          <w:rFonts w:ascii="Times New Roman" w:eastAsia="Aptos" w:hAnsi="Times New Roman"/>
          <w:color w:val="auto"/>
          <w:lang w:eastAsia="en-US"/>
          <w14:ligatures w14:val="standardContextual"/>
        </w:rPr>
        <w:t>–</w:t>
      </w:r>
      <w:r w:rsidRPr="00CC23A2">
        <w:rPr>
          <w:rFonts w:ascii="Times New Roman" w:eastAsia="Aptos" w:hAnsi="Times New Roman"/>
          <w:color w:val="auto"/>
          <w:sz w:val="26"/>
          <w:szCs w:val="26"/>
          <w:lang w:eastAsia="en-US"/>
          <w14:ligatures w14:val="standardContextual"/>
        </w:rPr>
        <w:t xml:space="preserve"> специализированный центр атомной промышленности, активно осуществляющий </w:t>
      </w:r>
      <w:r w:rsidRPr="00CC23A2">
        <w:rPr>
          <w:rFonts w:ascii="Times New Roman" w:hAnsi="Times New Roman"/>
          <w:color w:val="auto"/>
          <w:sz w:val="26"/>
          <w:szCs w:val="26"/>
        </w:rPr>
        <w:t xml:space="preserve">диверсификацию хозяйственного комплекса. Сопутствующие отрасли </w:t>
      </w:r>
      <w:r w:rsidR="00CC23A2">
        <w:rPr>
          <w:rFonts w:ascii="Times New Roman" w:hAnsi="Times New Roman"/>
          <w:color w:val="auto"/>
          <w:sz w:val="26"/>
          <w:szCs w:val="26"/>
        </w:rPr>
        <w:t>–</w:t>
      </w:r>
      <w:r w:rsidRPr="00CC23A2">
        <w:rPr>
          <w:rFonts w:ascii="Times New Roman" w:hAnsi="Times New Roman"/>
          <w:color w:val="auto"/>
          <w:sz w:val="26"/>
          <w:szCs w:val="26"/>
        </w:rPr>
        <w:t xml:space="preserve"> производство оборудования, пищевая и химическая </w:t>
      </w:r>
      <w:r w:rsidRPr="00CC23A2">
        <w:rPr>
          <w:rFonts w:ascii="Times New Roman" w:hAnsi="Times New Roman"/>
          <w:color w:val="auto"/>
          <w:sz w:val="26"/>
          <w:szCs w:val="26"/>
        </w:rPr>
        <w:lastRenderedPageBreak/>
        <w:t>промышленность. За период 2020 – 2025 годы численность населения ЗАТО снизилась на 1,5 %.</w:t>
      </w:r>
    </w:p>
    <w:p w:rsidR="00E618FE" w:rsidRPr="00CC23A2" w:rsidRDefault="00CC23A2">
      <w:pPr>
        <w:pStyle w:val="a4"/>
        <w:rPr>
          <w:rFonts w:ascii="Times New Roman" w:hAnsi="Times New Roman"/>
          <w:color w:val="auto"/>
          <w:sz w:val="26"/>
          <w:szCs w:val="26"/>
        </w:rPr>
      </w:pPr>
      <w:r>
        <w:rPr>
          <w:rFonts w:ascii="Times New Roman" w:hAnsi="Times New Roman"/>
          <w:color w:val="auto"/>
          <w:sz w:val="26"/>
          <w:szCs w:val="26"/>
        </w:rPr>
        <w:t>Градообразующее предприятие –</w:t>
      </w:r>
      <w:r w:rsidR="00800098" w:rsidRPr="00CC23A2">
        <w:rPr>
          <w:rFonts w:ascii="Times New Roman" w:hAnsi="Times New Roman"/>
          <w:color w:val="auto"/>
          <w:sz w:val="26"/>
          <w:szCs w:val="26"/>
        </w:rPr>
        <w:t xml:space="preserve"> АО «Сибирский химический комбинат», который является производителем гексафторида урана, а также специализируется </w:t>
      </w:r>
      <w:r>
        <w:rPr>
          <w:rFonts w:ascii="Times New Roman" w:hAnsi="Times New Roman"/>
          <w:color w:val="auto"/>
          <w:sz w:val="26"/>
          <w:szCs w:val="26"/>
        </w:rPr>
        <w:br/>
      </w:r>
      <w:r w:rsidR="00800098" w:rsidRPr="00CC23A2">
        <w:rPr>
          <w:rFonts w:ascii="Times New Roman" w:hAnsi="Times New Roman"/>
          <w:color w:val="auto"/>
          <w:sz w:val="26"/>
          <w:szCs w:val="26"/>
        </w:rPr>
        <w:t xml:space="preserve">на обогащении природного и регенерированного урана, используемого </w:t>
      </w:r>
      <w:r>
        <w:rPr>
          <w:rFonts w:ascii="Times New Roman" w:hAnsi="Times New Roman"/>
          <w:color w:val="auto"/>
          <w:sz w:val="26"/>
          <w:szCs w:val="26"/>
        </w:rPr>
        <w:br/>
      </w:r>
      <w:r w:rsidR="00800098" w:rsidRPr="00CC23A2">
        <w:rPr>
          <w:rFonts w:ascii="Times New Roman" w:hAnsi="Times New Roman"/>
          <w:color w:val="auto"/>
          <w:sz w:val="26"/>
          <w:szCs w:val="26"/>
        </w:rPr>
        <w:t>для изготовления топлива для атомных электростанций. Входит в контур управления Топливной компании Росатома «ТВЭЛ». Производственное ядро комбината составляют четыре завода по обращению с ядерными материалами: завод разделения изотопов, сублиматный, радиохимический и химико-металлургический заводы.</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Также в Северске имеются предприятия химической промышленности (производство полимерных компаундов, азотных удобрений), машиностроения (производство электродвигателей, кабельно-проводниковой продукции, светодиодных светильников, электрического оборудования, судостроение </w:t>
      </w:r>
      <w:r w:rsidR="00CC23A2">
        <w:rPr>
          <w:rFonts w:ascii="Times New Roman" w:hAnsi="Times New Roman"/>
          <w:color w:val="auto"/>
          <w:sz w:val="26"/>
          <w:szCs w:val="26"/>
        </w:rPr>
        <w:br/>
      </w:r>
      <w:r w:rsidRPr="00CC23A2">
        <w:rPr>
          <w:rFonts w:ascii="Times New Roman" w:hAnsi="Times New Roman"/>
          <w:color w:val="auto"/>
          <w:sz w:val="26"/>
          <w:szCs w:val="26"/>
        </w:rPr>
        <w:t>и судоремонт), пищевые производства (переработка мяса, молока, хлебобулочных изделий).</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С 2019 года на территории ЗАТО Северск действует статус ТОР (постановление Правительства Российской Федерации от 12 февраля 2019 года </w:t>
      </w:r>
      <w:r w:rsidR="00CC23A2">
        <w:rPr>
          <w:rFonts w:ascii="Times New Roman" w:hAnsi="Times New Roman"/>
          <w:color w:val="auto"/>
          <w:sz w:val="26"/>
          <w:szCs w:val="26"/>
        </w:rPr>
        <w:br/>
      </w:r>
      <w:r w:rsidRPr="00CC23A2">
        <w:rPr>
          <w:rFonts w:ascii="Times New Roman" w:hAnsi="Times New Roman"/>
          <w:color w:val="auto"/>
          <w:sz w:val="26"/>
          <w:szCs w:val="26"/>
        </w:rPr>
        <w:t xml:space="preserve">№ 132) для привлечения инвестиций по следующим направлениям: машиностроение, химическая продукция и удобрения, новые материалы, микроэлектроника, металлообработка, пищевая промышленность, переработка отходы и производство электротехнической продукции. </w:t>
      </w:r>
      <w:bookmarkStart w:id="250" w:name="_Hlk231400145"/>
      <w:r w:rsidRPr="00CC23A2">
        <w:rPr>
          <w:rFonts w:ascii="Times New Roman" w:hAnsi="Times New Roman"/>
          <w:color w:val="auto"/>
          <w:sz w:val="26"/>
          <w:szCs w:val="26"/>
        </w:rPr>
        <w:t xml:space="preserve">По данным на 2026 год резидентами ТОР «Северск» являются 23 хозяйствующих субъекта с общей стоимостью инвестиционных проектов около 33,5 млрд рублей, из которых </w:t>
      </w:r>
      <w:r w:rsidR="00CC23A2">
        <w:rPr>
          <w:rFonts w:ascii="Times New Roman" w:hAnsi="Times New Roman"/>
          <w:color w:val="auto"/>
          <w:sz w:val="26"/>
          <w:szCs w:val="26"/>
        </w:rPr>
        <w:br/>
      </w:r>
      <w:r w:rsidRPr="00CC23A2">
        <w:rPr>
          <w:rFonts w:ascii="Times New Roman" w:hAnsi="Times New Roman"/>
          <w:color w:val="auto"/>
          <w:sz w:val="26"/>
          <w:szCs w:val="26"/>
        </w:rPr>
        <w:t>более 22 млрд рублей приходится на инвестиционный проект АО «РГ</w:t>
      </w:r>
      <w:r w:rsidR="00CC23A2">
        <w:rPr>
          <w:rFonts w:ascii="Times New Roman" w:hAnsi="Times New Roman"/>
          <w:color w:val="auto"/>
          <w:sz w:val="26"/>
          <w:szCs w:val="26"/>
        </w:rPr>
        <w:t xml:space="preserve"> – </w:t>
      </w:r>
      <w:r w:rsidRPr="00CC23A2">
        <w:rPr>
          <w:rFonts w:ascii="Times New Roman" w:hAnsi="Times New Roman"/>
          <w:color w:val="auto"/>
          <w:sz w:val="26"/>
          <w:szCs w:val="26"/>
        </w:rPr>
        <w:t>Западная Сибирь».</w:t>
      </w:r>
      <w:bookmarkEnd w:id="250"/>
      <w:r w:rsidRPr="00CC23A2">
        <w:rPr>
          <w:rFonts w:ascii="Times New Roman" w:hAnsi="Times New Roman"/>
          <w:color w:val="auto"/>
          <w:sz w:val="26"/>
          <w:szCs w:val="26"/>
        </w:rPr>
        <w:t xml:space="preserve"> Ввод в опытно-промышленную эксплуатацию состоялся в 2025 году. Объект, создаваемый ГК «Росатом», предназначен для переработки опасных промышленных отходов I и II классов (за исключением ядерных и радиоактивных).</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Вторая группа перспективных инвестиционных проектов связана с химическим производством (ООО «Аврора Кемикалс» </w:t>
      </w:r>
      <w:r w:rsidR="00CC23A2">
        <w:rPr>
          <w:rFonts w:ascii="Times New Roman" w:hAnsi="Times New Roman"/>
          <w:color w:val="auto"/>
          <w:sz w:val="26"/>
          <w:szCs w:val="26"/>
        </w:rPr>
        <w:t>–</w:t>
      </w:r>
      <w:r w:rsidRPr="00CC23A2">
        <w:rPr>
          <w:rFonts w:ascii="Times New Roman" w:hAnsi="Times New Roman"/>
          <w:color w:val="auto"/>
          <w:sz w:val="26"/>
          <w:szCs w:val="26"/>
        </w:rPr>
        <w:t xml:space="preserve"> производство безводного фторида водорода из обедненного гексафторида урана; ООО «Сибрегионпромсервис» — синтез поликарбонфторидов) и титанового производства (производство диоксида титана на площадке Сибирского химкомбината в рамках проекта «Сибирский титан» с использованием в качестве реагента бифторида аммония). Инвестиции в основной капитал ООО «Аврора Кемикалс» оцениваются в 4,3  – 4,4 млрд рублей, ООО «Сибирский титан» </w:t>
      </w:r>
      <w:r w:rsidR="00CC23A2">
        <w:rPr>
          <w:rFonts w:ascii="Times New Roman" w:hAnsi="Times New Roman"/>
          <w:color w:val="auto"/>
          <w:sz w:val="26"/>
          <w:szCs w:val="26"/>
        </w:rPr>
        <w:t>–</w:t>
      </w:r>
      <w:r w:rsidRPr="00CC23A2">
        <w:rPr>
          <w:rFonts w:ascii="Times New Roman" w:hAnsi="Times New Roman"/>
          <w:color w:val="auto"/>
          <w:sz w:val="26"/>
          <w:szCs w:val="26"/>
        </w:rPr>
        <w:t xml:space="preserve"> </w:t>
      </w:r>
      <w:r w:rsidR="00CC23A2">
        <w:rPr>
          <w:rFonts w:ascii="Times New Roman" w:hAnsi="Times New Roman"/>
          <w:color w:val="auto"/>
          <w:sz w:val="26"/>
          <w:szCs w:val="26"/>
        </w:rPr>
        <w:br/>
      </w:r>
      <w:r w:rsidRPr="00CC23A2">
        <w:rPr>
          <w:rFonts w:ascii="Times New Roman" w:hAnsi="Times New Roman"/>
          <w:color w:val="auto"/>
          <w:sz w:val="26"/>
          <w:szCs w:val="26"/>
        </w:rPr>
        <w:t xml:space="preserve">в 2026 году после переоценки инвестиционная потребность проекта возросла </w:t>
      </w:r>
      <w:r w:rsidR="00CC23A2">
        <w:rPr>
          <w:rFonts w:ascii="Times New Roman" w:hAnsi="Times New Roman"/>
          <w:color w:val="auto"/>
          <w:sz w:val="26"/>
          <w:szCs w:val="26"/>
        </w:rPr>
        <w:br/>
      </w:r>
      <w:r w:rsidRPr="00CC23A2">
        <w:rPr>
          <w:rFonts w:ascii="Times New Roman" w:hAnsi="Times New Roman"/>
          <w:color w:val="auto"/>
          <w:sz w:val="26"/>
          <w:szCs w:val="26"/>
        </w:rPr>
        <w:t>до 36 млрд рублей.</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Из остальных значимых инвестиционных проектов в ТОР Северск (с ожидаемыми объемами более 100 млн рублей) выделяются ООО «Деревенское молочко» (молочное производство), ООО НПК «ВАБ-70» (энергетическое машиностроение, в том числе для атомной энергетики).</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Ключевыми для экономики городского округа остаются проекты градообразующего холдинга АО «СХК», ГК «Росатом» и связанных </w:t>
      </w:r>
      <w:r w:rsidR="00CC23A2">
        <w:rPr>
          <w:rFonts w:ascii="Times New Roman" w:hAnsi="Times New Roman"/>
          <w:color w:val="auto"/>
          <w:sz w:val="26"/>
          <w:szCs w:val="26"/>
        </w:rPr>
        <w:t>компаний. Самый крупный проект –</w:t>
      </w:r>
      <w:r w:rsidRPr="00CC23A2">
        <w:rPr>
          <w:rFonts w:ascii="Times New Roman" w:hAnsi="Times New Roman"/>
          <w:color w:val="auto"/>
          <w:sz w:val="26"/>
          <w:szCs w:val="26"/>
        </w:rPr>
        <w:t xml:space="preserve"> строительство опытно-демонстрационного энергоблока </w:t>
      </w:r>
      <w:r w:rsidR="00CC23A2">
        <w:rPr>
          <w:rFonts w:ascii="Times New Roman" w:hAnsi="Times New Roman"/>
          <w:color w:val="auto"/>
          <w:sz w:val="26"/>
          <w:szCs w:val="26"/>
        </w:rPr>
        <w:br/>
      </w:r>
      <w:r w:rsidRPr="00CC23A2">
        <w:rPr>
          <w:rFonts w:ascii="Times New Roman" w:hAnsi="Times New Roman"/>
          <w:color w:val="auto"/>
          <w:sz w:val="26"/>
          <w:szCs w:val="26"/>
        </w:rPr>
        <w:t xml:space="preserve">с реактором на быстрых нейтронах со свинцовым теплоносителем (БРЕСТ-ОД-300) с инвестиционными объемами более 110 млрд рублей.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lastRenderedPageBreak/>
        <w:t>Второ</w:t>
      </w:r>
      <w:r w:rsidR="00CC23A2">
        <w:rPr>
          <w:rFonts w:ascii="Times New Roman" w:hAnsi="Times New Roman"/>
          <w:color w:val="auto"/>
          <w:sz w:val="26"/>
          <w:szCs w:val="26"/>
        </w:rPr>
        <w:t>й крупный проект ГК «Росатом» –</w:t>
      </w:r>
      <w:r w:rsidRPr="00CC23A2">
        <w:rPr>
          <w:rFonts w:ascii="Times New Roman" w:hAnsi="Times New Roman"/>
          <w:color w:val="auto"/>
          <w:sz w:val="26"/>
          <w:szCs w:val="26"/>
        </w:rPr>
        <w:t xml:space="preserve"> строительство модуля фабрикации </w:t>
      </w:r>
      <w:r w:rsidR="00CC23A2">
        <w:rPr>
          <w:rFonts w:ascii="Times New Roman" w:hAnsi="Times New Roman"/>
          <w:color w:val="auto"/>
          <w:sz w:val="26"/>
          <w:szCs w:val="26"/>
        </w:rPr>
        <w:br/>
      </w:r>
      <w:r w:rsidRPr="00CC23A2">
        <w:rPr>
          <w:rFonts w:ascii="Times New Roman" w:hAnsi="Times New Roman"/>
          <w:color w:val="auto"/>
          <w:sz w:val="26"/>
          <w:szCs w:val="26"/>
        </w:rPr>
        <w:t xml:space="preserve">и пускового модуля рефабрикации плотного смешанного уран-плутониевого топлива для реакторов на быстрых нейтронах и строительство модуля переработки отработавшего ядерного топлива реакторов на быстрых нейтронах (совокупно </w:t>
      </w:r>
      <w:r w:rsidR="00CC23A2">
        <w:rPr>
          <w:rFonts w:ascii="Times New Roman" w:hAnsi="Times New Roman"/>
          <w:color w:val="auto"/>
          <w:sz w:val="26"/>
          <w:szCs w:val="26"/>
        </w:rPr>
        <w:br/>
      </w:r>
      <w:r w:rsidRPr="00CC23A2">
        <w:rPr>
          <w:rFonts w:ascii="Times New Roman" w:hAnsi="Times New Roman"/>
          <w:color w:val="auto"/>
          <w:sz w:val="26"/>
          <w:szCs w:val="26"/>
        </w:rPr>
        <w:t>на оба проекта требуется не менее 60 млрд рублей). Еще в 4 – 5 млрд рублей оценивается проект создания производства коммерчески привлекательных фторсодержащих продуктов из вторичного техногенного сырья (объемы производства до 6 тыс. тонн/год по фторводороду).</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На территории городского округа планируется строительство Северской АЭС мощностью 2х1225 МВт, которое определит значение города и как крупного энергогенерирующего центра.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Таким образом, городской округ получит масштабное развитие в качестве важного научно-производственного узла (основанного на сочетании химических производств, энергетики, точного и наукоемкого машиностроения; в перспективе </w:t>
      </w:r>
      <w:r w:rsidR="00CC23A2">
        <w:rPr>
          <w:rFonts w:ascii="Times New Roman" w:hAnsi="Times New Roman"/>
          <w:color w:val="auto"/>
          <w:sz w:val="26"/>
          <w:szCs w:val="26"/>
        </w:rPr>
        <w:t>–</w:t>
      </w:r>
      <w:r w:rsidRPr="00CC23A2">
        <w:rPr>
          <w:rFonts w:ascii="Times New Roman" w:hAnsi="Times New Roman"/>
          <w:color w:val="auto"/>
          <w:sz w:val="26"/>
          <w:szCs w:val="26"/>
        </w:rPr>
        <w:t xml:space="preserve"> цветной металлургии).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В этой связи прогнозируется существенный приток постоянного и временного населения. Соответственно, обостряется вопрос о выделении новых территорий </w:t>
      </w:r>
      <w:r w:rsidR="00CC23A2">
        <w:rPr>
          <w:rFonts w:ascii="Times New Roman" w:hAnsi="Times New Roman"/>
          <w:color w:val="auto"/>
          <w:sz w:val="26"/>
          <w:szCs w:val="26"/>
        </w:rPr>
        <w:br/>
      </w:r>
      <w:r w:rsidRPr="00CC23A2">
        <w:rPr>
          <w:rFonts w:ascii="Times New Roman" w:hAnsi="Times New Roman"/>
          <w:color w:val="auto"/>
          <w:sz w:val="26"/>
          <w:szCs w:val="26"/>
        </w:rPr>
        <w:t xml:space="preserve">для жилищного строительства. Предпочтительным вариантом является развитие компактного города с застройкой облесенных земель поселений.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Благодаря статусу ЗАТО Северск традиционно имеет наиболее высокий уровень благоустройства и нуждается не в трансформации, а в пространственном развитии городской среды. Сельские населенные пункты частично преобразуются </w:t>
      </w:r>
      <w:r w:rsidR="00CC23A2">
        <w:rPr>
          <w:rFonts w:ascii="Times New Roman" w:hAnsi="Times New Roman"/>
          <w:color w:val="auto"/>
          <w:sz w:val="26"/>
          <w:szCs w:val="26"/>
        </w:rPr>
        <w:br/>
      </w:r>
      <w:r w:rsidRPr="00CC23A2">
        <w:rPr>
          <w:rFonts w:ascii="Times New Roman" w:hAnsi="Times New Roman"/>
          <w:color w:val="auto"/>
          <w:sz w:val="26"/>
          <w:szCs w:val="26"/>
        </w:rPr>
        <w:t>в пригородные коттеджные поселки и нуждаются в выравнивающих мероприятиях по благоустройству.</w:t>
      </w:r>
    </w:p>
    <w:p w:rsidR="00E618FE" w:rsidRPr="00CC23A2" w:rsidRDefault="00800098">
      <w:pPr>
        <w:pStyle w:val="a4"/>
        <w:rPr>
          <w:rFonts w:ascii="Times New Roman" w:hAnsi="Times New Roman"/>
          <w:color w:val="auto"/>
          <w:sz w:val="26"/>
          <w:szCs w:val="26"/>
        </w:rPr>
      </w:pPr>
      <w:bookmarkStart w:id="251" w:name="_Hlk231400284"/>
      <w:r w:rsidRPr="00CC23A2">
        <w:rPr>
          <w:rFonts w:ascii="Times New Roman" w:hAnsi="Times New Roman"/>
          <w:color w:val="auto"/>
          <w:sz w:val="26"/>
          <w:szCs w:val="26"/>
        </w:rPr>
        <w:t xml:space="preserve">Ключевыми инфраструктурными проектами является газификация городского округа, модернизация ТЭЦ филиала АО «РИР», модернизация городского водозабора (строительство 10 скважин), строительство новых канализационных очистных сооружений с полной биологической очисткой, модернизация системы теплоснабжения внегородских территорий (п. Самусь </w:t>
      </w:r>
      <w:r w:rsidR="00CC23A2">
        <w:rPr>
          <w:rFonts w:ascii="Times New Roman" w:hAnsi="Times New Roman"/>
          <w:color w:val="auto"/>
          <w:sz w:val="26"/>
          <w:szCs w:val="26"/>
        </w:rPr>
        <w:br/>
      </w:r>
      <w:r w:rsidRPr="00CC23A2">
        <w:rPr>
          <w:rFonts w:ascii="Times New Roman" w:hAnsi="Times New Roman"/>
          <w:color w:val="auto"/>
          <w:sz w:val="26"/>
          <w:szCs w:val="26"/>
        </w:rPr>
        <w:t>и п. Орловка).</w:t>
      </w:r>
      <w:bookmarkEnd w:id="251"/>
    </w:p>
    <w:p w:rsidR="00E618FE" w:rsidRPr="00CC23A2" w:rsidRDefault="00800098">
      <w:pPr>
        <w:pStyle w:val="a4"/>
        <w:rPr>
          <w:rFonts w:ascii="Times New Roman" w:eastAsia="Aptos" w:hAnsi="Times New Roman"/>
          <w:color w:val="auto"/>
          <w:sz w:val="26"/>
          <w:szCs w:val="26"/>
          <w:lang w:eastAsia="en-US"/>
          <w14:ligatures w14:val="standardContextual"/>
        </w:rPr>
      </w:pPr>
      <w:r w:rsidRPr="00CC23A2">
        <w:rPr>
          <w:rFonts w:ascii="Times New Roman" w:hAnsi="Times New Roman"/>
          <w:color w:val="auto"/>
          <w:sz w:val="26"/>
          <w:szCs w:val="26"/>
        </w:rPr>
        <w:t>Перспективы развития ЗАТО в системе</w:t>
      </w:r>
      <w:r w:rsidRPr="00CC23A2">
        <w:rPr>
          <w:rFonts w:ascii="Times New Roman" w:eastAsia="Aptos" w:hAnsi="Times New Roman"/>
          <w:color w:val="auto"/>
          <w:sz w:val="26"/>
          <w:szCs w:val="26"/>
          <w:lang w:eastAsia="en-US"/>
          <w14:ligatures w14:val="standardContextual"/>
        </w:rPr>
        <w:t xml:space="preserve"> расселения региона связаны с увеличением количества мест приложения труда и соответствующим ростом маятниковой миграции, развитием коттеджного строительства в сельских населенных пунктах.</w:t>
      </w:r>
    </w:p>
    <w:p w:rsidR="00E618FE" w:rsidRPr="00CC23A2"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Томский район</w:t>
      </w:r>
      <w:r w:rsidRPr="00535A4B">
        <w:rPr>
          <w:rFonts w:ascii="Times New Roman" w:eastAsia="Aptos" w:hAnsi="Times New Roman"/>
          <w:color w:val="auto"/>
          <w:lang w:eastAsia="en-US"/>
          <w14:ligatures w14:val="standardContextual"/>
        </w:rPr>
        <w:t xml:space="preserve"> </w:t>
      </w:r>
      <w:r w:rsidRPr="00CC23A2">
        <w:rPr>
          <w:rFonts w:ascii="Times New Roman" w:eastAsia="Aptos" w:hAnsi="Times New Roman"/>
          <w:color w:val="auto"/>
          <w:sz w:val="26"/>
          <w:szCs w:val="26"/>
          <w:lang w:eastAsia="en-US"/>
          <w14:ligatures w14:val="standardContextual"/>
        </w:rPr>
        <w:t xml:space="preserve">является территорией с высокой концентрацией производственной деятельности </w:t>
      </w:r>
      <w:r w:rsidRPr="00CC23A2">
        <w:rPr>
          <w:rFonts w:ascii="Times New Roman" w:hAnsi="Times New Roman"/>
          <w:color w:val="auto"/>
          <w:sz w:val="26"/>
          <w:szCs w:val="26"/>
        </w:rPr>
        <w:t>и лидирующим муниципальным образованием области по росту численности населения. За 2020 – 2025 годы численность населения района выросла на 13,4%, что связано с субурбанизацией города Томска.</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Основн</w:t>
      </w:r>
      <w:r w:rsidR="00CC23A2">
        <w:rPr>
          <w:rFonts w:ascii="Times New Roman" w:hAnsi="Times New Roman"/>
          <w:color w:val="auto"/>
          <w:sz w:val="26"/>
          <w:szCs w:val="26"/>
        </w:rPr>
        <w:t>ая хозяйственная специализация –</w:t>
      </w:r>
      <w:r w:rsidRPr="00CC23A2">
        <w:rPr>
          <w:rFonts w:ascii="Times New Roman" w:hAnsi="Times New Roman"/>
          <w:color w:val="auto"/>
          <w:sz w:val="26"/>
          <w:szCs w:val="26"/>
        </w:rPr>
        <w:t xml:space="preserve"> высокоразвитый агропромышленный к</w:t>
      </w:r>
      <w:r w:rsidR="00CC23A2">
        <w:rPr>
          <w:rFonts w:ascii="Times New Roman" w:hAnsi="Times New Roman"/>
          <w:color w:val="auto"/>
          <w:sz w:val="26"/>
          <w:szCs w:val="26"/>
        </w:rPr>
        <w:t>омплекс, сопутствующие отрасли –</w:t>
      </w:r>
      <w:r w:rsidRPr="00CC23A2">
        <w:rPr>
          <w:rFonts w:ascii="Times New Roman" w:hAnsi="Times New Roman"/>
          <w:color w:val="auto"/>
          <w:sz w:val="26"/>
          <w:szCs w:val="26"/>
        </w:rPr>
        <w:t xml:space="preserve"> добыча и обогащение руд редких металлов, машиностроение, строительная индустрия, деревообработка.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На Томский район приходится 63% продукции сельского хозяйства Томской области (2024 год), в том числе 73% произведенной продукции животноводства </w:t>
      </w:r>
      <w:r w:rsidR="00CC23A2">
        <w:rPr>
          <w:rFonts w:ascii="Times New Roman" w:hAnsi="Times New Roman"/>
          <w:color w:val="auto"/>
          <w:sz w:val="26"/>
          <w:szCs w:val="26"/>
        </w:rPr>
        <w:br/>
      </w:r>
      <w:r w:rsidRPr="00CC23A2">
        <w:rPr>
          <w:rFonts w:ascii="Times New Roman" w:hAnsi="Times New Roman"/>
          <w:color w:val="auto"/>
          <w:sz w:val="26"/>
          <w:szCs w:val="26"/>
        </w:rPr>
        <w:t xml:space="preserve">и 33% продукции растениеводства. Ключевые предприятия отрасли: свинокомплекс «Томский» АО «Сибагро», 3 птицефабрики холдинга «Сибагро», </w:t>
      </w:r>
      <w:r w:rsidR="00CC23A2">
        <w:rPr>
          <w:rFonts w:ascii="Times New Roman" w:hAnsi="Times New Roman"/>
          <w:color w:val="auto"/>
          <w:sz w:val="26"/>
          <w:szCs w:val="26"/>
        </w:rPr>
        <w:br/>
      </w:r>
      <w:r w:rsidRPr="00CC23A2">
        <w:rPr>
          <w:rFonts w:ascii="Times New Roman" w:hAnsi="Times New Roman"/>
          <w:color w:val="auto"/>
          <w:sz w:val="26"/>
          <w:szCs w:val="26"/>
        </w:rPr>
        <w:t xml:space="preserve">ООО «Межениновская Птицефабрика», ООО «СПК «Межениновский», </w:t>
      </w:r>
      <w:r w:rsidR="00CC23A2">
        <w:rPr>
          <w:rFonts w:ascii="Times New Roman" w:hAnsi="Times New Roman"/>
          <w:color w:val="auto"/>
          <w:sz w:val="26"/>
          <w:szCs w:val="26"/>
        </w:rPr>
        <w:br/>
      </w:r>
      <w:r w:rsidRPr="00CC23A2">
        <w:rPr>
          <w:rFonts w:ascii="Times New Roman" w:hAnsi="Times New Roman"/>
          <w:color w:val="auto"/>
          <w:sz w:val="26"/>
          <w:szCs w:val="26"/>
        </w:rPr>
        <w:t>СПК «Нелюбино», ООО «Трубачево», ООО «Спас», ООО «АПК «Первомайский-</w:t>
      </w:r>
      <w:r w:rsidRPr="00CC23A2">
        <w:rPr>
          <w:rFonts w:ascii="Times New Roman" w:hAnsi="Times New Roman"/>
          <w:color w:val="auto"/>
          <w:sz w:val="26"/>
          <w:szCs w:val="26"/>
        </w:rPr>
        <w:lastRenderedPageBreak/>
        <w:t>ЛК», ООО «ПЗ «Заварзинский», ООО «Агрокомплекс», ООО «АФ» Зоркальцевская».</w:t>
      </w:r>
    </w:p>
    <w:p w:rsidR="00E618FE" w:rsidRPr="00CC23A2" w:rsidRDefault="00800098">
      <w:pPr>
        <w:ind w:firstLine="720"/>
        <w:jc w:val="both"/>
        <w:rPr>
          <w:sz w:val="26"/>
          <w:szCs w:val="26"/>
          <w:lang w:eastAsia="ar-SA"/>
        </w:rPr>
      </w:pPr>
      <w:r w:rsidRPr="00CC23A2">
        <w:rPr>
          <w:sz w:val="26"/>
          <w:szCs w:val="26"/>
          <w:lang w:eastAsia="ar-SA"/>
        </w:rPr>
        <w:t xml:space="preserve">Основу обрабатывающей промышленности образуют предприятия пищепродуктового направления, осуществляющие производство мясной, молочной, рыбной продукции, растительного масла, кондитерских изделий. Машиностроение представлено предприятиями электронного, электротехнического производства, ремонта транспорта, а также металлообработки (АО НПФ «Микран», </w:t>
      </w:r>
      <w:r w:rsidR="00CC23A2">
        <w:rPr>
          <w:sz w:val="26"/>
          <w:szCs w:val="26"/>
          <w:lang w:eastAsia="ar-SA"/>
        </w:rPr>
        <w:br/>
      </w:r>
      <w:r w:rsidRPr="00CC23A2">
        <w:rPr>
          <w:sz w:val="26"/>
          <w:szCs w:val="26"/>
          <w:lang w:eastAsia="ar-SA"/>
        </w:rPr>
        <w:t xml:space="preserve">ООО «Неотехника», ООО «Моряковский речной затон»). В районе имеется предприятие по переработке нефти и газа </w:t>
      </w:r>
      <w:r w:rsidR="00CC23A2">
        <w:rPr>
          <w:sz w:val="26"/>
          <w:szCs w:val="26"/>
          <w:lang w:eastAsia="ar-SA"/>
        </w:rPr>
        <w:t>–</w:t>
      </w:r>
      <w:r w:rsidRPr="00CC23A2">
        <w:rPr>
          <w:sz w:val="26"/>
          <w:szCs w:val="26"/>
          <w:lang w:eastAsia="ar-SA"/>
        </w:rPr>
        <w:t xml:space="preserve"> ООО «Томскнефтепереработка», </w:t>
      </w:r>
      <w:r w:rsidRPr="00CC23A2">
        <w:rPr>
          <w:sz w:val="26"/>
          <w:szCs w:val="26"/>
          <w:lang w:eastAsia="ar-SA"/>
        </w:rPr>
        <w:br/>
        <w:t xml:space="preserve">на сегодняшний день предприятие способно перерабатывать до 1 млн тонн нефти </w:t>
      </w:r>
      <w:r w:rsidR="00CC23A2">
        <w:rPr>
          <w:sz w:val="26"/>
          <w:szCs w:val="26"/>
          <w:lang w:eastAsia="ar-SA"/>
        </w:rPr>
        <w:br/>
      </w:r>
      <w:r w:rsidRPr="00CC23A2">
        <w:rPr>
          <w:sz w:val="26"/>
          <w:szCs w:val="26"/>
          <w:lang w:eastAsia="ar-SA"/>
        </w:rPr>
        <w:t xml:space="preserve">в год.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В с. Октябрьское функционирует АО «Туганский горно-обог</w:t>
      </w:r>
      <w:r w:rsidR="00CC23A2">
        <w:rPr>
          <w:rFonts w:ascii="Times New Roman" w:hAnsi="Times New Roman"/>
          <w:color w:val="auto"/>
          <w:sz w:val="26"/>
          <w:szCs w:val="26"/>
        </w:rPr>
        <w:t>атительный комбинат «Ильменит» –</w:t>
      </w:r>
      <w:r w:rsidRPr="00CC23A2">
        <w:rPr>
          <w:rFonts w:ascii="Times New Roman" w:hAnsi="Times New Roman"/>
          <w:color w:val="auto"/>
          <w:sz w:val="26"/>
          <w:szCs w:val="26"/>
        </w:rPr>
        <w:t xml:space="preserve"> горнодобывающее предприятие, разрабатывающее Туганское месторождение ильменит-цирконовых песков. Осуществляется добыча общераспространенных полезных ископаемых и производство строительных материалов (кирпича, асфальтобетонных смесей, бетонов, растворов). Деревообработка представлена производством пиломатериалов и мебели.</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За счет близости к административному центру области значимыми направлениями экономической деятельности района являются строительство, транспортировка и хранение. Ключевыми предприятиями являются Томская нефтебаза ООО «Газпромнефть-Терминал», объекты железнодорожного транспорта и воздушного транспорта (филиал АО Авиакомпания «Сибирь», ООО «Аэропорт Томск», ООО «Газпромнефть-Аэро Томск», ООО «ТЗК Томск), ТЦ ОВД «Аэронавигация Западной Сибири» ФГУП «Госкорпорация ПО ОРВД».</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В районе высокими темпами осуществляется пригородное многоквартирное </w:t>
      </w:r>
      <w:r w:rsidR="00CC23A2">
        <w:rPr>
          <w:rFonts w:ascii="Times New Roman" w:hAnsi="Times New Roman"/>
          <w:color w:val="auto"/>
          <w:sz w:val="26"/>
          <w:szCs w:val="26"/>
        </w:rPr>
        <w:br/>
      </w:r>
      <w:r w:rsidRPr="00CC23A2">
        <w:rPr>
          <w:rFonts w:ascii="Times New Roman" w:hAnsi="Times New Roman"/>
          <w:color w:val="auto"/>
          <w:sz w:val="26"/>
          <w:szCs w:val="26"/>
        </w:rPr>
        <w:t>и индивидуальное строительство. Выделяются 3 пояса градостроительного освоения:</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1) поселения с активной субурбанизацией, высокой интенсивностью повседневных связей с Томском </w:t>
      </w:r>
      <w:r w:rsidR="00CC23A2">
        <w:rPr>
          <w:rFonts w:ascii="Times New Roman" w:hAnsi="Times New Roman"/>
          <w:color w:val="auto"/>
          <w:sz w:val="26"/>
          <w:szCs w:val="26"/>
        </w:rPr>
        <w:t>и ростом численности населения –</w:t>
      </w:r>
      <w:r w:rsidRPr="00CC23A2">
        <w:rPr>
          <w:rFonts w:ascii="Times New Roman" w:hAnsi="Times New Roman"/>
          <w:color w:val="auto"/>
          <w:sz w:val="26"/>
          <w:szCs w:val="26"/>
        </w:rPr>
        <w:t xml:space="preserve"> Заречное, Зональненское, Копыловское, Корниловское, Мирненское;</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2) поселения с элементами субурбанизации, интенсивными повседневными связями с Томском и сравнительно стабильной численностью населения </w:t>
      </w:r>
      <w:r w:rsidR="00CC23A2">
        <w:rPr>
          <w:rFonts w:ascii="Times New Roman" w:hAnsi="Times New Roman"/>
          <w:color w:val="auto"/>
          <w:sz w:val="26"/>
          <w:szCs w:val="26"/>
        </w:rPr>
        <w:t>–</w:t>
      </w:r>
      <w:r w:rsidRPr="00CC23A2">
        <w:rPr>
          <w:rFonts w:ascii="Times New Roman" w:hAnsi="Times New Roman"/>
          <w:color w:val="auto"/>
          <w:sz w:val="26"/>
          <w:szCs w:val="26"/>
        </w:rPr>
        <w:t xml:space="preserve"> Богашевское, Воронинское, Зоркальцевское, Малиновское, Октябрьское, Спасское;</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3) периферийные поселения с невысокой интенсивностью связей </w:t>
      </w:r>
      <w:r w:rsidRPr="00CC23A2">
        <w:rPr>
          <w:rFonts w:ascii="Times New Roman" w:hAnsi="Times New Roman"/>
          <w:color w:val="auto"/>
          <w:sz w:val="26"/>
          <w:szCs w:val="26"/>
        </w:rPr>
        <w:br/>
        <w:t xml:space="preserve">с Томском и менее благоприятной динамикой численности населения </w:t>
      </w:r>
      <w:r w:rsidR="00CC23A2">
        <w:rPr>
          <w:rFonts w:ascii="Times New Roman" w:hAnsi="Times New Roman"/>
          <w:color w:val="auto"/>
          <w:sz w:val="26"/>
          <w:szCs w:val="26"/>
        </w:rPr>
        <w:t>–</w:t>
      </w:r>
      <w:r w:rsidRPr="00CC23A2">
        <w:rPr>
          <w:rFonts w:ascii="Times New Roman" w:hAnsi="Times New Roman"/>
          <w:color w:val="auto"/>
          <w:sz w:val="26"/>
          <w:szCs w:val="26"/>
        </w:rPr>
        <w:t xml:space="preserve"> Итатское, Калтайское, Межениновское, Моряковское, Наумовское, Новорождественское, Рыбаловское, Турунтаевское.</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В Копыловском, Малиновском и Октябрьском поселениях сформирована цепочка крупных узлов развития промышленного и агропромышленного комплекса.</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На территории района реализуется и предполагается к реализации обширный ряд инвестиционных проектов. В области АПК предусматривается главным образом модернизация и увеличение объемов производства сельскохозяйственных предприятий; из числа новых объектов намечено:</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реконструкция животноводческого комплекса для крупного рогатого скота в д. Кисловке (ООО «Заречное»);</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строительство, модернизация и техническое перевооружение свинокомплекса «Томский»;</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lastRenderedPageBreak/>
        <w:t xml:space="preserve">— создание интенсивного сада плодово-ягодных культур площадью 60 га </w:t>
      </w:r>
      <w:r w:rsidR="00CC23A2">
        <w:rPr>
          <w:rFonts w:ascii="Times New Roman" w:hAnsi="Times New Roman"/>
          <w:color w:val="auto"/>
          <w:sz w:val="26"/>
          <w:szCs w:val="26"/>
        </w:rPr>
        <w:br/>
      </w:r>
      <w:r w:rsidRPr="00CC23A2">
        <w:rPr>
          <w:rFonts w:ascii="Times New Roman" w:hAnsi="Times New Roman"/>
          <w:color w:val="auto"/>
          <w:sz w:val="26"/>
          <w:szCs w:val="26"/>
        </w:rPr>
        <w:t>в с. Богашево (ООО «Сибзерно»);</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 организация производства продуктов питания функционального назначения (БАДов, фармацевтических субстанций, белково-витаминно-минеральных биопрепаратов в хелатной форме для всех видов с/х животных и птиц, природной воды и функциональных напитков на основе родниковой воды, ягод </w:t>
      </w:r>
      <w:r w:rsidR="00CC23A2">
        <w:rPr>
          <w:rFonts w:ascii="Times New Roman" w:hAnsi="Times New Roman"/>
          <w:color w:val="auto"/>
          <w:sz w:val="26"/>
          <w:szCs w:val="26"/>
        </w:rPr>
        <w:br/>
      </w:r>
      <w:r w:rsidRPr="00CC23A2">
        <w:rPr>
          <w:rFonts w:ascii="Times New Roman" w:hAnsi="Times New Roman"/>
          <w:color w:val="auto"/>
          <w:sz w:val="26"/>
          <w:szCs w:val="26"/>
        </w:rPr>
        <w:t>и лекарственно-технического сырья) в с. Межениновка (ООО НПП «Эталон»).</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В области металлургии ключевыми проектами являются крупномасштабная разработка Туганского месторождения ильменит-цирконовых песков </w:t>
      </w:r>
      <w:r w:rsidR="00CC23A2">
        <w:rPr>
          <w:rFonts w:ascii="Times New Roman" w:hAnsi="Times New Roman"/>
          <w:color w:val="auto"/>
          <w:sz w:val="26"/>
          <w:szCs w:val="26"/>
        </w:rPr>
        <w:br/>
      </w:r>
      <w:r w:rsidRPr="00CC23A2">
        <w:rPr>
          <w:rFonts w:ascii="Times New Roman" w:hAnsi="Times New Roman"/>
          <w:color w:val="auto"/>
          <w:sz w:val="26"/>
          <w:szCs w:val="26"/>
        </w:rPr>
        <w:t xml:space="preserve">и строительство горно-обогатительного комбината общей мощностью 6,9 млн тонн по исходному сырью (АО ТГОК «Ильменит»), а также освоение Турунтаевского проявления руд полиметаллов (ООО «Инертстрой»). Имеется инвестиционное предложение по разработке Батуринского золотоносного проявления. </w:t>
      </w:r>
    </w:p>
    <w:p w:rsidR="00E618FE" w:rsidRPr="00CC23A2" w:rsidRDefault="00CC23A2">
      <w:pPr>
        <w:pStyle w:val="a4"/>
        <w:rPr>
          <w:rFonts w:ascii="Times New Roman" w:hAnsi="Times New Roman"/>
          <w:color w:val="auto"/>
          <w:sz w:val="26"/>
          <w:szCs w:val="26"/>
        </w:rPr>
      </w:pPr>
      <w:r>
        <w:rPr>
          <w:rFonts w:ascii="Times New Roman" w:hAnsi="Times New Roman"/>
          <w:color w:val="auto"/>
          <w:sz w:val="26"/>
          <w:szCs w:val="26"/>
        </w:rPr>
        <w:t>Среди инвестиционных намерений –</w:t>
      </w:r>
      <w:r w:rsidR="00800098" w:rsidRPr="00CC23A2">
        <w:rPr>
          <w:rFonts w:ascii="Times New Roman" w:hAnsi="Times New Roman"/>
          <w:color w:val="auto"/>
          <w:sz w:val="26"/>
          <w:szCs w:val="26"/>
        </w:rPr>
        <w:t xml:space="preserve"> создание комплекса вторичной переработки на НПЗ в с. Семилужки (проектирование установки гидроочистки </w:t>
      </w:r>
      <w:r>
        <w:rPr>
          <w:rFonts w:ascii="Times New Roman" w:hAnsi="Times New Roman"/>
          <w:color w:val="auto"/>
          <w:sz w:val="26"/>
          <w:szCs w:val="26"/>
        </w:rPr>
        <w:br/>
      </w:r>
      <w:r w:rsidR="00800098" w:rsidRPr="00CC23A2">
        <w:rPr>
          <w:rFonts w:ascii="Times New Roman" w:hAnsi="Times New Roman"/>
          <w:color w:val="auto"/>
          <w:sz w:val="26"/>
          <w:szCs w:val="26"/>
        </w:rPr>
        <w:t>и депарафинизации дизельного топлива).</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На территории Копыловского сельского поселения (район станции Копылово) выделена инвестиционная площадка под создание промышленного парка </w:t>
      </w:r>
      <w:r w:rsidR="00CC23A2">
        <w:rPr>
          <w:rFonts w:ascii="Times New Roman" w:hAnsi="Times New Roman"/>
          <w:color w:val="auto"/>
          <w:sz w:val="26"/>
          <w:szCs w:val="26"/>
        </w:rPr>
        <w:br/>
      </w:r>
      <w:r w:rsidRPr="00CC23A2">
        <w:rPr>
          <w:rFonts w:ascii="Times New Roman" w:hAnsi="Times New Roman"/>
          <w:color w:val="auto"/>
          <w:sz w:val="26"/>
          <w:szCs w:val="26"/>
        </w:rPr>
        <w:t>с размещением стекольного завода площадью 15 га. В районе также перспективно размещение дополнительных производств стеновых и отделочных материалов.</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Существенным потенциалом дальнейшего развития хозяйственного комплекса является деконцентрация производственных и непроизводственных функций Томска, в том числе вынос предприятий из центра города, размещение логистических комплексов, формирование собственных зон деловой активности (торговые центры для обслуживания растущего населения, загородные бизнес-центры и гостиничные объекты).</w:t>
      </w:r>
    </w:p>
    <w:p w:rsidR="00E618FE" w:rsidRPr="00CC23A2" w:rsidRDefault="00800098">
      <w:pPr>
        <w:pStyle w:val="a4"/>
        <w:rPr>
          <w:rFonts w:ascii="Times New Roman" w:hAnsi="Times New Roman"/>
          <w:color w:val="auto"/>
          <w:sz w:val="26"/>
          <w:szCs w:val="26"/>
        </w:rPr>
      </w:pPr>
      <w:bookmarkStart w:id="252" w:name="_Hlk231400462"/>
      <w:bookmarkStart w:id="253" w:name="_Hlk231400693"/>
      <w:r w:rsidRPr="00CC23A2">
        <w:rPr>
          <w:rFonts w:ascii="Times New Roman" w:hAnsi="Times New Roman"/>
          <w:color w:val="auto"/>
          <w:sz w:val="26"/>
          <w:szCs w:val="26"/>
        </w:rPr>
        <w:t xml:space="preserve">Перспективы развития системы расселения связаны с завершением существующих площадок пригородного строительства, формированием ряда новых площадок в ближнем окружении Томска, восстановлением либо формированием хозяйственного профиля периферийных поселений. Основные площадки </w:t>
      </w:r>
      <w:r w:rsidR="00CC23A2">
        <w:rPr>
          <w:rFonts w:ascii="Times New Roman" w:hAnsi="Times New Roman"/>
          <w:color w:val="auto"/>
          <w:sz w:val="26"/>
          <w:szCs w:val="26"/>
        </w:rPr>
        <w:t>нового жилищного строительства –</w:t>
      </w:r>
      <w:r w:rsidRPr="00CC23A2">
        <w:rPr>
          <w:rFonts w:ascii="Times New Roman" w:hAnsi="Times New Roman"/>
          <w:color w:val="auto"/>
          <w:sz w:val="26"/>
          <w:szCs w:val="26"/>
        </w:rPr>
        <w:t xml:space="preserve"> Южные Ворота-2, Левобережный.</w:t>
      </w:r>
    </w:p>
    <w:p w:rsidR="00E618FE" w:rsidRPr="00CC23A2" w:rsidRDefault="00800098">
      <w:pPr>
        <w:pStyle w:val="a4"/>
        <w:rPr>
          <w:rFonts w:ascii="Times New Roman" w:hAnsi="Times New Roman"/>
          <w:color w:val="auto"/>
          <w:sz w:val="26"/>
          <w:szCs w:val="26"/>
        </w:rPr>
      </w:pPr>
      <w:bookmarkStart w:id="254" w:name="_Hlk231400495"/>
      <w:bookmarkEnd w:id="252"/>
      <w:r w:rsidRPr="00CC23A2">
        <w:rPr>
          <w:rFonts w:ascii="Times New Roman" w:hAnsi="Times New Roman"/>
          <w:color w:val="auto"/>
          <w:sz w:val="26"/>
          <w:szCs w:val="26"/>
        </w:rPr>
        <w:t>К числу крупнейших проектов</w:t>
      </w:r>
      <w:r w:rsidRPr="00CC23A2">
        <w:rPr>
          <w:rFonts w:ascii="Times New Roman" w:eastAsia="Aptos" w:hAnsi="Times New Roman"/>
          <w:color w:val="auto"/>
          <w:sz w:val="26"/>
          <w:szCs w:val="26"/>
          <w:lang w:eastAsia="en-US"/>
          <w14:ligatures w14:val="standardContextual"/>
        </w:rPr>
        <w:t xml:space="preserve"> по развитию транспортной инфраструктуры относятся строительство Малого транспортного кольца и глубокого транспортного обхода Томска. Относительно коммунальной инфраструктуры требуется опережающее развитие систем водоснабжения и водоотведения, реконструкция котельных с переводом на природный газ. </w:t>
      </w:r>
      <w:r w:rsidRPr="00CC23A2">
        <w:rPr>
          <w:rFonts w:ascii="Times New Roman" w:hAnsi="Times New Roman"/>
          <w:color w:val="auto"/>
          <w:sz w:val="26"/>
          <w:szCs w:val="26"/>
        </w:rPr>
        <w:t>Важным инфраструктурным проектом</w:t>
      </w:r>
      <w:r w:rsidRPr="00CC23A2">
        <w:rPr>
          <w:rFonts w:ascii="Times New Roman" w:eastAsia="TimesNewRoman" w:hAnsi="Times New Roman"/>
          <w:color w:val="auto"/>
          <w:sz w:val="26"/>
          <w:szCs w:val="26"/>
        </w:rPr>
        <w:t xml:space="preserve"> является модернизация </w:t>
      </w:r>
      <w:r w:rsidRPr="00CC23A2">
        <w:rPr>
          <w:rFonts w:ascii="Times New Roman" w:hAnsi="Times New Roman"/>
          <w:color w:val="auto"/>
          <w:sz w:val="26"/>
          <w:szCs w:val="26"/>
        </w:rPr>
        <w:t xml:space="preserve">системы водоснабжения с. Корнилово. </w:t>
      </w:r>
      <w:r w:rsidRPr="00CC23A2">
        <w:rPr>
          <w:rFonts w:ascii="Times New Roman" w:eastAsia="Aptos" w:hAnsi="Times New Roman"/>
          <w:color w:val="auto"/>
          <w:sz w:val="26"/>
          <w:szCs w:val="26"/>
          <w:lang w:eastAsia="en-US"/>
          <w14:ligatures w14:val="standardContextual"/>
        </w:rPr>
        <w:t xml:space="preserve">Целесообразно обеспечить </w:t>
      </w:r>
      <w:r w:rsidRPr="00CC23A2">
        <w:rPr>
          <w:rFonts w:ascii="Times New Roman" w:hAnsi="Times New Roman"/>
          <w:color w:val="auto"/>
          <w:sz w:val="26"/>
          <w:szCs w:val="26"/>
        </w:rPr>
        <w:t>взаимодействие, а также укрупнение ресурсоснабжающих организаций поселений, входящих в ближний пояс агломерации.</w:t>
      </w:r>
      <w:bookmarkEnd w:id="253"/>
      <w:bookmarkEnd w:id="254"/>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Значимую роль в развитии района продолжит играть рекреационное направление, связанное с отдыхом жителей города Томска. В настоящее время стационарный и кратковременный отдых населения сконцентрирован на территории Калтайского и Спасского поселений, отдельные объекты отдыха и досуга расположены в Зоркальцевском, Богашевском и Наумовском </w:t>
      </w:r>
      <w:bookmarkStart w:id="255" w:name="_Hlk231400702"/>
      <w:r w:rsidRPr="00CC23A2">
        <w:rPr>
          <w:rFonts w:ascii="Times New Roman" w:hAnsi="Times New Roman"/>
          <w:color w:val="auto"/>
          <w:sz w:val="26"/>
          <w:szCs w:val="26"/>
        </w:rPr>
        <w:t xml:space="preserve">поселениях. </w:t>
      </w:r>
      <w:bookmarkEnd w:id="255"/>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Задачами развития туристско-рекреационного комплекса является привлечение инвестиций в размещение стационарных и досуговых объектов, расширение спектра рекреационных услуг, взаимоувязанное размещение рекреационных объектов, их интеграция в природный ландшафт. В связи </w:t>
      </w:r>
      <w:r w:rsidRPr="00CC23A2">
        <w:rPr>
          <w:rFonts w:ascii="Times New Roman" w:hAnsi="Times New Roman"/>
          <w:color w:val="auto"/>
          <w:sz w:val="26"/>
          <w:szCs w:val="26"/>
        </w:rPr>
        <w:br/>
      </w:r>
      <w:r w:rsidRPr="00CC23A2">
        <w:rPr>
          <w:rFonts w:ascii="Times New Roman" w:hAnsi="Times New Roman"/>
          <w:color w:val="auto"/>
          <w:sz w:val="26"/>
          <w:szCs w:val="26"/>
        </w:rPr>
        <w:lastRenderedPageBreak/>
        <w:t>со стесненным расположением наиболее ценных территорий вдоль реки Томи, на перспективу целесообразно активное включение в зону рекреационного освоения территории Межениновского поселения.</w:t>
      </w:r>
    </w:p>
    <w:p w:rsidR="00E618FE" w:rsidRPr="00CC23A2" w:rsidRDefault="00800098">
      <w:pPr>
        <w:pStyle w:val="a4"/>
        <w:rPr>
          <w:rFonts w:ascii="Times New Roman" w:hAnsi="Times New Roman"/>
          <w:color w:val="auto"/>
          <w:sz w:val="26"/>
          <w:szCs w:val="26"/>
        </w:rPr>
      </w:pPr>
      <w:r w:rsidRPr="00535A4B">
        <w:rPr>
          <w:rFonts w:ascii="Times New Roman" w:eastAsia="Aptos" w:hAnsi="Times New Roman"/>
          <w:b/>
          <w:color w:val="auto"/>
        </w:rPr>
        <w:t xml:space="preserve">Потенциал хозяйственного развития Томской агломерации </w:t>
      </w:r>
      <w:r w:rsidRPr="00535A4B">
        <w:rPr>
          <w:rFonts w:ascii="Times New Roman" w:eastAsia="Aptos" w:hAnsi="Times New Roman"/>
          <w:b/>
          <w:color w:val="auto"/>
        </w:rPr>
        <w:br/>
        <w:t xml:space="preserve">на перспективу. </w:t>
      </w:r>
      <w:r w:rsidRPr="00CC23A2">
        <w:rPr>
          <w:rFonts w:ascii="Times New Roman" w:hAnsi="Times New Roman"/>
          <w:color w:val="auto"/>
          <w:sz w:val="26"/>
          <w:szCs w:val="26"/>
        </w:rPr>
        <w:t xml:space="preserve">Строительство Северской АЭС позволит развивать </w:t>
      </w:r>
      <w:r w:rsidRPr="00CC23A2">
        <w:rPr>
          <w:rFonts w:ascii="Times New Roman" w:hAnsi="Times New Roman"/>
          <w:color w:val="auto"/>
          <w:sz w:val="26"/>
          <w:szCs w:val="26"/>
        </w:rPr>
        <w:br/>
        <w:t xml:space="preserve">на территории трех входящих в агломерацию муниципальных образований энергоемкие производства в области химии (производство волокон, основная химия, производство пластиков и изделий из них), металлургии (на основе титана </w:t>
      </w:r>
      <w:r w:rsidR="00CC23A2">
        <w:rPr>
          <w:rFonts w:ascii="Times New Roman" w:hAnsi="Times New Roman"/>
          <w:color w:val="auto"/>
          <w:sz w:val="26"/>
          <w:szCs w:val="26"/>
        </w:rPr>
        <w:br/>
      </w:r>
      <w:r w:rsidRPr="00CC23A2">
        <w:rPr>
          <w:rFonts w:ascii="Times New Roman" w:hAnsi="Times New Roman"/>
          <w:color w:val="auto"/>
          <w:sz w:val="26"/>
          <w:szCs w:val="26"/>
        </w:rPr>
        <w:t xml:space="preserve">и вторичной переработки металлов), деревообработки, строительных материалов </w:t>
      </w:r>
      <w:r w:rsidR="00CC23A2">
        <w:rPr>
          <w:rFonts w:ascii="Times New Roman" w:hAnsi="Times New Roman"/>
          <w:color w:val="auto"/>
          <w:sz w:val="26"/>
          <w:szCs w:val="26"/>
        </w:rPr>
        <w:br/>
      </w:r>
      <w:r w:rsidRPr="00CC23A2">
        <w:rPr>
          <w:rFonts w:ascii="Times New Roman" w:hAnsi="Times New Roman"/>
          <w:color w:val="auto"/>
          <w:sz w:val="26"/>
          <w:szCs w:val="26"/>
        </w:rPr>
        <w:t xml:space="preserve">(в том числе композитных). Близость рынков сбыта, будущий профицит электроэнергии, удобная логистика, наличие трудовых ресурсов позволяют рассчитывать на развитие новых пищевых производств, а также овощеводства </w:t>
      </w:r>
      <w:r w:rsidR="00CC23A2">
        <w:rPr>
          <w:rFonts w:ascii="Times New Roman" w:hAnsi="Times New Roman"/>
          <w:color w:val="auto"/>
          <w:sz w:val="26"/>
          <w:szCs w:val="26"/>
        </w:rPr>
        <w:br/>
      </w:r>
      <w:r w:rsidRPr="00CC23A2">
        <w:rPr>
          <w:rFonts w:ascii="Times New Roman" w:hAnsi="Times New Roman"/>
          <w:color w:val="auto"/>
          <w:sz w:val="26"/>
          <w:szCs w:val="26"/>
        </w:rPr>
        <w:t xml:space="preserve">и цветоводства в закрытом грунте. Растущая производственная функция создаст дополнительные перспективы для формирования транспортно-логистических направлений деятельности. </w:t>
      </w:r>
    </w:p>
    <w:p w:rsidR="00E618FE" w:rsidRPr="00535A4B" w:rsidRDefault="00E618FE">
      <w:pPr>
        <w:pStyle w:val="a4"/>
        <w:rPr>
          <w:rFonts w:ascii="Times New Roman" w:hAnsi="Times New Roman"/>
          <w:color w:val="auto"/>
        </w:rPr>
      </w:pPr>
    </w:p>
    <w:p w:rsidR="00E618FE" w:rsidRPr="00535A4B" w:rsidRDefault="00800098">
      <w:pPr>
        <w:pStyle w:val="41"/>
        <w:rPr>
          <w:rFonts w:ascii="Times New Roman" w:eastAsia="Aptos" w:hAnsi="Times New Roman"/>
          <w:lang w:val="ru-RU"/>
        </w:rPr>
      </w:pPr>
      <w:r w:rsidRPr="00535A4B">
        <w:rPr>
          <w:rFonts w:ascii="Times New Roman" w:eastAsia="Aptos" w:hAnsi="Times New Roman"/>
          <w:lang w:val="ru-RU"/>
        </w:rPr>
        <w:t>Южная группа районов (Кожевниковский, Шегарский, Кривошеинский, Молчановский, Чаинский и Бакчарский районы)</w:t>
      </w:r>
    </w:p>
    <w:p w:rsidR="00E618FE" w:rsidRPr="00CC23A2"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Кожевниковский район </w:t>
      </w:r>
      <w:r w:rsidRPr="00CC23A2">
        <w:rPr>
          <w:rFonts w:ascii="Times New Roman" w:eastAsia="Aptos" w:hAnsi="Times New Roman"/>
          <w:color w:val="auto"/>
          <w:sz w:val="26"/>
          <w:szCs w:val="26"/>
          <w:lang w:eastAsia="en-US"/>
          <w14:ligatures w14:val="standardContextual"/>
        </w:rPr>
        <w:t xml:space="preserve">имеет ярко выраженную сельскохозяйственную специализацию при сравнительно развитой переработке сельскохозяйственной продукции, основу агропромышленного комплекса составляют зерноводство </w:t>
      </w:r>
      <w:r w:rsidR="00CC23A2">
        <w:rPr>
          <w:rFonts w:ascii="Times New Roman" w:eastAsia="Aptos" w:hAnsi="Times New Roman"/>
          <w:color w:val="auto"/>
          <w:sz w:val="26"/>
          <w:szCs w:val="26"/>
          <w:lang w:eastAsia="en-US"/>
          <w14:ligatures w14:val="standardContextual"/>
        </w:rPr>
        <w:br/>
      </w:r>
      <w:r w:rsidRPr="00CC23A2">
        <w:rPr>
          <w:rFonts w:ascii="Times New Roman" w:hAnsi="Times New Roman"/>
          <w:color w:val="auto"/>
          <w:sz w:val="26"/>
          <w:szCs w:val="26"/>
        </w:rPr>
        <w:t>и производство молока. Район отличает высокая плотность сельского населения, система расселения характеризуется как стабильная. За 2020 – 2025 годы численность населения района снизилась на 1,3%.</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Сельскохозяйственная деятельность концентрируется в районе населенных пунктов с. Кожевниково, с. Песочнодубровка, с. Вороново, с. Уртам, </w:t>
      </w:r>
      <w:r w:rsidR="00CC23A2">
        <w:rPr>
          <w:rFonts w:ascii="Times New Roman" w:hAnsi="Times New Roman"/>
          <w:color w:val="auto"/>
          <w:sz w:val="26"/>
          <w:szCs w:val="26"/>
        </w:rPr>
        <w:br/>
      </w:r>
      <w:r w:rsidRPr="00CC23A2">
        <w:rPr>
          <w:rFonts w:ascii="Times New Roman" w:hAnsi="Times New Roman"/>
          <w:color w:val="auto"/>
          <w:sz w:val="26"/>
          <w:szCs w:val="26"/>
        </w:rPr>
        <w:t xml:space="preserve">с. Новопокровка, с. Базой, с. Старая Ювала, с. Батурино, с. Осиновка; хозяйствующие субъекты имеются и в большинстве остальных населенных пунктах. Таким образом, сельскохозяйственная деятельность охватывает практически </w:t>
      </w:r>
      <w:r w:rsidR="00CC23A2">
        <w:rPr>
          <w:rFonts w:ascii="Times New Roman" w:hAnsi="Times New Roman"/>
          <w:color w:val="auto"/>
          <w:sz w:val="26"/>
          <w:szCs w:val="26"/>
        </w:rPr>
        <w:br/>
      </w:r>
      <w:r w:rsidRPr="00CC23A2">
        <w:rPr>
          <w:rFonts w:ascii="Times New Roman" w:hAnsi="Times New Roman"/>
          <w:color w:val="auto"/>
          <w:sz w:val="26"/>
          <w:szCs w:val="26"/>
        </w:rPr>
        <w:t>всю территорию района, что обеспечивает устойчивую систему сельского расселения.</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Перерабатывающий комплекс представлен в с. Кожевниково. Его формируют ООО «Пивоварня Кожевниково» (один из ключевых налогоплательщиков </w:t>
      </w:r>
      <w:r w:rsidR="00CC23A2">
        <w:rPr>
          <w:rFonts w:ascii="Times New Roman" w:hAnsi="Times New Roman"/>
          <w:color w:val="auto"/>
          <w:sz w:val="26"/>
          <w:szCs w:val="26"/>
        </w:rPr>
        <w:br/>
      </w:r>
      <w:r w:rsidRPr="00CC23A2">
        <w:rPr>
          <w:rFonts w:ascii="Times New Roman" w:hAnsi="Times New Roman"/>
          <w:color w:val="auto"/>
          <w:sz w:val="26"/>
          <w:szCs w:val="26"/>
        </w:rPr>
        <w:t xml:space="preserve">и работодателей; работает на вывоз продукции в другие регионы и на экспорт), филиал ООО «Антонов двор», а также ряд индивидуальных предпринимателей.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Лесопромышленный комплекс имеет ограниченный характер </w:t>
      </w:r>
      <w:r w:rsidR="00CC23A2">
        <w:rPr>
          <w:rFonts w:ascii="Times New Roman" w:hAnsi="Times New Roman"/>
          <w:color w:val="auto"/>
          <w:sz w:val="26"/>
          <w:szCs w:val="26"/>
        </w:rPr>
        <w:br/>
      </w:r>
      <w:r w:rsidRPr="00CC23A2">
        <w:rPr>
          <w:rFonts w:ascii="Times New Roman" w:hAnsi="Times New Roman"/>
          <w:color w:val="auto"/>
          <w:sz w:val="26"/>
          <w:szCs w:val="26"/>
        </w:rPr>
        <w:t xml:space="preserve">из-за сравнительно низкой облесенности. Лесозаготовку и первичную переработку древесины осуществляют немногочисленные индивидуальные предприниматели </w:t>
      </w:r>
      <w:r w:rsidR="00CC23A2">
        <w:rPr>
          <w:rFonts w:ascii="Times New Roman" w:hAnsi="Times New Roman"/>
          <w:color w:val="auto"/>
          <w:sz w:val="26"/>
          <w:szCs w:val="26"/>
        </w:rPr>
        <w:br/>
      </w:r>
      <w:r w:rsidRPr="00CC23A2">
        <w:rPr>
          <w:rFonts w:ascii="Times New Roman" w:hAnsi="Times New Roman"/>
          <w:color w:val="auto"/>
          <w:sz w:val="26"/>
          <w:szCs w:val="26"/>
        </w:rPr>
        <w:t xml:space="preserve">и микропредприятия. Для жителей удаленных населенных пунктов сбор </w:t>
      </w:r>
      <w:r w:rsidR="00CC23A2">
        <w:rPr>
          <w:rFonts w:ascii="Times New Roman" w:hAnsi="Times New Roman"/>
          <w:color w:val="auto"/>
          <w:sz w:val="26"/>
          <w:szCs w:val="26"/>
        </w:rPr>
        <w:br/>
      </w:r>
      <w:r w:rsidRPr="00CC23A2">
        <w:rPr>
          <w:rFonts w:ascii="Times New Roman" w:hAnsi="Times New Roman"/>
          <w:color w:val="auto"/>
          <w:sz w:val="26"/>
          <w:szCs w:val="26"/>
        </w:rPr>
        <w:t>и переработка дикоросов остаются важным видом деятельности.</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На территории района сложился сравнительно развитой рекреационный комплекс. Предполагается дальнейшее развитие Киреевской рекреационной зоны, представленной рядом баз отдыха и организаций отдыха детей и их оздоровления. Перспективны также развитие рекреационной зоны в районе с. Батурино </w:t>
      </w:r>
      <w:r w:rsidR="00CC23A2">
        <w:rPr>
          <w:rFonts w:ascii="Times New Roman" w:hAnsi="Times New Roman"/>
          <w:color w:val="auto"/>
          <w:sz w:val="26"/>
          <w:szCs w:val="26"/>
        </w:rPr>
        <w:br/>
      </w:r>
      <w:r w:rsidRPr="00CC23A2">
        <w:rPr>
          <w:rFonts w:ascii="Times New Roman" w:hAnsi="Times New Roman"/>
          <w:color w:val="auto"/>
          <w:sz w:val="26"/>
          <w:szCs w:val="26"/>
        </w:rPr>
        <w:t>и рыболовного туризма.</w:t>
      </w:r>
    </w:p>
    <w:p w:rsidR="00E618FE" w:rsidRPr="00CC23A2" w:rsidRDefault="00800098">
      <w:pPr>
        <w:pStyle w:val="a4"/>
        <w:rPr>
          <w:rFonts w:ascii="Times New Roman" w:hAnsi="Times New Roman"/>
          <w:iCs/>
          <w:color w:val="auto"/>
          <w:sz w:val="26"/>
          <w:szCs w:val="26"/>
        </w:rPr>
      </w:pPr>
      <w:r w:rsidRPr="00CC23A2">
        <w:rPr>
          <w:rFonts w:ascii="Times New Roman" w:hAnsi="Times New Roman"/>
          <w:color w:val="auto"/>
          <w:sz w:val="26"/>
          <w:szCs w:val="26"/>
        </w:rPr>
        <w:lastRenderedPageBreak/>
        <w:t>Приоритетными направлениями развития экономики района являются технологическая модернизация и увеличение мощностей действующих производств, повышение глубины переработки сельскохозяйственной продукции, строительство транспо</w:t>
      </w:r>
      <w:r w:rsidRPr="00CC23A2">
        <w:rPr>
          <w:rFonts w:ascii="Times New Roman" w:hAnsi="Times New Roman"/>
          <w:iCs/>
          <w:color w:val="auto"/>
          <w:sz w:val="26"/>
          <w:szCs w:val="26"/>
        </w:rPr>
        <w:t xml:space="preserve">ртно-распределительных комплексов. </w:t>
      </w:r>
    </w:p>
    <w:p w:rsidR="00E618FE" w:rsidRPr="00CC23A2" w:rsidRDefault="00800098">
      <w:pPr>
        <w:pStyle w:val="a4"/>
        <w:rPr>
          <w:rFonts w:ascii="Times New Roman" w:hAnsi="Times New Roman"/>
          <w:color w:val="auto"/>
          <w:sz w:val="26"/>
          <w:szCs w:val="26"/>
        </w:rPr>
      </w:pPr>
      <w:bookmarkStart w:id="256" w:name="_Hlk231400652"/>
      <w:r w:rsidRPr="00CC23A2">
        <w:rPr>
          <w:rFonts w:ascii="Times New Roman" w:hAnsi="Times New Roman"/>
          <w:color w:val="auto"/>
          <w:sz w:val="26"/>
          <w:szCs w:val="26"/>
        </w:rPr>
        <w:t>Важными инфраструктурными проектами</w:t>
      </w:r>
      <w:r w:rsidRPr="00CC23A2">
        <w:rPr>
          <w:rFonts w:ascii="Times New Roman" w:eastAsia="TimesNewRoman" w:hAnsi="Times New Roman"/>
          <w:color w:val="auto"/>
          <w:sz w:val="26"/>
          <w:szCs w:val="26"/>
        </w:rPr>
        <w:t xml:space="preserve"> является модернизация </w:t>
      </w:r>
      <w:r w:rsidRPr="00CC23A2">
        <w:rPr>
          <w:rFonts w:ascii="Times New Roman" w:hAnsi="Times New Roman"/>
          <w:color w:val="auto"/>
          <w:sz w:val="26"/>
          <w:szCs w:val="26"/>
        </w:rPr>
        <w:t xml:space="preserve">систем тепло- и водоснабжения с. Кожевниково. </w:t>
      </w:r>
      <w:bookmarkEnd w:id="256"/>
    </w:p>
    <w:p w:rsidR="00E618FE" w:rsidRPr="00CC23A2" w:rsidRDefault="00800098">
      <w:pPr>
        <w:pStyle w:val="a4"/>
        <w:rPr>
          <w:rFonts w:ascii="Times New Roman" w:hAnsi="Times New Roman"/>
          <w:iCs/>
          <w:color w:val="auto"/>
          <w:sz w:val="26"/>
          <w:szCs w:val="26"/>
        </w:rPr>
      </w:pPr>
      <w:r w:rsidRPr="00CC23A2">
        <w:rPr>
          <w:rFonts w:ascii="Times New Roman" w:hAnsi="Times New Roman"/>
          <w:iCs/>
          <w:color w:val="auto"/>
          <w:sz w:val="26"/>
          <w:szCs w:val="26"/>
        </w:rPr>
        <w:t>Прогнозируется консервативное развитие системы расселения.</w:t>
      </w:r>
    </w:p>
    <w:p w:rsidR="00E618FE" w:rsidRPr="00CC23A2"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Шегарский район </w:t>
      </w:r>
      <w:r w:rsidRPr="00CC23A2">
        <w:rPr>
          <w:rFonts w:ascii="Times New Roman" w:eastAsia="Aptos" w:hAnsi="Times New Roman"/>
          <w:color w:val="auto"/>
          <w:sz w:val="26"/>
          <w:szCs w:val="26"/>
          <w:lang w:eastAsia="en-US"/>
          <w14:ligatures w14:val="standardContextual"/>
        </w:rPr>
        <w:t xml:space="preserve">имеет сельскохозяйственную специализацию </w:t>
      </w:r>
      <w:r w:rsidRPr="00CC23A2">
        <w:rPr>
          <w:rFonts w:ascii="Times New Roman" w:eastAsia="Aptos" w:hAnsi="Times New Roman"/>
          <w:color w:val="auto"/>
          <w:sz w:val="26"/>
          <w:szCs w:val="26"/>
          <w:lang w:eastAsia="en-US"/>
          <w14:ligatures w14:val="standardContextual"/>
        </w:rPr>
        <w:br/>
        <w:t xml:space="preserve">при сопутствующей роли лесохозяйственной деятельности. Система расселения относительно устойчивая, с </w:t>
      </w:r>
      <w:r w:rsidRPr="00CC23A2">
        <w:rPr>
          <w:rFonts w:ascii="Times New Roman" w:hAnsi="Times New Roman"/>
          <w:color w:val="auto"/>
          <w:sz w:val="26"/>
          <w:szCs w:val="26"/>
        </w:rPr>
        <w:t>концентрацией населения и хозяйственной активности в районном центре и на прилегающих территориях. За период 2020 – 2025 годов численность населения района выросла на 2,6%.</w:t>
      </w:r>
    </w:p>
    <w:p w:rsidR="00E618FE" w:rsidRPr="00CC23A2" w:rsidRDefault="00800098">
      <w:pPr>
        <w:pStyle w:val="a4"/>
        <w:rPr>
          <w:rFonts w:ascii="Times New Roman" w:eastAsia="Aptos" w:hAnsi="Times New Roman"/>
          <w:color w:val="auto"/>
          <w:sz w:val="26"/>
          <w:szCs w:val="26"/>
          <w:lang w:eastAsia="en-US"/>
          <w14:ligatures w14:val="standardContextual"/>
        </w:rPr>
      </w:pPr>
      <w:r w:rsidRPr="00CC23A2">
        <w:rPr>
          <w:rFonts w:ascii="Times New Roman" w:eastAsia="Aptos" w:hAnsi="Times New Roman"/>
          <w:color w:val="auto"/>
          <w:sz w:val="26"/>
          <w:szCs w:val="26"/>
          <w:lang w:eastAsia="en-US"/>
          <w14:ligatures w14:val="standardContextual"/>
        </w:rPr>
        <w:t xml:space="preserve">Ключевой производитель сельскохозяйственной продукции </w:t>
      </w:r>
      <w:r w:rsidR="00CC23A2">
        <w:rPr>
          <w:rFonts w:ascii="Times New Roman" w:eastAsia="Aptos" w:hAnsi="Times New Roman"/>
          <w:color w:val="auto"/>
          <w:sz w:val="26"/>
          <w:szCs w:val="26"/>
          <w:lang w:eastAsia="en-US"/>
          <w14:ligatures w14:val="standardContextual"/>
        </w:rPr>
        <w:t>–</w:t>
      </w:r>
      <w:r w:rsidRPr="00CC23A2">
        <w:rPr>
          <w:rFonts w:ascii="Times New Roman" w:eastAsia="Aptos" w:hAnsi="Times New Roman"/>
          <w:color w:val="auto"/>
          <w:sz w:val="26"/>
          <w:szCs w:val="26"/>
          <w:lang w:eastAsia="en-US"/>
          <w14:ligatures w14:val="standardContextual"/>
        </w:rPr>
        <w:t xml:space="preserve"> ООО «Агрофирма «Межениновская» в с. Баткат, специализирующаяся </w:t>
      </w:r>
      <w:r w:rsidR="00CC23A2">
        <w:rPr>
          <w:rFonts w:ascii="Times New Roman" w:eastAsia="Aptos" w:hAnsi="Times New Roman"/>
          <w:color w:val="auto"/>
          <w:sz w:val="26"/>
          <w:szCs w:val="26"/>
          <w:lang w:eastAsia="en-US"/>
          <w14:ligatures w14:val="standardContextual"/>
        </w:rPr>
        <w:br/>
      </w:r>
      <w:r w:rsidRPr="00CC23A2">
        <w:rPr>
          <w:rFonts w:ascii="Times New Roman" w:eastAsia="Aptos" w:hAnsi="Times New Roman"/>
          <w:color w:val="auto"/>
          <w:sz w:val="26"/>
          <w:szCs w:val="26"/>
          <w:lang w:eastAsia="en-US"/>
          <w14:ligatures w14:val="standardContextual"/>
        </w:rPr>
        <w:t>на растениеводстве. В 2024 году в с. Нащеково введен в эксплуатацию новый селекционно-семеноводческий комплекс агрофирмы «Межениновская» мощностью, позволяющей обеспечить до 50% потребностей области в семенах.</w:t>
      </w:r>
    </w:p>
    <w:p w:rsidR="00E618FE" w:rsidRPr="00CC23A2" w:rsidRDefault="00800098">
      <w:pPr>
        <w:pStyle w:val="a4"/>
        <w:rPr>
          <w:rFonts w:ascii="Times New Roman" w:eastAsia="Aptos" w:hAnsi="Times New Roman"/>
          <w:color w:val="auto"/>
          <w:sz w:val="26"/>
          <w:szCs w:val="26"/>
          <w:lang w:eastAsia="en-US"/>
          <w14:ligatures w14:val="standardContextual"/>
        </w:rPr>
      </w:pPr>
      <w:r w:rsidRPr="00CC23A2">
        <w:rPr>
          <w:rFonts w:ascii="Times New Roman" w:eastAsia="Aptos" w:hAnsi="Times New Roman"/>
          <w:color w:val="auto"/>
          <w:sz w:val="26"/>
          <w:szCs w:val="26"/>
          <w:lang w:eastAsia="en-US"/>
          <w14:ligatures w14:val="standardContextual"/>
        </w:rPr>
        <w:t>Также в районе имеется структурное подразделение крупного сельхозтоваропроизводителя СПК «Белосток» в с. Монастырка; представлены КФХ и сельскохозяйственные кооперативы, занимающиеся производством зерна и молочной продукции.</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Пищевое производство носит локальный характер, представлено </w:t>
      </w:r>
      <w:r w:rsidRPr="00CC23A2">
        <w:rPr>
          <w:rFonts w:ascii="Times New Roman" w:hAnsi="Times New Roman"/>
          <w:color w:val="auto"/>
          <w:sz w:val="26"/>
          <w:szCs w:val="26"/>
        </w:rPr>
        <w:br/>
        <w:t>в с. Мельниково, с. Каргала и д. Тызырачево.</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В области лесозаготовки преобладает деятельность ИП и микропредприятий. Большее развитие получили предприятия деревообработки, сформировавшие соответствующие производственные центры в с. Мельниково, с. Анастасьевка </w:t>
      </w:r>
      <w:r w:rsidR="00E80A9F">
        <w:rPr>
          <w:rFonts w:ascii="Times New Roman" w:hAnsi="Times New Roman"/>
          <w:color w:val="auto"/>
          <w:sz w:val="26"/>
          <w:szCs w:val="26"/>
        </w:rPr>
        <w:br/>
      </w:r>
      <w:r w:rsidRPr="00CC23A2">
        <w:rPr>
          <w:rFonts w:ascii="Times New Roman" w:hAnsi="Times New Roman"/>
          <w:color w:val="auto"/>
          <w:sz w:val="26"/>
          <w:szCs w:val="26"/>
        </w:rPr>
        <w:t xml:space="preserve">и с. Маркелово. Ресурсы дикорастущего сырья невелики, сбор дикоросов </w:t>
      </w:r>
      <w:r w:rsidR="00E80A9F">
        <w:rPr>
          <w:rFonts w:ascii="Times New Roman" w:hAnsi="Times New Roman"/>
          <w:color w:val="auto"/>
          <w:sz w:val="26"/>
          <w:szCs w:val="26"/>
        </w:rPr>
        <w:br/>
      </w:r>
      <w:r w:rsidRPr="00CC23A2">
        <w:rPr>
          <w:rFonts w:ascii="Times New Roman" w:hAnsi="Times New Roman"/>
          <w:color w:val="auto"/>
          <w:sz w:val="26"/>
          <w:szCs w:val="26"/>
        </w:rPr>
        <w:t>и рыболовство осуществляются населением в основном для личного потребления.</w:t>
      </w:r>
    </w:p>
    <w:p w:rsidR="00E618FE" w:rsidRPr="00CC23A2" w:rsidRDefault="00800098">
      <w:pPr>
        <w:pStyle w:val="a4"/>
        <w:rPr>
          <w:rFonts w:ascii="Times New Roman" w:hAnsi="Times New Roman"/>
          <w:color w:val="auto"/>
          <w:sz w:val="26"/>
          <w:szCs w:val="26"/>
        </w:rPr>
      </w:pPr>
      <w:r w:rsidRPr="00CC23A2">
        <w:rPr>
          <w:rFonts w:ascii="Times New Roman" w:eastAsia="Aptos" w:hAnsi="Times New Roman"/>
          <w:color w:val="auto"/>
          <w:sz w:val="26"/>
          <w:szCs w:val="26"/>
          <w:lang w:eastAsia="en-US"/>
          <w14:ligatures w14:val="standardContextual"/>
        </w:rPr>
        <w:t xml:space="preserve">Несмотря на высокий туристско-рекреационный потенциал района, отрасль </w:t>
      </w:r>
      <w:r w:rsidR="00E80A9F">
        <w:rPr>
          <w:rFonts w:ascii="Times New Roman" w:eastAsia="Aptos" w:hAnsi="Times New Roman"/>
          <w:color w:val="auto"/>
          <w:sz w:val="26"/>
          <w:szCs w:val="26"/>
          <w:lang w:eastAsia="en-US"/>
          <w14:ligatures w14:val="standardContextual"/>
        </w:rPr>
        <w:br/>
      </w:r>
      <w:r w:rsidRPr="00CC23A2">
        <w:rPr>
          <w:rFonts w:ascii="Times New Roman" w:eastAsia="Aptos" w:hAnsi="Times New Roman"/>
          <w:color w:val="auto"/>
          <w:sz w:val="26"/>
          <w:szCs w:val="26"/>
          <w:lang w:eastAsia="en-US"/>
          <w14:ligatures w14:val="standardContextual"/>
        </w:rPr>
        <w:t>в настоящее время находится в стагнации: практически все базы отдыха прекратили финансово-хозяйственную деятельность, что свидетельствует о высоких рисках инвестирования в данном направлении</w:t>
      </w:r>
      <w:r w:rsidRPr="00CC23A2">
        <w:rPr>
          <w:rFonts w:ascii="Times New Roman" w:hAnsi="Times New Roman"/>
          <w:color w:val="auto"/>
          <w:sz w:val="26"/>
          <w:szCs w:val="26"/>
        </w:rPr>
        <w:t>. Имеются необустроенные места массового отдыха, особенно выделяются в этом направлении территории в районе п. Победа.</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 xml:space="preserve">Приоритетными направлениями развития экономики района являются увеличение мощностей действующих сельскохозяйственных предприятий, развитие пищеперерабатывающих мощностей (особенно по переработке молочной продукции), деревообработка и производство изделий из дерева, производство стройматериалов, транспортное обслуживание, придорожный сервис, рекреация </w:t>
      </w:r>
      <w:r w:rsidR="00E80A9F">
        <w:rPr>
          <w:rFonts w:ascii="Times New Roman" w:hAnsi="Times New Roman"/>
          <w:color w:val="auto"/>
          <w:sz w:val="26"/>
          <w:szCs w:val="26"/>
        </w:rPr>
        <w:br/>
      </w:r>
      <w:r w:rsidRPr="00CC23A2">
        <w:rPr>
          <w:rFonts w:ascii="Times New Roman" w:hAnsi="Times New Roman"/>
          <w:color w:val="auto"/>
          <w:sz w:val="26"/>
          <w:szCs w:val="26"/>
        </w:rPr>
        <w:t xml:space="preserve">и отдых. </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Являясь самым близко расположенным районом к Томску (за исключением Томского), Шегарский район следует рассматривать как основное направление пространственного развития агропромышленного комплекса. Развитие растениеводства в Шегарском районе отнесено к числу приоритетных инвестиционных проектов региона.</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t>Ключевым инфраструктурным проектом является планируемый запуск комплекса по сжижению природного газа «Каргала». Данный проект дает мощный импульс для развития хозяйственного комплекса, снижения издержек и повышения инвестиционной привлекательности района, а также соседних территорий.</w:t>
      </w:r>
    </w:p>
    <w:p w:rsidR="00E618FE" w:rsidRPr="00CC23A2" w:rsidRDefault="00800098">
      <w:pPr>
        <w:pStyle w:val="a4"/>
        <w:rPr>
          <w:rFonts w:ascii="Times New Roman" w:hAnsi="Times New Roman"/>
          <w:color w:val="auto"/>
          <w:sz w:val="26"/>
          <w:szCs w:val="26"/>
        </w:rPr>
      </w:pPr>
      <w:r w:rsidRPr="00CC23A2">
        <w:rPr>
          <w:rFonts w:ascii="Times New Roman" w:hAnsi="Times New Roman"/>
          <w:color w:val="auto"/>
          <w:sz w:val="26"/>
          <w:szCs w:val="26"/>
        </w:rPr>
        <w:lastRenderedPageBreak/>
        <w:t xml:space="preserve">Важным инфраструктурным проектом является модернизация системы водоснабжения с. Мельниково. </w:t>
      </w:r>
    </w:p>
    <w:p w:rsidR="00E618FE" w:rsidRPr="00CC23A2" w:rsidRDefault="00800098">
      <w:pPr>
        <w:pStyle w:val="a4"/>
        <w:rPr>
          <w:rFonts w:ascii="Times New Roman" w:hAnsi="Times New Roman"/>
          <w:iCs/>
          <w:color w:val="auto"/>
          <w:sz w:val="26"/>
          <w:szCs w:val="26"/>
        </w:rPr>
      </w:pPr>
      <w:r w:rsidRPr="00CC23A2">
        <w:rPr>
          <w:rFonts w:ascii="Times New Roman" w:hAnsi="Times New Roman"/>
          <w:color w:val="auto"/>
          <w:sz w:val="26"/>
          <w:szCs w:val="26"/>
        </w:rPr>
        <w:t>Прогнозируется консервативное развитие</w:t>
      </w:r>
      <w:r w:rsidRPr="00CC23A2">
        <w:rPr>
          <w:rFonts w:ascii="Times New Roman" w:hAnsi="Times New Roman"/>
          <w:iCs/>
          <w:color w:val="auto"/>
          <w:sz w:val="26"/>
          <w:szCs w:val="26"/>
        </w:rPr>
        <w:t xml:space="preserve"> системы расселения, имеется потенциал формирования связей агломерационного характера с Томском. </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Кривошеинский район. </w:t>
      </w:r>
      <w:r w:rsidRPr="00E80A9F">
        <w:rPr>
          <w:rFonts w:ascii="Times New Roman" w:eastAsia="Aptos" w:hAnsi="Times New Roman"/>
          <w:color w:val="auto"/>
          <w:sz w:val="26"/>
          <w:szCs w:val="26"/>
          <w:lang w:eastAsia="en-US"/>
          <w14:ligatures w14:val="standardContextual"/>
        </w:rPr>
        <w:t xml:space="preserve">В </w:t>
      </w:r>
      <w:r w:rsidRPr="00E80A9F">
        <w:rPr>
          <w:rFonts w:ascii="Times New Roman" w:hAnsi="Times New Roman"/>
          <w:color w:val="auto"/>
          <w:sz w:val="26"/>
          <w:szCs w:val="26"/>
        </w:rPr>
        <w:t>муниципальном районе преобладает сельскохозяйственная специализация. Территория со сравнительно стабильной системой расселения и численностью населения. За период 2020 – 2025 годов численность населения района выросла на 1,1%.</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области деревообработки выделяются предприятия ООО «ЗПК Сиблестрейд» в с. Красный Яр, а также подразделение ООО «Монолит-Строй» в с. Малиновка. В районе с. Кривошеино функционируют лесозаготовительные подразделения предприятий ООО «Латат» </w:t>
      </w:r>
      <w:r w:rsidR="00E80A9F">
        <w:rPr>
          <w:rFonts w:ascii="Times New Roman" w:hAnsi="Times New Roman"/>
          <w:color w:val="auto"/>
          <w:sz w:val="26"/>
          <w:szCs w:val="26"/>
        </w:rPr>
        <w:br/>
      </w:r>
      <w:r w:rsidRPr="00E80A9F">
        <w:rPr>
          <w:rFonts w:ascii="Times New Roman" w:hAnsi="Times New Roman"/>
          <w:color w:val="auto"/>
          <w:sz w:val="26"/>
          <w:szCs w:val="26"/>
        </w:rPr>
        <w:t xml:space="preserve">и ООО «Сиблеспром». ООО «Лес-Экспорт» (с. Красный Яр) в настоящее время осуществляет деятельность в северных районах области, деятельность </w:t>
      </w:r>
      <w:r w:rsidR="00E80A9F">
        <w:rPr>
          <w:rFonts w:ascii="Times New Roman" w:hAnsi="Times New Roman"/>
          <w:color w:val="auto"/>
          <w:sz w:val="26"/>
          <w:szCs w:val="26"/>
        </w:rPr>
        <w:br/>
      </w:r>
      <w:r w:rsidRPr="00E80A9F">
        <w:rPr>
          <w:rFonts w:ascii="Times New Roman" w:hAnsi="Times New Roman"/>
          <w:color w:val="auto"/>
          <w:sz w:val="26"/>
          <w:szCs w:val="26"/>
        </w:rPr>
        <w:t>по лесопереработке законсервирована.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 сельском хозяйстве около 20 хозяйствующих субъектов. Основные центры сельскохозяйственной деятельности, где функционируют системообразующие крупные и малые сельскохозяйственные организации — с. Новокривошеино (СПК «Кривошеинский»), с. Пудовка (СПК «Белосток»). Пищевое производство представлено ООО «Пищекомбинат «Красный Яр» в с. Красный Яр. Также развит сбор дикоросов.</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Объектом туризма на территории района является музей казачьей культуры «Братина».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Перспективы хозяйственного развития района связаны </w:t>
      </w:r>
      <w:r w:rsidRPr="00E80A9F">
        <w:rPr>
          <w:rFonts w:ascii="Times New Roman" w:hAnsi="Times New Roman"/>
          <w:color w:val="auto"/>
          <w:sz w:val="26"/>
          <w:szCs w:val="26"/>
        </w:rPr>
        <w:br/>
        <w:t>со строительством животноводческих ферм, предприятий по переработке, мяса и молока, развитием рыболовства и рыбоводства. Предусмотрено строительство участка «КС-13 «Володино» — КС-14 «Беловодская» «Системы магистральных газопроводов «Восточной системы газоснабжения».</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Прогнозируется консервативное развитие системы расселения.</w:t>
      </w:r>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hAnsi="Times New Roman"/>
          <w:color w:val="auto"/>
          <w:sz w:val="26"/>
          <w:szCs w:val="26"/>
        </w:rPr>
        <w:t xml:space="preserve">Ключевой задачей инфраструктурного развития является обеспечение транспортной доступности с. Красный Яр за счет поддержания </w:t>
      </w:r>
      <w:r w:rsidRPr="00E80A9F">
        <w:rPr>
          <w:rFonts w:ascii="Times New Roman" w:eastAsia="Aptos" w:hAnsi="Times New Roman"/>
          <w:color w:val="auto"/>
          <w:sz w:val="26"/>
          <w:szCs w:val="26"/>
          <w:lang w:eastAsia="en-US"/>
          <w14:ligatures w14:val="standardContextual"/>
        </w:rPr>
        <w:t xml:space="preserve">зимника Красный Яр — Петропавловка в рабочем состоянии. </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Молчановский район </w:t>
      </w:r>
      <w:r w:rsidRPr="00E80A9F">
        <w:rPr>
          <w:rFonts w:ascii="Times New Roman" w:eastAsia="Aptos" w:hAnsi="Times New Roman"/>
          <w:color w:val="auto"/>
          <w:sz w:val="26"/>
          <w:szCs w:val="26"/>
          <w:lang w:eastAsia="en-US"/>
          <w14:ligatures w14:val="standardContextual"/>
        </w:rPr>
        <w:t xml:space="preserve">имеет выраженную сельскохозяйственную специализацию. Территория с разнородным развитием системы </w:t>
      </w:r>
      <w:r w:rsidR="00E80A9F">
        <w:rPr>
          <w:rFonts w:ascii="Times New Roman" w:eastAsia="Aptos" w:hAnsi="Times New Roman"/>
          <w:color w:val="auto"/>
          <w:sz w:val="26"/>
          <w:szCs w:val="26"/>
          <w:lang w:eastAsia="en-US"/>
          <w14:ligatures w14:val="standardContextual"/>
        </w:rPr>
        <w:t>расселения –</w:t>
      </w:r>
      <w:r w:rsidRPr="00E80A9F">
        <w:rPr>
          <w:rFonts w:ascii="Times New Roman" w:eastAsia="Aptos" w:hAnsi="Times New Roman"/>
          <w:color w:val="auto"/>
          <w:sz w:val="26"/>
          <w:szCs w:val="26"/>
          <w:lang w:eastAsia="en-US"/>
          <w14:ligatures w14:val="standardContextual"/>
        </w:rPr>
        <w:t xml:space="preserve"> высокими темпами убыли </w:t>
      </w:r>
      <w:r w:rsidRPr="00E80A9F">
        <w:rPr>
          <w:rFonts w:ascii="Times New Roman" w:hAnsi="Times New Roman"/>
          <w:color w:val="auto"/>
          <w:sz w:val="26"/>
          <w:szCs w:val="26"/>
        </w:rPr>
        <w:t>населения на периферии района и сравнительно стабильной численностью населения в Молчановском и Могочинском поселениях. За период 2020 – 2025 годов численность населения района снизилась на 1,6%.</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Район входит в число муниципальных образований области с низким уровнем экономического развития. Экономика района представлена мелкотоварным разведением крупного рогатого скота молочного и мясомолочного направления (около 10 КФХ). Центры сельскохозяйственной деятельности: с. Молчаново, </w:t>
      </w:r>
      <w:r w:rsidR="00E80A9F">
        <w:rPr>
          <w:rFonts w:ascii="Times New Roman" w:hAnsi="Times New Roman"/>
          <w:color w:val="auto"/>
          <w:sz w:val="26"/>
          <w:szCs w:val="26"/>
        </w:rPr>
        <w:br/>
      </w:r>
      <w:r w:rsidRPr="00E80A9F">
        <w:rPr>
          <w:rFonts w:ascii="Times New Roman" w:hAnsi="Times New Roman"/>
          <w:color w:val="auto"/>
          <w:sz w:val="26"/>
          <w:szCs w:val="26"/>
        </w:rPr>
        <w:t xml:space="preserve">с. Соколовка, с. Гришино и с. Тунгусово.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Объемы лесозаготовки незначительны, производство пиломатериалов представлено несколькими микропредприятиями в с. Молчаново. Развита заготовка дикоросов; закупку у населения дикорастущей и плодово-ягодной продукции </w:t>
      </w:r>
      <w:r w:rsidR="00E80A9F">
        <w:rPr>
          <w:rFonts w:ascii="Times New Roman" w:hAnsi="Times New Roman"/>
          <w:color w:val="auto"/>
          <w:sz w:val="26"/>
          <w:szCs w:val="26"/>
        </w:rPr>
        <w:br/>
      </w:r>
      <w:r w:rsidRPr="00E80A9F">
        <w:rPr>
          <w:rFonts w:ascii="Times New Roman" w:hAnsi="Times New Roman"/>
          <w:color w:val="auto"/>
          <w:sz w:val="26"/>
          <w:szCs w:val="26"/>
        </w:rPr>
        <w:t>на территории района осуществляют 5 приемозаготовительных пунктов.</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Молчановский район является значимым узлом паломнического туризма, </w:t>
      </w:r>
      <w:r w:rsidR="00E80A9F">
        <w:rPr>
          <w:rFonts w:ascii="Times New Roman" w:hAnsi="Times New Roman"/>
          <w:color w:val="auto"/>
          <w:sz w:val="26"/>
          <w:szCs w:val="26"/>
        </w:rPr>
        <w:br/>
      </w:r>
      <w:r w:rsidRPr="00E80A9F">
        <w:rPr>
          <w:rFonts w:ascii="Times New Roman" w:hAnsi="Times New Roman"/>
          <w:color w:val="auto"/>
          <w:sz w:val="26"/>
          <w:szCs w:val="26"/>
        </w:rPr>
        <w:t xml:space="preserve">на его территории расположены Свято-Никольский женский монастырь </w:t>
      </w:r>
      <w:r w:rsidR="00E80A9F">
        <w:rPr>
          <w:rFonts w:ascii="Times New Roman" w:hAnsi="Times New Roman"/>
          <w:color w:val="auto"/>
          <w:sz w:val="26"/>
          <w:szCs w:val="26"/>
        </w:rPr>
        <w:br/>
      </w:r>
      <w:r w:rsidRPr="00E80A9F">
        <w:rPr>
          <w:rFonts w:ascii="Times New Roman" w:hAnsi="Times New Roman"/>
          <w:color w:val="auto"/>
          <w:sz w:val="26"/>
          <w:szCs w:val="26"/>
        </w:rPr>
        <w:lastRenderedPageBreak/>
        <w:t xml:space="preserve">в с. Могочино и Свято-Преображенский мужской монастырь </w:t>
      </w:r>
      <w:r w:rsidRPr="00E80A9F">
        <w:rPr>
          <w:rFonts w:ascii="Times New Roman" w:hAnsi="Times New Roman"/>
          <w:color w:val="auto"/>
          <w:sz w:val="26"/>
          <w:szCs w:val="26"/>
        </w:rPr>
        <w:br/>
        <w:t>в урочище Бо</w:t>
      </w:r>
      <w:r w:rsidR="00E80A9F">
        <w:rPr>
          <w:rFonts w:ascii="Times New Roman" w:hAnsi="Times New Roman"/>
          <w:color w:val="auto"/>
          <w:sz w:val="26"/>
          <w:szCs w:val="26"/>
        </w:rPr>
        <w:t>льшой Волок. Кроме того, район –</w:t>
      </w:r>
      <w:r w:rsidRPr="00E80A9F">
        <w:rPr>
          <w:rFonts w:ascii="Times New Roman" w:hAnsi="Times New Roman"/>
          <w:color w:val="auto"/>
          <w:sz w:val="26"/>
          <w:szCs w:val="26"/>
        </w:rPr>
        <w:t xml:space="preserve"> территория исторического проживания южных селькупов (группа тюйкум) и распространения молчановского и чулымского диалектов южноселькупского языка.</w:t>
      </w:r>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hAnsi="Times New Roman"/>
          <w:color w:val="auto"/>
          <w:sz w:val="26"/>
          <w:szCs w:val="26"/>
        </w:rPr>
        <w:t xml:space="preserve">Перспективы хозяйственного развития района могут быть связаны </w:t>
      </w:r>
      <w:r w:rsidR="00E80A9F">
        <w:rPr>
          <w:rFonts w:ascii="Times New Roman" w:hAnsi="Times New Roman"/>
          <w:color w:val="auto"/>
          <w:sz w:val="26"/>
          <w:szCs w:val="26"/>
        </w:rPr>
        <w:br/>
      </w:r>
      <w:r w:rsidRPr="00E80A9F">
        <w:rPr>
          <w:rFonts w:ascii="Times New Roman" w:hAnsi="Times New Roman"/>
          <w:color w:val="auto"/>
          <w:sz w:val="26"/>
          <w:szCs w:val="26"/>
        </w:rPr>
        <w:t>со строительством животноводческих ферм, предприятий по переработке дикоросов, мяса и молока, развитием рыболовства</w:t>
      </w:r>
      <w:r w:rsidRPr="00E80A9F">
        <w:rPr>
          <w:rFonts w:ascii="Times New Roman" w:eastAsia="Aptos" w:hAnsi="Times New Roman"/>
          <w:color w:val="auto"/>
          <w:sz w:val="26"/>
          <w:szCs w:val="26"/>
          <w:lang w:eastAsia="en-US"/>
          <w14:ligatures w14:val="standardContextual"/>
        </w:rPr>
        <w:t xml:space="preserve"> и рыбоводства. </w:t>
      </w:r>
    </w:p>
    <w:p w:rsidR="00E618FE" w:rsidRPr="00E80A9F" w:rsidRDefault="00800098">
      <w:pPr>
        <w:pStyle w:val="a4"/>
        <w:rPr>
          <w:rFonts w:ascii="Times New Roman" w:hAnsi="Times New Roman"/>
          <w:color w:val="auto"/>
          <w:sz w:val="26"/>
          <w:szCs w:val="26"/>
        </w:rPr>
      </w:pPr>
      <w:bookmarkStart w:id="257" w:name="_Hlk231400631"/>
      <w:r w:rsidRPr="00E80A9F">
        <w:rPr>
          <w:rFonts w:ascii="Times New Roman" w:hAnsi="Times New Roman"/>
          <w:color w:val="auto"/>
          <w:sz w:val="26"/>
          <w:szCs w:val="26"/>
        </w:rPr>
        <w:t>Важными инфраструктурными проектами</w:t>
      </w:r>
      <w:r w:rsidRPr="00E80A9F">
        <w:rPr>
          <w:rFonts w:ascii="Times New Roman" w:eastAsia="TimesNewRoman" w:hAnsi="Times New Roman"/>
          <w:color w:val="auto"/>
          <w:sz w:val="26"/>
          <w:szCs w:val="26"/>
        </w:rPr>
        <w:t xml:space="preserve"> является модернизация </w:t>
      </w:r>
      <w:r w:rsidRPr="00E80A9F">
        <w:rPr>
          <w:rFonts w:ascii="Times New Roman" w:hAnsi="Times New Roman"/>
          <w:color w:val="auto"/>
          <w:sz w:val="26"/>
          <w:szCs w:val="26"/>
        </w:rPr>
        <w:t xml:space="preserve">систем тепло- и водоснабжения с. Молчаново. </w:t>
      </w:r>
      <w:bookmarkEnd w:id="257"/>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eastAsia="Aptos" w:hAnsi="Times New Roman"/>
          <w:color w:val="auto"/>
          <w:sz w:val="26"/>
          <w:szCs w:val="26"/>
          <w:lang w:eastAsia="en-US"/>
          <w14:ligatures w14:val="standardContextual"/>
        </w:rPr>
        <w:t>В системе расселения продолжится концентрация населения преимущественно в районном центре.</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Чаинский район </w:t>
      </w:r>
      <w:r w:rsidRPr="00E80A9F">
        <w:rPr>
          <w:rFonts w:ascii="Times New Roman" w:eastAsia="Aptos" w:hAnsi="Times New Roman"/>
          <w:color w:val="auto"/>
          <w:sz w:val="26"/>
          <w:szCs w:val="26"/>
          <w:lang w:eastAsia="en-US"/>
          <w14:ligatures w14:val="standardContextual"/>
        </w:rPr>
        <w:t xml:space="preserve">имеет смешанную сельско- и лесохозяйственную специализацию. Территория с разнородным характером развитием системы расселения — высокими темпами убыли </w:t>
      </w:r>
      <w:r w:rsidRPr="00E80A9F">
        <w:rPr>
          <w:rFonts w:ascii="Times New Roman" w:hAnsi="Times New Roman"/>
          <w:color w:val="auto"/>
          <w:sz w:val="26"/>
          <w:szCs w:val="26"/>
        </w:rPr>
        <w:t>населения на периферии района и ростом численности населения в Подгорнском поселении. За период 2020 – 2025 годов численность населения района выросла на 0,1%.</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Район входит в число муниципальных образований области с низким уровнем экономического развития. В сельском хозяйстве представлено одно малое сельхозпредприятие и около 20 КФХ, преимущественно занятых разведением КРС; лесопромышленную деятельность осуществляют около 15 индивидуальных предпринимателей. Таким образом, хозяйственная деятельность в районе отличается мелкотоварностью и низкой добавленной стоимостью. Развит сбор дикоросов и рыболовство.</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Перспективы хозяйственного развития района связаны с локальными мероприятиями по строительству животноводческих ферм, цехов по производству пиломатериалов и пунктов по переработке дикоросов. В системе расселения продолжится концентрация населения в административном центре района.</w:t>
      </w:r>
    </w:p>
    <w:p w:rsidR="00E618FE" w:rsidRPr="00E80A9F" w:rsidRDefault="00800098">
      <w:pPr>
        <w:pStyle w:val="a4"/>
        <w:rPr>
          <w:rFonts w:ascii="Times New Roman" w:eastAsia="Aptos" w:hAnsi="Times New Roman"/>
          <w:color w:val="auto"/>
          <w:sz w:val="26"/>
          <w:szCs w:val="26"/>
          <w:lang w:eastAsia="en-US"/>
          <w14:ligatures w14:val="standardContextual"/>
        </w:rPr>
      </w:pPr>
      <w:bookmarkStart w:id="258" w:name="_Hlk231400745"/>
      <w:r w:rsidRPr="00E80A9F">
        <w:rPr>
          <w:rFonts w:ascii="Times New Roman" w:hAnsi="Times New Roman"/>
          <w:color w:val="auto"/>
          <w:sz w:val="26"/>
          <w:szCs w:val="26"/>
        </w:rPr>
        <w:t>Ключевым инфраструктурным проектом</w:t>
      </w:r>
      <w:r w:rsidRPr="00E80A9F">
        <w:rPr>
          <w:rFonts w:ascii="Times New Roman" w:eastAsia="Aptos" w:hAnsi="Times New Roman"/>
          <w:color w:val="auto"/>
          <w:sz w:val="26"/>
          <w:szCs w:val="26"/>
          <w:lang w:eastAsia="en-US"/>
          <w14:ligatures w14:val="standardContextual"/>
        </w:rPr>
        <w:t xml:space="preserve"> является газификация муниципального района с переводом муниципальных котельных с. Подгорное </w:t>
      </w:r>
      <w:r w:rsidR="00E80A9F">
        <w:rPr>
          <w:rFonts w:ascii="Times New Roman" w:eastAsia="Aptos" w:hAnsi="Times New Roman"/>
          <w:color w:val="auto"/>
          <w:sz w:val="26"/>
          <w:szCs w:val="26"/>
          <w:lang w:eastAsia="en-US"/>
          <w14:ligatures w14:val="standardContextual"/>
        </w:rPr>
        <w:br/>
      </w:r>
      <w:r w:rsidRPr="00E80A9F">
        <w:rPr>
          <w:rFonts w:ascii="Times New Roman" w:eastAsia="Aptos" w:hAnsi="Times New Roman"/>
          <w:color w:val="auto"/>
          <w:sz w:val="26"/>
          <w:szCs w:val="26"/>
          <w:lang w:eastAsia="en-US"/>
          <w14:ligatures w14:val="standardContextual"/>
        </w:rPr>
        <w:t>на газ.</w:t>
      </w:r>
      <w:bookmarkEnd w:id="258"/>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Бакчарский район </w:t>
      </w:r>
      <w:r w:rsidRPr="00E80A9F">
        <w:rPr>
          <w:rFonts w:ascii="Times New Roman" w:eastAsia="Aptos" w:hAnsi="Times New Roman"/>
          <w:color w:val="auto"/>
          <w:sz w:val="26"/>
          <w:szCs w:val="26"/>
          <w:lang w:eastAsia="en-US"/>
          <w14:ligatures w14:val="standardContextual"/>
        </w:rPr>
        <w:t xml:space="preserve">характеризуется преимущественно сельскохозяйственной специализацией (мясное и молочное скотоводство). Территория с разнородным </w:t>
      </w:r>
      <w:r w:rsidR="00E80A9F">
        <w:rPr>
          <w:rFonts w:ascii="Times New Roman" w:hAnsi="Times New Roman"/>
          <w:color w:val="auto"/>
          <w:sz w:val="26"/>
          <w:szCs w:val="26"/>
        </w:rPr>
        <w:t>развитием системы расселения –</w:t>
      </w:r>
      <w:r w:rsidRPr="00E80A9F">
        <w:rPr>
          <w:rFonts w:ascii="Times New Roman" w:hAnsi="Times New Roman"/>
          <w:color w:val="auto"/>
          <w:sz w:val="26"/>
          <w:szCs w:val="26"/>
        </w:rPr>
        <w:t xml:space="preserve"> высокими темпами убыли населения в западной части района (Парбигское и Высокоярское поселения) и сравнительно стабильной численностью населения в восточной части. За период 2020 – 2025 годов численность населения района снизилась на 6,8%.</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Район входит в число муниципальных образований области с низким уровнем экономического развития. Развито преимущественно мелкотоварное сельскохозяйственное производство (КФХ и микропредприятия), имеется малое предприятие ООО «АПК «Чернышевский» в с. Чернышевка. АО «Бакчарское» занимается производством ягод (в том числе жимолости), а также селекцией </w:t>
      </w:r>
      <w:r w:rsidR="00E80A9F">
        <w:rPr>
          <w:rFonts w:ascii="Times New Roman" w:hAnsi="Times New Roman"/>
          <w:color w:val="auto"/>
          <w:sz w:val="26"/>
          <w:szCs w:val="26"/>
        </w:rPr>
        <w:br/>
      </w:r>
      <w:r w:rsidRPr="00E80A9F">
        <w:rPr>
          <w:rFonts w:ascii="Times New Roman" w:hAnsi="Times New Roman"/>
          <w:color w:val="auto"/>
          <w:sz w:val="26"/>
          <w:szCs w:val="26"/>
        </w:rPr>
        <w:t>и выращиванием высокопродуктивных сортов садовых культур для обеспечения посадочным материалом населения и специализированных хозяйств Томской области и других регионов.</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условиях удаленного расположения лесных массивов лесопромышленный комплекс также представлен малыми формами хозяйствования </w:t>
      </w:r>
      <w:r w:rsidR="00E80A9F">
        <w:rPr>
          <w:rFonts w:ascii="Times New Roman" w:hAnsi="Times New Roman"/>
          <w:color w:val="auto"/>
          <w:sz w:val="26"/>
          <w:szCs w:val="26"/>
        </w:rPr>
        <w:br/>
      </w:r>
      <w:r w:rsidRPr="00E80A9F">
        <w:rPr>
          <w:rFonts w:ascii="Times New Roman" w:hAnsi="Times New Roman"/>
          <w:color w:val="auto"/>
          <w:sz w:val="26"/>
          <w:szCs w:val="26"/>
        </w:rPr>
        <w:t>(ИП и микропредприятия), заготовка дикоросов ведется в небольших объемах. Функционирует ИП по переработке мяса в с. Бакчар.</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lastRenderedPageBreak/>
        <w:t>Приоритетными направлениями развития района являются наращивание поголовья скота в хозяйствах всех форм собственности, развитие переработки мяса, молока и ягодной продукции; обслуживание туристического направления «Васюганские болота».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Перспективы развития системы расселения связаны с продолжающейся концентрацией населения в западной части района.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Экономическая эффективность разработки Бакчарского месторождения железных руд и создания горно-металлургического комплекса до настоящего времени не определена. В случае освоения месторождения следует ожидать существенный рост численности населения в административном центре района </w:t>
      </w:r>
      <w:r w:rsidR="00E80A9F">
        <w:rPr>
          <w:rFonts w:ascii="Times New Roman" w:hAnsi="Times New Roman"/>
          <w:color w:val="auto"/>
          <w:sz w:val="26"/>
          <w:szCs w:val="26"/>
        </w:rPr>
        <w:br/>
      </w:r>
      <w:r w:rsidRPr="00E80A9F">
        <w:rPr>
          <w:rFonts w:ascii="Times New Roman" w:hAnsi="Times New Roman"/>
          <w:color w:val="auto"/>
          <w:sz w:val="26"/>
          <w:szCs w:val="26"/>
        </w:rPr>
        <w:t>и активизацию хозяйственной деятельности в целом.</w:t>
      </w:r>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hAnsi="Times New Roman"/>
          <w:color w:val="auto"/>
          <w:sz w:val="26"/>
          <w:szCs w:val="26"/>
        </w:rPr>
        <w:t>Ключевым инфраструктурным проектом</w:t>
      </w:r>
      <w:r w:rsidRPr="00E80A9F">
        <w:rPr>
          <w:rFonts w:ascii="Times New Roman" w:eastAsia="Aptos" w:hAnsi="Times New Roman"/>
          <w:color w:val="auto"/>
          <w:sz w:val="26"/>
          <w:szCs w:val="26"/>
          <w:lang w:eastAsia="en-US"/>
          <w14:ligatures w14:val="standardContextual"/>
        </w:rPr>
        <w:t xml:space="preserve"> является газификация муниципального района с переводом муниципальных котельных на газ. </w:t>
      </w:r>
    </w:p>
    <w:p w:rsidR="00E618FE" w:rsidRPr="00535A4B" w:rsidRDefault="00800098">
      <w:pPr>
        <w:pStyle w:val="41"/>
        <w:rPr>
          <w:rFonts w:ascii="Times New Roman" w:eastAsia="Aptos" w:hAnsi="Times New Roman"/>
          <w:lang w:val="ru-RU"/>
        </w:rPr>
      </w:pPr>
      <w:r w:rsidRPr="00535A4B">
        <w:rPr>
          <w:rFonts w:ascii="Times New Roman" w:eastAsia="Aptos" w:hAnsi="Times New Roman"/>
          <w:lang w:val="ru-RU"/>
        </w:rPr>
        <w:t>Восточная группа районов (Асиновский, Первомайский, Зырянский, Тегульдетский и Верхнекетский районы)</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Асиновский район </w:t>
      </w:r>
      <w:r w:rsidRPr="00E80A9F">
        <w:rPr>
          <w:rFonts w:ascii="Times New Roman" w:eastAsia="Aptos" w:hAnsi="Times New Roman"/>
          <w:color w:val="auto"/>
          <w:sz w:val="26"/>
          <w:szCs w:val="26"/>
          <w:lang w:eastAsia="en-US"/>
          <w14:ligatures w14:val="standardContextual"/>
        </w:rPr>
        <w:t xml:space="preserve">выполняет центральные функции в развитии данной группы ввиду его расположения </w:t>
      </w:r>
      <w:r w:rsidRPr="00E80A9F">
        <w:rPr>
          <w:rFonts w:ascii="Times New Roman" w:hAnsi="Times New Roman"/>
          <w:color w:val="auto"/>
          <w:sz w:val="26"/>
          <w:szCs w:val="26"/>
        </w:rPr>
        <w:t>между Томской агломерацией и прочими муниципальными районами восточной части области. Территория с разнородным характер</w:t>
      </w:r>
      <w:r w:rsidR="00E80A9F">
        <w:rPr>
          <w:rFonts w:ascii="Times New Roman" w:hAnsi="Times New Roman"/>
          <w:color w:val="auto"/>
          <w:sz w:val="26"/>
          <w:szCs w:val="26"/>
        </w:rPr>
        <w:t>ом развития системы расселения –</w:t>
      </w:r>
      <w:r w:rsidRPr="00E80A9F">
        <w:rPr>
          <w:rFonts w:ascii="Times New Roman" w:hAnsi="Times New Roman"/>
          <w:color w:val="auto"/>
          <w:sz w:val="26"/>
          <w:szCs w:val="26"/>
        </w:rPr>
        <w:t xml:space="preserve"> высокими темпами убыли населения </w:t>
      </w:r>
      <w:r w:rsidR="00E80A9F">
        <w:rPr>
          <w:rFonts w:ascii="Times New Roman" w:hAnsi="Times New Roman"/>
          <w:color w:val="auto"/>
          <w:sz w:val="26"/>
          <w:szCs w:val="26"/>
        </w:rPr>
        <w:br/>
      </w:r>
      <w:r w:rsidRPr="00E80A9F">
        <w:rPr>
          <w:rFonts w:ascii="Times New Roman" w:hAnsi="Times New Roman"/>
          <w:color w:val="auto"/>
          <w:sz w:val="26"/>
          <w:szCs w:val="26"/>
        </w:rPr>
        <w:t xml:space="preserve">в северной части района (Батуринское и Новониколаевское поселения) </w:t>
      </w:r>
      <w:r w:rsidR="00E80A9F">
        <w:rPr>
          <w:rFonts w:ascii="Times New Roman" w:hAnsi="Times New Roman"/>
          <w:color w:val="auto"/>
          <w:sz w:val="26"/>
          <w:szCs w:val="26"/>
        </w:rPr>
        <w:br/>
      </w:r>
      <w:r w:rsidRPr="00E80A9F">
        <w:rPr>
          <w:rFonts w:ascii="Times New Roman" w:hAnsi="Times New Roman"/>
          <w:color w:val="auto"/>
          <w:sz w:val="26"/>
          <w:szCs w:val="26"/>
        </w:rPr>
        <w:t xml:space="preserve">и сравнительно стабильной численностью населения в южной, тяготеющей к городу Асино. За период 2020 – 2025 годов численность населения района снизилась </w:t>
      </w:r>
      <w:r w:rsidR="00E80A9F">
        <w:rPr>
          <w:rFonts w:ascii="Times New Roman" w:hAnsi="Times New Roman"/>
          <w:color w:val="auto"/>
          <w:sz w:val="26"/>
          <w:szCs w:val="26"/>
        </w:rPr>
        <w:br/>
      </w:r>
      <w:r w:rsidRPr="00E80A9F">
        <w:rPr>
          <w:rFonts w:ascii="Times New Roman" w:hAnsi="Times New Roman"/>
          <w:color w:val="auto"/>
          <w:sz w:val="26"/>
          <w:szCs w:val="26"/>
        </w:rPr>
        <w:t>на 1,5%.</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Благодаря близости к сырьевой базе, потребителям, транспортным узлам </w:t>
      </w:r>
      <w:r w:rsidR="00E80A9F">
        <w:rPr>
          <w:rFonts w:ascii="Times New Roman" w:hAnsi="Times New Roman"/>
          <w:color w:val="auto"/>
          <w:sz w:val="26"/>
          <w:szCs w:val="26"/>
        </w:rPr>
        <w:br/>
      </w:r>
      <w:r w:rsidRPr="00E80A9F">
        <w:rPr>
          <w:rFonts w:ascii="Times New Roman" w:hAnsi="Times New Roman"/>
          <w:color w:val="auto"/>
          <w:sz w:val="26"/>
          <w:szCs w:val="26"/>
        </w:rPr>
        <w:t xml:space="preserve">и железнодорожной инфраструктуре в Асиновском районе сложилась преимущественно лесохозяйственная специализация. Основу отрасли образуют предприятия АО «Рускитинвест», ООО «Асиновский завод МДФ» </w:t>
      </w:r>
      <w:r w:rsidR="00E80A9F">
        <w:rPr>
          <w:rFonts w:ascii="Times New Roman" w:hAnsi="Times New Roman"/>
          <w:color w:val="auto"/>
          <w:sz w:val="26"/>
          <w:szCs w:val="26"/>
        </w:rPr>
        <w:br/>
      </w:r>
      <w:r w:rsidRPr="00E80A9F">
        <w:rPr>
          <w:rFonts w:ascii="Times New Roman" w:hAnsi="Times New Roman"/>
          <w:color w:val="auto"/>
          <w:sz w:val="26"/>
          <w:szCs w:val="26"/>
        </w:rPr>
        <w:t>и ООО «Асиновская лесопромышленность».</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На территории г. Асино частично реализован проект индустриального лесопромышленного парка с китайским участием, функционируют заводы по производству шпона, обрезной доски и по производству МДФ-плит. Лесопромышленный парк работает нестабильно, сравнительная устойчивость хозяйственного комплекса обеспечивается рядом малых и микропредприятий </w:t>
      </w:r>
      <w:r w:rsidR="00E80A9F">
        <w:rPr>
          <w:rFonts w:ascii="Times New Roman" w:hAnsi="Times New Roman"/>
          <w:color w:val="auto"/>
          <w:sz w:val="26"/>
          <w:szCs w:val="26"/>
        </w:rPr>
        <w:br/>
      </w:r>
      <w:r w:rsidRPr="00E80A9F">
        <w:rPr>
          <w:rFonts w:ascii="Times New Roman" w:hAnsi="Times New Roman"/>
          <w:color w:val="auto"/>
          <w:sz w:val="26"/>
          <w:szCs w:val="26"/>
        </w:rPr>
        <w:t>в области лесозаготовки, лесопиления, мебельного производства и оптовой торговли лесоматериалами (г. Асино, с. Новониколаевка, с. Минаевка и с. Батурино).</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Одновременно Асиновский район входит в число основных сельск</w:t>
      </w:r>
      <w:r w:rsidR="00E80A9F">
        <w:rPr>
          <w:rFonts w:ascii="Times New Roman" w:hAnsi="Times New Roman"/>
          <w:color w:val="auto"/>
          <w:sz w:val="26"/>
          <w:szCs w:val="26"/>
        </w:rPr>
        <w:t>охозяйственных районов области –</w:t>
      </w:r>
      <w:r w:rsidRPr="00E80A9F">
        <w:rPr>
          <w:rFonts w:ascii="Times New Roman" w:hAnsi="Times New Roman"/>
          <w:color w:val="auto"/>
          <w:sz w:val="26"/>
          <w:szCs w:val="26"/>
        </w:rPr>
        <w:t xml:space="preserve"> 1-е место в регионе по уровню молочной продуктивности на одну голову и 1-е место по объему производства молока. Представлено около 30 сельхозтоваропроизводителей, </w:t>
      </w:r>
      <w:r w:rsidR="00E80A9F">
        <w:rPr>
          <w:rFonts w:ascii="Times New Roman" w:hAnsi="Times New Roman"/>
          <w:color w:val="auto"/>
          <w:sz w:val="26"/>
          <w:szCs w:val="26"/>
        </w:rPr>
        <w:t>преимущественная специализация –</w:t>
      </w:r>
      <w:r w:rsidRPr="00E80A9F">
        <w:rPr>
          <w:rFonts w:ascii="Times New Roman" w:hAnsi="Times New Roman"/>
          <w:color w:val="auto"/>
          <w:sz w:val="26"/>
          <w:szCs w:val="26"/>
        </w:rPr>
        <w:t xml:space="preserve"> производство молочной продукции и растениеводство. Основные центры сел</w:t>
      </w:r>
      <w:r w:rsidR="00E80A9F">
        <w:rPr>
          <w:rFonts w:ascii="Times New Roman" w:hAnsi="Times New Roman"/>
          <w:color w:val="auto"/>
          <w:sz w:val="26"/>
          <w:szCs w:val="26"/>
        </w:rPr>
        <w:t>ьскохозяйственной деятельности –</w:t>
      </w:r>
      <w:r w:rsidRPr="00E80A9F">
        <w:rPr>
          <w:rFonts w:ascii="Times New Roman" w:hAnsi="Times New Roman"/>
          <w:color w:val="auto"/>
          <w:sz w:val="26"/>
          <w:szCs w:val="26"/>
        </w:rPr>
        <w:t xml:space="preserve"> с. Ягодное, с. Новониколаевка </w:t>
      </w:r>
      <w:r w:rsidR="00E80A9F">
        <w:rPr>
          <w:rFonts w:ascii="Times New Roman" w:hAnsi="Times New Roman"/>
          <w:color w:val="auto"/>
          <w:sz w:val="26"/>
          <w:szCs w:val="26"/>
        </w:rPr>
        <w:br/>
      </w:r>
      <w:r w:rsidRPr="00E80A9F">
        <w:rPr>
          <w:rFonts w:ascii="Times New Roman" w:hAnsi="Times New Roman"/>
          <w:color w:val="auto"/>
          <w:sz w:val="26"/>
          <w:szCs w:val="26"/>
        </w:rPr>
        <w:t xml:space="preserve">и с. Новокусково.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районе также функционирует ряд предприятий строительного комплекса, транспортного обслуживания, производство электротехнической продукции. Действует контейнерная площадка для отправки большегрузных контейнеров </w:t>
      </w:r>
      <w:r w:rsidR="00E80A9F">
        <w:rPr>
          <w:rFonts w:ascii="Times New Roman" w:hAnsi="Times New Roman"/>
          <w:color w:val="auto"/>
          <w:sz w:val="26"/>
          <w:szCs w:val="26"/>
        </w:rPr>
        <w:br/>
      </w:r>
      <w:r w:rsidRPr="00E80A9F">
        <w:rPr>
          <w:rFonts w:ascii="Times New Roman" w:hAnsi="Times New Roman"/>
          <w:color w:val="auto"/>
          <w:sz w:val="26"/>
          <w:szCs w:val="26"/>
        </w:rPr>
        <w:t>по железной дороге.</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lastRenderedPageBreak/>
        <w:t xml:space="preserve">На территории района идет создание туристической базы на реке Яя. В д. Ново-Кусково точкой туристического показа является Сибирская усадьба Н. А. Лампсакова и Церковь Георгия Победоносца. В Асино имеется краеведческий музей. В с. Ягодное имеется объект сельского туризма </w:t>
      </w:r>
      <w:r w:rsidR="00E80A9F">
        <w:rPr>
          <w:rFonts w:ascii="Times New Roman" w:hAnsi="Times New Roman"/>
          <w:color w:val="auto"/>
          <w:sz w:val="26"/>
          <w:szCs w:val="26"/>
        </w:rPr>
        <w:t>и гастротуризма –</w:t>
      </w:r>
      <w:r w:rsidRPr="00E80A9F">
        <w:rPr>
          <w:rFonts w:ascii="Times New Roman" w:hAnsi="Times New Roman"/>
          <w:color w:val="auto"/>
          <w:sz w:val="26"/>
          <w:szCs w:val="26"/>
        </w:rPr>
        <w:t xml:space="preserve"> ферма Van Classen.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 долгосрочной перспективе г. Асино укрепит свою роль ведущего центра лесопереработки юго-восточной части области. Сохраняется актуальность привлечения инвесторов в производства с в</w:t>
      </w:r>
      <w:r w:rsidR="00E80A9F">
        <w:rPr>
          <w:rFonts w:ascii="Times New Roman" w:hAnsi="Times New Roman"/>
          <w:color w:val="auto"/>
          <w:sz w:val="26"/>
          <w:szCs w:val="26"/>
        </w:rPr>
        <w:t>ысокой добавленной стоимостью –</w:t>
      </w:r>
      <w:r w:rsidRPr="00E80A9F">
        <w:rPr>
          <w:rFonts w:ascii="Times New Roman" w:hAnsi="Times New Roman"/>
          <w:color w:val="auto"/>
          <w:sz w:val="26"/>
          <w:szCs w:val="26"/>
        </w:rPr>
        <w:t xml:space="preserve"> фанеры, древесностружечных плит, ламината и мебели. Перспективы сельскохозяйственной деятельности связаны с увеличением мощности действующих сельскохозяйственных производств предприятий ООО «Холдинг Молоко», развитием мясного животноводства фермерскими хозяйствами. Имеется актуальность привлечения инвесторов для освоения земель сельскохозяйственного назначения в целях развития растениеводства.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К числу приоритетных инвестиционных проектов относится строительство нового молочно-товарного комплекса на 1999 коров ООО «Большедороховское молоко» (начато в 2022 году, выход на проектную мощность – в течение 2026 года).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Перспективы развития системы расселения связаны с продолжающейся концентрацией населения в южной ча</w:t>
      </w:r>
      <w:r w:rsidRPr="00E80A9F">
        <w:rPr>
          <w:rFonts w:ascii="Times New Roman" w:eastAsia="TimesNewRoman" w:hAnsi="Times New Roman"/>
          <w:color w:val="auto"/>
          <w:sz w:val="26"/>
          <w:szCs w:val="26"/>
        </w:rPr>
        <w:t xml:space="preserve">сти </w:t>
      </w:r>
      <w:r w:rsidRPr="00E80A9F">
        <w:rPr>
          <w:rFonts w:ascii="Times New Roman" w:hAnsi="Times New Roman"/>
          <w:color w:val="auto"/>
          <w:sz w:val="26"/>
          <w:szCs w:val="26"/>
        </w:rPr>
        <w:t>района, усилением роли города Асино как межрайонного центра хозяйственной деятельности и социального обслуживания для районов Восточной группы.</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Первомайский район </w:t>
      </w:r>
      <w:r w:rsidRPr="00E80A9F">
        <w:rPr>
          <w:rFonts w:ascii="Times New Roman" w:eastAsia="Aptos" w:hAnsi="Times New Roman"/>
          <w:color w:val="auto"/>
          <w:sz w:val="26"/>
          <w:szCs w:val="26"/>
          <w:lang w:eastAsia="en-US"/>
          <w14:ligatures w14:val="standardContextual"/>
        </w:rPr>
        <w:t xml:space="preserve">имеет </w:t>
      </w:r>
      <w:r w:rsidRPr="00E80A9F">
        <w:rPr>
          <w:rFonts w:ascii="Times New Roman" w:hAnsi="Times New Roman"/>
          <w:color w:val="auto"/>
          <w:sz w:val="26"/>
          <w:szCs w:val="26"/>
        </w:rPr>
        <w:t xml:space="preserve">смешанную специализацию </w:t>
      </w:r>
      <w:r w:rsidRPr="00E80A9F">
        <w:rPr>
          <w:rFonts w:ascii="Times New Roman" w:hAnsi="Times New Roman"/>
          <w:color w:val="auto"/>
          <w:sz w:val="26"/>
          <w:szCs w:val="26"/>
        </w:rPr>
        <w:br/>
        <w:t>с доминированием лесной промышленности. Территория с разнородным развитие</w:t>
      </w:r>
      <w:r w:rsidR="00E80A9F">
        <w:rPr>
          <w:rFonts w:ascii="Times New Roman" w:hAnsi="Times New Roman"/>
          <w:color w:val="auto"/>
          <w:sz w:val="26"/>
          <w:szCs w:val="26"/>
        </w:rPr>
        <w:t>м системы расселения –</w:t>
      </w:r>
      <w:r w:rsidRPr="00E80A9F">
        <w:rPr>
          <w:rFonts w:ascii="Times New Roman" w:hAnsi="Times New Roman"/>
          <w:color w:val="auto"/>
          <w:sz w:val="26"/>
          <w:szCs w:val="26"/>
        </w:rPr>
        <w:t xml:space="preserve"> высокими темпами убыли населения в северной части района и сравнительно стабильной численностью населения в южной части (Первомайское и Куяновское поселения), имеющей активные повседневные связи с городом Асино. За период 2020 – 2025 годов численность населения района снизилась на 0,8%.</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Предприятия лесозаготовительной и деревообрабатывающей деятельности осуществляют производство пиломатериалов. Наиболее значимое системообразующее предприятие </w:t>
      </w:r>
      <w:r w:rsidR="00E80A9F">
        <w:rPr>
          <w:rFonts w:ascii="Times New Roman" w:hAnsi="Times New Roman"/>
          <w:color w:val="auto"/>
          <w:sz w:val="26"/>
          <w:szCs w:val="26"/>
        </w:rPr>
        <w:t>–</w:t>
      </w:r>
      <w:r w:rsidRPr="00E80A9F">
        <w:rPr>
          <w:rFonts w:ascii="Times New Roman" w:hAnsi="Times New Roman"/>
          <w:color w:val="auto"/>
          <w:sz w:val="26"/>
          <w:szCs w:val="26"/>
        </w:rPr>
        <w:t xml:space="preserve"> ООО «Чулымлес» в п. Новый, дополняют комплекс предприятия в п. Улу-Юл, с. Комсомольск и с. Первомайское.</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муниципальном районе осуществляют деятельность 2 крупных сельскохозяйственных предприятия ООО «КХ Куендат», ООО «Агро» </w:t>
      </w:r>
      <w:r w:rsidR="00E80A9F">
        <w:rPr>
          <w:rFonts w:ascii="Times New Roman" w:hAnsi="Times New Roman"/>
          <w:color w:val="auto"/>
          <w:sz w:val="26"/>
          <w:szCs w:val="26"/>
        </w:rPr>
        <w:br/>
      </w:r>
      <w:r w:rsidRPr="00E80A9F">
        <w:rPr>
          <w:rFonts w:ascii="Times New Roman" w:hAnsi="Times New Roman"/>
          <w:color w:val="auto"/>
          <w:sz w:val="26"/>
          <w:szCs w:val="26"/>
        </w:rPr>
        <w:t xml:space="preserve">и более 15 крестьянско-фермерских хозяйств и индивидуальных предпринимателей, из которых наиболее значимые расположены в с. Первомайское, с. Куяново, </w:t>
      </w:r>
      <w:r w:rsidR="00E80A9F">
        <w:rPr>
          <w:rFonts w:ascii="Times New Roman" w:hAnsi="Times New Roman"/>
          <w:color w:val="auto"/>
          <w:sz w:val="26"/>
          <w:szCs w:val="26"/>
        </w:rPr>
        <w:br/>
      </w:r>
      <w:r w:rsidRPr="00E80A9F">
        <w:rPr>
          <w:rFonts w:ascii="Times New Roman" w:hAnsi="Times New Roman"/>
          <w:color w:val="auto"/>
          <w:sz w:val="26"/>
          <w:szCs w:val="26"/>
        </w:rPr>
        <w:t xml:space="preserve">с. Сергеево, д. Березовка. Пищевое производство включает переработку мяса </w:t>
      </w:r>
      <w:r w:rsidR="00E80A9F">
        <w:rPr>
          <w:rFonts w:ascii="Times New Roman" w:hAnsi="Times New Roman"/>
          <w:color w:val="auto"/>
          <w:sz w:val="26"/>
          <w:szCs w:val="26"/>
        </w:rPr>
        <w:br/>
      </w:r>
      <w:r w:rsidRPr="00E80A9F">
        <w:rPr>
          <w:rFonts w:ascii="Times New Roman" w:hAnsi="Times New Roman"/>
          <w:color w:val="auto"/>
          <w:sz w:val="26"/>
          <w:szCs w:val="26"/>
        </w:rPr>
        <w:t>(с. Куяново), переработку молока (с. Первомайское). Важную роль в экономике района играет сбор дикоросов.</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На территории района функционирует этнокультурный комплекс «Янов хутор», проводятся межмуниципальные культурные и спортивные мероприятия. Благоприятные ландшафтные условия предполагают размещение объектов стационарного отдыха. </w:t>
      </w:r>
      <w:r w:rsidRPr="00E80A9F">
        <w:rPr>
          <w:rFonts w:ascii="Times New Roman" w:eastAsia="Aptos" w:hAnsi="Times New Roman"/>
          <w:color w:val="auto"/>
          <w:sz w:val="26"/>
          <w:szCs w:val="26"/>
          <w14:ligatures w14:val="standardContextual"/>
        </w:rPr>
        <w:t xml:space="preserve">В д. Крутоложное планируется строительство лыжной базы </w:t>
      </w:r>
      <w:r w:rsidRPr="00E80A9F">
        <w:rPr>
          <w:rFonts w:ascii="Times New Roman" w:hAnsi="Times New Roman"/>
          <w:color w:val="auto"/>
          <w:sz w:val="26"/>
          <w:szCs w:val="26"/>
        </w:rPr>
        <w:t>со спортивным залом и жилым комплексом на 40 мест для приема гостей, участников соревнований и работы в формате детского лагеря летом.</w:t>
      </w:r>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hAnsi="Times New Roman"/>
          <w:color w:val="auto"/>
          <w:sz w:val="26"/>
          <w:szCs w:val="26"/>
        </w:rPr>
        <w:t>Перспективы хозяйственного развития района связаны с введением новых технологических линий по переработке древесины</w:t>
      </w:r>
      <w:r w:rsidRPr="00E80A9F">
        <w:rPr>
          <w:rFonts w:ascii="Times New Roman" w:eastAsia="Aptos" w:hAnsi="Times New Roman"/>
          <w:color w:val="auto"/>
          <w:sz w:val="26"/>
          <w:szCs w:val="26"/>
          <w:lang w:eastAsia="en-US"/>
          <w14:ligatures w14:val="standardContextual"/>
        </w:rPr>
        <w:t>, молока, мяса и дикоросов. Ключевым инфраструктурным проектом является строительство (реконструкция) системы водоотведения с. Первомайское.</w:t>
      </w:r>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eastAsia="Aptos" w:hAnsi="Times New Roman"/>
          <w:color w:val="auto"/>
          <w:sz w:val="26"/>
          <w:szCs w:val="26"/>
          <w:lang w:eastAsia="en-US"/>
          <w14:ligatures w14:val="standardContextual"/>
        </w:rPr>
        <w:lastRenderedPageBreak/>
        <w:t>В системе расселения продолжится концентрация населения в южной части района.</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Зырянский район </w:t>
      </w:r>
      <w:r w:rsidRPr="00E80A9F">
        <w:rPr>
          <w:rFonts w:ascii="Times New Roman" w:eastAsia="Aptos" w:hAnsi="Times New Roman"/>
          <w:color w:val="auto"/>
          <w:sz w:val="26"/>
          <w:szCs w:val="26"/>
          <w:lang w:eastAsia="en-US"/>
          <w14:ligatures w14:val="standardContextual"/>
        </w:rPr>
        <w:t xml:space="preserve">характеризуется преимущественно аграрной специализацией (мясомолочное животноводство, зерноводство), которую дополняют лесозаготовка и первичная </w:t>
      </w:r>
      <w:r w:rsidRPr="00E80A9F">
        <w:rPr>
          <w:rFonts w:ascii="Times New Roman" w:hAnsi="Times New Roman"/>
          <w:color w:val="auto"/>
          <w:sz w:val="26"/>
          <w:szCs w:val="26"/>
        </w:rPr>
        <w:t xml:space="preserve">переработка древесины. Территория с выраженным процессом концентрации населения в районном центре и высокими темпами убыли населения в периферийных частях района. За период </w:t>
      </w:r>
      <w:r w:rsidR="00E80A9F">
        <w:rPr>
          <w:rFonts w:ascii="Times New Roman" w:hAnsi="Times New Roman"/>
          <w:color w:val="auto"/>
          <w:sz w:val="26"/>
          <w:szCs w:val="26"/>
        </w:rPr>
        <w:br/>
      </w:r>
      <w:r w:rsidRPr="00E80A9F">
        <w:rPr>
          <w:rFonts w:ascii="Times New Roman" w:hAnsi="Times New Roman"/>
          <w:color w:val="auto"/>
          <w:sz w:val="26"/>
          <w:szCs w:val="26"/>
        </w:rPr>
        <w:t>2020 – 2025 годов численность населения района снизилась на 2,0%.</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сельском хозяйстве работают малые сельскохозяйственные предприятия </w:t>
      </w:r>
      <w:r w:rsidR="00E80A9F">
        <w:rPr>
          <w:rFonts w:ascii="Times New Roman" w:hAnsi="Times New Roman"/>
          <w:color w:val="auto"/>
          <w:sz w:val="26"/>
          <w:szCs w:val="26"/>
        </w:rPr>
        <w:br/>
      </w:r>
      <w:r w:rsidRPr="00E80A9F">
        <w:rPr>
          <w:rFonts w:ascii="Times New Roman" w:hAnsi="Times New Roman"/>
          <w:color w:val="auto"/>
          <w:sz w:val="26"/>
          <w:szCs w:val="26"/>
        </w:rPr>
        <w:t>в с. Семеновка, с. Михайловка, с. Высокое и с. Зырянское. Деревообработка преимущественно концентрируется с. Зырянское и с. Тукай (системообразующие предприятия ООО «Сибирьлес» и подразделение ООО «Монолит-Строй»). Развит рыбный промысел.</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Рассматривается строительство новых животноводческих комплексов </w:t>
      </w:r>
      <w:r w:rsidRPr="00E80A9F">
        <w:rPr>
          <w:rFonts w:ascii="Times New Roman" w:hAnsi="Times New Roman"/>
          <w:color w:val="auto"/>
          <w:sz w:val="26"/>
          <w:szCs w:val="26"/>
        </w:rPr>
        <w:br/>
        <w:t>и ферм, предприятий по заготовке, хранению и переработке картофеля, овощей, дикоросов, мяса и молока. В системе расселения продолжится концентрация населения в южной части района.</w:t>
      </w:r>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hAnsi="Times New Roman"/>
          <w:color w:val="auto"/>
          <w:sz w:val="26"/>
          <w:szCs w:val="26"/>
        </w:rPr>
        <w:t>Ключевым инфраструктурным проектом</w:t>
      </w:r>
      <w:r w:rsidRPr="00E80A9F">
        <w:rPr>
          <w:rFonts w:ascii="Times New Roman" w:eastAsia="Aptos" w:hAnsi="Times New Roman"/>
          <w:color w:val="auto"/>
          <w:sz w:val="26"/>
          <w:szCs w:val="26"/>
          <w:lang w:eastAsia="en-US"/>
          <w14:ligatures w14:val="standardContextual"/>
        </w:rPr>
        <w:t xml:space="preserve"> является газификация муниципального района с переводом муниципальных котельных на газ. </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color w:val="auto"/>
          <w:lang w:eastAsia="en-US"/>
          <w14:ligatures w14:val="standardContextual"/>
        </w:rPr>
        <w:t>Тегульдетский район</w:t>
      </w:r>
      <w:r w:rsidRPr="00535A4B">
        <w:rPr>
          <w:rFonts w:ascii="Times New Roman" w:eastAsia="Aptos" w:hAnsi="Times New Roman"/>
          <w:color w:val="auto"/>
          <w:lang w:eastAsia="en-US"/>
          <w14:ligatures w14:val="standardContextual"/>
        </w:rPr>
        <w:t xml:space="preserve"> </w:t>
      </w:r>
      <w:r w:rsidRPr="00E80A9F">
        <w:rPr>
          <w:rFonts w:ascii="Times New Roman" w:eastAsia="Aptos" w:hAnsi="Times New Roman"/>
          <w:color w:val="auto"/>
          <w:sz w:val="26"/>
          <w:szCs w:val="26"/>
          <w:lang w:eastAsia="en-US"/>
          <w14:ligatures w14:val="standardContextual"/>
        </w:rPr>
        <w:t xml:space="preserve">имеет выраженный лесозаготовительный профиль. Система расселения характеризуется низкой плотностью населения, </w:t>
      </w:r>
      <w:r w:rsidR="00E80A9F">
        <w:rPr>
          <w:rFonts w:ascii="Times New Roman" w:eastAsia="Aptos" w:hAnsi="Times New Roman"/>
          <w:color w:val="auto"/>
          <w:sz w:val="26"/>
          <w:szCs w:val="26"/>
          <w:lang w:eastAsia="en-US"/>
          <w14:ligatures w14:val="standardContextual"/>
        </w:rPr>
        <w:br/>
      </w:r>
      <w:r w:rsidRPr="00E80A9F">
        <w:rPr>
          <w:rFonts w:ascii="Times New Roman" w:eastAsia="Aptos" w:hAnsi="Times New Roman"/>
          <w:color w:val="auto"/>
          <w:sz w:val="26"/>
          <w:szCs w:val="26"/>
          <w:lang w:eastAsia="en-US"/>
          <w14:ligatures w14:val="standardContextual"/>
        </w:rPr>
        <w:t xml:space="preserve">но сравнительно </w:t>
      </w:r>
      <w:r w:rsidRPr="00E80A9F">
        <w:rPr>
          <w:rFonts w:ascii="Times New Roman" w:hAnsi="Times New Roman"/>
          <w:color w:val="auto"/>
          <w:sz w:val="26"/>
          <w:szCs w:val="26"/>
        </w:rPr>
        <w:t>стабильна, за период 2020</w:t>
      </w:r>
      <w:r w:rsidR="00E80A9F">
        <w:rPr>
          <w:rFonts w:ascii="Times New Roman" w:hAnsi="Times New Roman"/>
          <w:color w:val="auto"/>
          <w:sz w:val="26"/>
          <w:szCs w:val="26"/>
        </w:rPr>
        <w:t xml:space="preserve"> </w:t>
      </w:r>
      <w:r w:rsidRPr="00E80A9F">
        <w:rPr>
          <w:rFonts w:ascii="Times New Roman" w:hAnsi="Times New Roman"/>
          <w:color w:val="auto"/>
          <w:sz w:val="26"/>
          <w:szCs w:val="26"/>
        </w:rPr>
        <w:t>–</w:t>
      </w:r>
      <w:r w:rsidR="00E80A9F">
        <w:rPr>
          <w:rFonts w:ascii="Times New Roman" w:hAnsi="Times New Roman"/>
          <w:color w:val="auto"/>
          <w:sz w:val="26"/>
          <w:szCs w:val="26"/>
        </w:rPr>
        <w:t xml:space="preserve"> </w:t>
      </w:r>
      <w:r w:rsidRPr="00E80A9F">
        <w:rPr>
          <w:rFonts w:ascii="Times New Roman" w:hAnsi="Times New Roman"/>
          <w:color w:val="auto"/>
          <w:sz w:val="26"/>
          <w:szCs w:val="26"/>
        </w:rPr>
        <w:t xml:space="preserve">2025 годов численность населения района выросла на 5,7%. Несмотря на расположение в южной части региона район во многом сохраняет изолированное положение с низкой интенсивностью внутренних и межмуниципальных связей.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Основные центры дислок</w:t>
      </w:r>
      <w:r w:rsidR="00E80A9F">
        <w:rPr>
          <w:rFonts w:ascii="Times New Roman" w:hAnsi="Times New Roman"/>
          <w:color w:val="auto"/>
          <w:sz w:val="26"/>
          <w:szCs w:val="26"/>
        </w:rPr>
        <w:t>ации предприятий лесозаготовки –</w:t>
      </w:r>
      <w:r w:rsidRPr="00E80A9F">
        <w:rPr>
          <w:rFonts w:ascii="Times New Roman" w:hAnsi="Times New Roman"/>
          <w:color w:val="auto"/>
          <w:sz w:val="26"/>
          <w:szCs w:val="26"/>
        </w:rPr>
        <w:t xml:space="preserve"> с. Тегульдет </w:t>
      </w:r>
      <w:r w:rsidR="00E80A9F">
        <w:rPr>
          <w:rFonts w:ascii="Times New Roman" w:hAnsi="Times New Roman"/>
          <w:color w:val="auto"/>
          <w:sz w:val="26"/>
          <w:szCs w:val="26"/>
        </w:rPr>
        <w:br/>
      </w:r>
      <w:r w:rsidRPr="00E80A9F">
        <w:rPr>
          <w:rFonts w:ascii="Times New Roman" w:hAnsi="Times New Roman"/>
          <w:color w:val="auto"/>
          <w:sz w:val="26"/>
          <w:szCs w:val="26"/>
        </w:rPr>
        <w:t xml:space="preserve">и с. Белый Яр (ООО «Леспромхоз Тегульдетский», ООО «Монолит-Строй»). </w:t>
      </w:r>
      <w:r w:rsidR="00E80A9F">
        <w:rPr>
          <w:rFonts w:ascii="Times New Roman" w:hAnsi="Times New Roman"/>
          <w:color w:val="auto"/>
          <w:sz w:val="26"/>
          <w:szCs w:val="26"/>
        </w:rPr>
        <w:br/>
      </w:r>
      <w:r w:rsidRPr="00E80A9F">
        <w:rPr>
          <w:rFonts w:ascii="Times New Roman" w:hAnsi="Times New Roman"/>
          <w:color w:val="auto"/>
          <w:sz w:val="26"/>
          <w:szCs w:val="26"/>
        </w:rPr>
        <w:t xml:space="preserve">В районе ограниченная сельскохозяйственная деятельность, представленная КФХ </w:t>
      </w:r>
      <w:r w:rsidR="00E80A9F">
        <w:rPr>
          <w:rFonts w:ascii="Times New Roman" w:hAnsi="Times New Roman"/>
          <w:color w:val="auto"/>
          <w:sz w:val="26"/>
          <w:szCs w:val="26"/>
        </w:rPr>
        <w:br/>
      </w:r>
      <w:r w:rsidRPr="00E80A9F">
        <w:rPr>
          <w:rFonts w:ascii="Times New Roman" w:hAnsi="Times New Roman"/>
          <w:color w:val="auto"/>
          <w:sz w:val="26"/>
          <w:szCs w:val="26"/>
        </w:rPr>
        <w:t>и ЛПХ мелкотоварного профиля. Развит сбор дикоросов и рыболовство.</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Перспективы хозяйственного развития связаны с модернизацией лесопромышленного комплекса, развитием животноводства и первичной переработкой сельскохозяйственной продукции. Прогнозируется консервативное развитие системы расселения.</w:t>
      </w:r>
    </w:p>
    <w:p w:rsidR="00E618FE" w:rsidRPr="00E80A9F" w:rsidRDefault="00800098">
      <w:pPr>
        <w:pStyle w:val="a4"/>
        <w:rPr>
          <w:rFonts w:ascii="Times New Roman" w:hAnsi="Times New Roman"/>
          <w:color w:val="auto"/>
          <w:sz w:val="26"/>
          <w:szCs w:val="26"/>
        </w:rPr>
      </w:pPr>
      <w:r w:rsidRPr="00535A4B">
        <w:rPr>
          <w:rFonts w:ascii="Times New Roman" w:eastAsia="TimesNewRoman" w:hAnsi="Times New Roman"/>
          <w:b/>
          <w:color w:val="auto"/>
        </w:rPr>
        <w:t>Верхнекетский район</w:t>
      </w:r>
      <w:r w:rsidRPr="00535A4B">
        <w:rPr>
          <w:rFonts w:ascii="Times New Roman" w:eastAsia="TimesNewRoman" w:hAnsi="Times New Roman"/>
          <w:color w:val="auto"/>
        </w:rPr>
        <w:t xml:space="preserve"> </w:t>
      </w:r>
      <w:r w:rsidRPr="00E80A9F">
        <w:rPr>
          <w:rFonts w:ascii="Times New Roman" w:eastAsia="TimesNewRoman" w:hAnsi="Times New Roman"/>
          <w:color w:val="auto"/>
          <w:sz w:val="26"/>
          <w:szCs w:val="26"/>
        </w:rPr>
        <w:t xml:space="preserve">имеет выраженную лесопромышленную специализацию. Территория с выраженным процессом коллапса системы расселения, однако вдоль реки Кети </w:t>
      </w:r>
      <w:r w:rsidRPr="00E80A9F">
        <w:rPr>
          <w:rFonts w:ascii="Times New Roman" w:hAnsi="Times New Roman"/>
          <w:color w:val="auto"/>
          <w:sz w:val="26"/>
          <w:szCs w:val="26"/>
        </w:rPr>
        <w:t>сохраняется цепочка сравнительно крупных населенных пунктов. За период 2020 – 2025 годов численность населения района снизилась на 9,9%. Пункты северной части района не имеют круглогодичных транспортных связей.</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Экономическая база района формируется за счет заготовки древесины </w:t>
      </w:r>
      <w:r w:rsidR="00E80A9F">
        <w:rPr>
          <w:rFonts w:ascii="Times New Roman" w:hAnsi="Times New Roman"/>
          <w:color w:val="auto"/>
          <w:sz w:val="26"/>
          <w:szCs w:val="26"/>
        </w:rPr>
        <w:br/>
      </w:r>
      <w:r w:rsidRPr="00E80A9F">
        <w:rPr>
          <w:rFonts w:ascii="Times New Roman" w:hAnsi="Times New Roman"/>
          <w:color w:val="auto"/>
          <w:sz w:val="26"/>
          <w:szCs w:val="26"/>
        </w:rPr>
        <w:t>и ее первичной переработки с основным центром в р.п. Белый Яр, второстепенные центры — п. Степановка, п. Клюквинка и п. Катайга. Основу ЛПК составляют малые предприятия, отсутствует крупный производитель, который мог бы консолидировать данную деятельность в районе, обеспечив системообразующую основу комплекса.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На территории Верхнекетского района планировалось размещение производства по заготовке и глубокой переработке древесины (лесопиление </w:t>
      </w:r>
      <w:r w:rsidR="00E80A9F">
        <w:rPr>
          <w:rFonts w:ascii="Times New Roman" w:hAnsi="Times New Roman"/>
          <w:color w:val="auto"/>
          <w:sz w:val="26"/>
          <w:szCs w:val="26"/>
        </w:rPr>
        <w:br/>
      </w:r>
      <w:r w:rsidRPr="00E80A9F">
        <w:rPr>
          <w:rFonts w:ascii="Times New Roman" w:hAnsi="Times New Roman"/>
          <w:color w:val="auto"/>
          <w:sz w:val="26"/>
          <w:szCs w:val="26"/>
        </w:rPr>
        <w:t xml:space="preserve">и производство небеленой целлюлозы) с участием зарубежных инвесторов. Проект </w:t>
      </w:r>
      <w:r w:rsidRPr="00E80A9F">
        <w:rPr>
          <w:rFonts w:ascii="Times New Roman" w:hAnsi="Times New Roman"/>
          <w:color w:val="auto"/>
          <w:sz w:val="26"/>
          <w:szCs w:val="26"/>
        </w:rPr>
        <w:lastRenderedPageBreak/>
        <w:t xml:space="preserve">не реализован в связи с отсутствием инвестора, открытым остается вопрос </w:t>
      </w:r>
      <w:r w:rsidR="00E80A9F">
        <w:rPr>
          <w:rFonts w:ascii="Times New Roman" w:hAnsi="Times New Roman"/>
          <w:color w:val="auto"/>
          <w:sz w:val="26"/>
          <w:szCs w:val="26"/>
        </w:rPr>
        <w:br/>
      </w:r>
      <w:r w:rsidRPr="00E80A9F">
        <w:rPr>
          <w:rFonts w:ascii="Times New Roman" w:hAnsi="Times New Roman"/>
          <w:color w:val="auto"/>
          <w:sz w:val="26"/>
          <w:szCs w:val="26"/>
        </w:rPr>
        <w:t xml:space="preserve">о ресурсном обеспечении целлюлозно-бумажного производства.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Поселок Белый Яр остается центром, привлекательным для инвестиций </w:t>
      </w:r>
      <w:r w:rsidR="00E80A9F">
        <w:rPr>
          <w:rFonts w:ascii="Times New Roman" w:hAnsi="Times New Roman"/>
          <w:color w:val="auto"/>
          <w:sz w:val="26"/>
          <w:szCs w:val="26"/>
        </w:rPr>
        <w:br/>
      </w:r>
      <w:r w:rsidRPr="00E80A9F">
        <w:rPr>
          <w:rFonts w:ascii="Times New Roman" w:hAnsi="Times New Roman"/>
          <w:color w:val="auto"/>
          <w:sz w:val="26"/>
          <w:szCs w:val="26"/>
        </w:rPr>
        <w:t xml:space="preserve">в деревообрабатывающие производства по причине наличия железнодорожного сообщения и подготовленной площадки для их размещения. Целесообразно освоение лесных ресурсов правобережья реки Кети; в связи с высокой долей кедровых насаждений возможна организация производства отделочных </w:t>
      </w:r>
      <w:r w:rsidR="00E80A9F">
        <w:rPr>
          <w:rFonts w:ascii="Times New Roman" w:hAnsi="Times New Roman"/>
          <w:color w:val="auto"/>
          <w:sz w:val="26"/>
          <w:szCs w:val="26"/>
        </w:rPr>
        <w:br/>
      </w:r>
      <w:r w:rsidRPr="00E80A9F">
        <w:rPr>
          <w:rFonts w:ascii="Times New Roman" w:hAnsi="Times New Roman"/>
          <w:color w:val="auto"/>
          <w:sz w:val="26"/>
          <w:szCs w:val="26"/>
        </w:rPr>
        <w:t>и декоративных материалов, заготовки кедрового масла.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районе ограниченная сельскохозяйственная деятельность, представленная личными подсобными хозяйствами мелкотоварного профиля, ориентированными </w:t>
      </w:r>
      <w:r w:rsidR="00E80A9F">
        <w:rPr>
          <w:rFonts w:ascii="Times New Roman" w:hAnsi="Times New Roman"/>
          <w:color w:val="auto"/>
          <w:sz w:val="26"/>
          <w:szCs w:val="26"/>
        </w:rPr>
        <w:br/>
      </w:r>
      <w:r w:rsidRPr="00E80A9F">
        <w:rPr>
          <w:rFonts w:ascii="Times New Roman" w:hAnsi="Times New Roman"/>
          <w:color w:val="auto"/>
          <w:sz w:val="26"/>
          <w:szCs w:val="26"/>
        </w:rPr>
        <w:t>на собственные нужды. Определенный вклад в пополнение доходов населения вносят рыбный промысел и заготовка дикоросов, в сезон число заготовительных пунктов достигает 30.</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Важными инфраструктурными проектами</w:t>
      </w:r>
      <w:r w:rsidRPr="00E80A9F">
        <w:rPr>
          <w:rFonts w:ascii="Times New Roman" w:eastAsia="TimesNewRoman" w:hAnsi="Times New Roman"/>
          <w:color w:val="auto"/>
          <w:sz w:val="26"/>
          <w:szCs w:val="26"/>
        </w:rPr>
        <w:t xml:space="preserve"> являются модернизация </w:t>
      </w:r>
      <w:r w:rsidRPr="00E80A9F">
        <w:rPr>
          <w:rFonts w:ascii="Times New Roman" w:hAnsi="Times New Roman"/>
          <w:color w:val="auto"/>
          <w:sz w:val="26"/>
          <w:szCs w:val="26"/>
        </w:rPr>
        <w:t>систем тепло- и водоснабжения с. Белый Яр и</w:t>
      </w:r>
      <w:r w:rsidRPr="00E80A9F">
        <w:rPr>
          <w:rFonts w:ascii="Times New Roman" w:eastAsia="TimesNewRoman" w:hAnsi="Times New Roman"/>
          <w:color w:val="auto"/>
          <w:sz w:val="26"/>
          <w:szCs w:val="26"/>
        </w:rPr>
        <w:t xml:space="preserve"> подключение с. Степановка </w:t>
      </w:r>
      <w:r w:rsidR="00E80A9F">
        <w:rPr>
          <w:rFonts w:ascii="Times New Roman" w:eastAsia="TimesNewRoman" w:hAnsi="Times New Roman"/>
          <w:color w:val="auto"/>
          <w:sz w:val="26"/>
          <w:szCs w:val="26"/>
        </w:rPr>
        <w:br/>
      </w:r>
      <w:r w:rsidRPr="00E80A9F">
        <w:rPr>
          <w:rFonts w:ascii="Times New Roman" w:eastAsia="TimesNewRoman" w:hAnsi="Times New Roman"/>
          <w:color w:val="auto"/>
          <w:sz w:val="26"/>
          <w:szCs w:val="26"/>
        </w:rPr>
        <w:t>к централизованному электроснабжению.</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 р.п. Белый Яр функционирует гостиничный комплекс на территории геотермального курорта с сероводородными горячими и теплыми источниками высокой минерализации. Вода из источника рекомендована при заболеваниях суставов, кожи, сердца, дыхания и центральной нервной системы.</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Геологоразведочными изысканиями установлены признаки наличия в недрах района углеводородного сырья, в частности месторождений нефти. В долгосрочной перспектив при подтверждении запасов углеводородов на территории района возможно развитие нефтегазового комплекса.</w:t>
      </w:r>
    </w:p>
    <w:p w:rsidR="00E618FE" w:rsidRPr="00E80A9F" w:rsidRDefault="00800098">
      <w:pPr>
        <w:pStyle w:val="a4"/>
        <w:rPr>
          <w:rFonts w:ascii="Times New Roman" w:eastAsia="Aptos" w:hAnsi="Times New Roman"/>
          <w:b/>
          <w:bCs/>
          <w:color w:val="auto"/>
          <w:sz w:val="26"/>
          <w:szCs w:val="26"/>
          <w:lang w:eastAsia="en-US"/>
          <w14:ligatures w14:val="standardContextual"/>
        </w:rPr>
      </w:pPr>
      <w:r w:rsidRPr="00E80A9F">
        <w:rPr>
          <w:rFonts w:ascii="Times New Roman" w:hAnsi="Times New Roman"/>
          <w:color w:val="auto"/>
          <w:sz w:val="26"/>
          <w:szCs w:val="26"/>
        </w:rPr>
        <w:t>Перспективы развития системы расселения связаны с возможным освоением труднодоступной лесосеки правобережья Кети и соответствующим усилением хозяйственной функции населенных пунктов Белый Яр, Степановка, Клюквинка, Катайга; населенные пункты северной части района постепенно утрачивают роль узлов расселения и хозяйственной деятельности.</w:t>
      </w:r>
    </w:p>
    <w:p w:rsidR="00E618FE" w:rsidRPr="00535A4B" w:rsidRDefault="00800098">
      <w:pPr>
        <w:ind w:firstLine="709"/>
        <w:jc w:val="both"/>
        <w:rPr>
          <w:rFonts w:eastAsia="Aptos"/>
          <w:sz w:val="28"/>
          <w:szCs w:val="28"/>
          <w:lang w:eastAsia="en-US"/>
          <w14:ligatures w14:val="standardContextual"/>
        </w:rPr>
      </w:pPr>
      <w:r w:rsidRPr="00535A4B">
        <w:rPr>
          <w:rFonts w:eastAsia="Aptos"/>
          <w:b/>
          <w:bCs/>
          <w:sz w:val="28"/>
          <w:szCs w:val="28"/>
          <w:lang w:eastAsia="en-US"/>
          <w14:ligatures w14:val="standardContextual"/>
        </w:rPr>
        <w:t xml:space="preserve">Средняя группа районов (Колпашевский, Парабельский </w:t>
      </w:r>
      <w:r w:rsidRPr="00535A4B">
        <w:rPr>
          <w:rFonts w:eastAsia="Aptos"/>
          <w:b/>
          <w:bCs/>
          <w:sz w:val="28"/>
          <w:szCs w:val="28"/>
          <w:lang w:eastAsia="en-US"/>
          <w14:ligatures w14:val="standardContextual"/>
        </w:rPr>
        <w:br/>
        <w:t>и Каргасокский районы, муниципальный округ Город Кедровый)</w:t>
      </w:r>
    </w:p>
    <w:p w:rsidR="00E618FE" w:rsidRPr="00E80A9F" w:rsidRDefault="00800098">
      <w:pPr>
        <w:pStyle w:val="a4"/>
        <w:rPr>
          <w:rFonts w:ascii="Times New Roman" w:eastAsia="Aptos" w:hAnsi="Times New Roman"/>
          <w:color w:val="auto"/>
          <w:sz w:val="26"/>
          <w:szCs w:val="26"/>
          <w:lang w:eastAsia="en-US"/>
          <w14:ligatures w14:val="standardContextual"/>
        </w:rPr>
      </w:pPr>
      <w:r w:rsidRPr="00535A4B">
        <w:rPr>
          <w:rFonts w:ascii="Times New Roman" w:eastAsia="Aptos" w:hAnsi="Times New Roman"/>
          <w:b/>
          <w:bCs/>
          <w:color w:val="auto"/>
          <w:lang w:eastAsia="en-US"/>
          <w14:ligatures w14:val="standardContextual"/>
        </w:rPr>
        <w:t>Колпашевский район</w:t>
      </w:r>
      <w:r w:rsidRPr="00535A4B">
        <w:rPr>
          <w:rFonts w:ascii="Times New Roman" w:eastAsia="Aptos" w:hAnsi="Times New Roman"/>
          <w:bCs/>
          <w:color w:val="auto"/>
          <w:lang w:eastAsia="en-US"/>
          <w14:ligatures w14:val="standardContextual"/>
        </w:rPr>
        <w:t>,</w:t>
      </w:r>
      <w:r w:rsidRPr="00535A4B">
        <w:rPr>
          <w:rFonts w:ascii="Times New Roman" w:eastAsia="Aptos" w:hAnsi="Times New Roman"/>
          <w:b/>
          <w:bCs/>
          <w:color w:val="auto"/>
          <w:lang w:eastAsia="en-US"/>
          <w14:ligatures w14:val="standardContextual"/>
        </w:rPr>
        <w:t xml:space="preserve"> </w:t>
      </w:r>
      <w:r w:rsidRPr="00E80A9F">
        <w:rPr>
          <w:rFonts w:ascii="Times New Roman" w:eastAsia="Aptos" w:hAnsi="Times New Roman"/>
          <w:color w:val="auto"/>
          <w:sz w:val="26"/>
          <w:szCs w:val="26"/>
          <w:lang w:eastAsia="en-US"/>
          <w14:ligatures w14:val="standardContextual"/>
        </w:rPr>
        <w:t xml:space="preserve">несмотря на центральное расположение в границах области, находится в неблагоприятных условиях транспортной доступности, </w:t>
      </w:r>
      <w:r w:rsidR="00E80A9F">
        <w:rPr>
          <w:rFonts w:ascii="Times New Roman" w:eastAsia="Aptos" w:hAnsi="Times New Roman"/>
          <w:color w:val="auto"/>
          <w:sz w:val="26"/>
          <w:szCs w:val="26"/>
          <w:lang w:eastAsia="en-US"/>
          <w14:ligatures w14:val="standardContextual"/>
        </w:rPr>
        <w:br/>
      </w:r>
      <w:r w:rsidRPr="00E80A9F">
        <w:rPr>
          <w:rFonts w:ascii="Times New Roman" w:eastAsia="Aptos" w:hAnsi="Times New Roman"/>
          <w:color w:val="auto"/>
          <w:sz w:val="26"/>
          <w:szCs w:val="26"/>
          <w:lang w:eastAsia="en-US"/>
          <w14:ligatures w14:val="standardContextual"/>
        </w:rPr>
        <w:t xml:space="preserve">в том числе отсутствует </w:t>
      </w:r>
      <w:r w:rsidRPr="00E80A9F">
        <w:rPr>
          <w:rFonts w:ascii="Times New Roman" w:eastAsia="Aptos" w:hAnsi="Times New Roman"/>
          <w:color w:val="auto"/>
          <w:sz w:val="26"/>
          <w:szCs w:val="26"/>
          <w:lang w:eastAsia="en-US"/>
        </w:rPr>
        <w:t>круглогодичное транспортное сообщение с районным центром.</w:t>
      </w:r>
    </w:p>
    <w:p w:rsidR="00E618FE" w:rsidRPr="00E80A9F" w:rsidRDefault="00800098">
      <w:pPr>
        <w:pStyle w:val="a4"/>
        <w:rPr>
          <w:rFonts w:ascii="Times New Roman" w:hAnsi="Times New Roman"/>
          <w:color w:val="auto"/>
          <w:sz w:val="26"/>
          <w:szCs w:val="26"/>
        </w:rPr>
      </w:pPr>
      <w:r w:rsidRPr="00E80A9F">
        <w:rPr>
          <w:rFonts w:ascii="Times New Roman" w:eastAsia="Aptos" w:hAnsi="Times New Roman"/>
          <w:color w:val="auto"/>
          <w:sz w:val="26"/>
          <w:szCs w:val="26"/>
          <w:lang w:eastAsia="en-US"/>
          <w14:ligatures w14:val="standardContextual"/>
        </w:rPr>
        <w:t xml:space="preserve">Население и экономическая </w:t>
      </w:r>
      <w:r w:rsidRPr="00E80A9F">
        <w:rPr>
          <w:rFonts w:ascii="Times New Roman" w:hAnsi="Times New Roman"/>
          <w:color w:val="auto"/>
          <w:sz w:val="26"/>
          <w:szCs w:val="26"/>
        </w:rPr>
        <w:t xml:space="preserve">активность концентрируются в городе Колпашево, где сравнительно развита перерабатывающая промышленность, </w:t>
      </w:r>
      <w:r w:rsidR="00E80A9F">
        <w:rPr>
          <w:rFonts w:ascii="Times New Roman" w:hAnsi="Times New Roman"/>
          <w:color w:val="auto"/>
          <w:sz w:val="26"/>
          <w:szCs w:val="26"/>
        </w:rPr>
        <w:br/>
      </w:r>
      <w:r w:rsidRPr="00E80A9F">
        <w:rPr>
          <w:rFonts w:ascii="Times New Roman" w:hAnsi="Times New Roman"/>
          <w:color w:val="auto"/>
          <w:sz w:val="26"/>
          <w:szCs w:val="26"/>
        </w:rPr>
        <w:t>а также селах Тогур и Чажемто. Для района характерны наибольшие в области темпы сокращения численности, за период 2020 – 2025 годов численность населения района снизилась на 15,7%. Ярко выражен коллапс системы расселения, пункты северо-восточной части района не имеют круглогодичных транспортных связей.</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Основу хозяйственного комплекса района составляют машиностроение </w:t>
      </w:r>
      <w:r w:rsidR="00E80A9F">
        <w:rPr>
          <w:rFonts w:ascii="Times New Roman" w:hAnsi="Times New Roman"/>
          <w:color w:val="auto"/>
          <w:sz w:val="26"/>
          <w:szCs w:val="26"/>
        </w:rPr>
        <w:br/>
      </w:r>
      <w:r w:rsidRPr="00E80A9F">
        <w:rPr>
          <w:rFonts w:ascii="Times New Roman" w:hAnsi="Times New Roman"/>
          <w:color w:val="auto"/>
          <w:sz w:val="26"/>
          <w:szCs w:val="26"/>
        </w:rPr>
        <w:t>и пищевая промышленность. Предприятие ЗАО «Металлист» (г. Колпашево) производит кабельно-проводниковую продукцию для приборостроения, строительной, электротехнической, аэрокосмической и судостроительной отраслей, широкого потребления. Пищевое производство представлено малыми предприятиями ООО «Колпашевский рыбозавод», ООО «Колпашевская минеральная вода» (г. Колпашево) и рядом индивидуальных предприятий.</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lastRenderedPageBreak/>
        <w:t xml:space="preserve">Организованная сельскохозяйственная деятельность почти отсутствует. Имеется около десяти КФХ, локализованных преимущественно в районе г. Колпашево и с. Тогур, которые ориентированы на покрытие собственных нужд </w:t>
      </w:r>
      <w:r w:rsidR="00E80A9F">
        <w:rPr>
          <w:rFonts w:ascii="Times New Roman" w:hAnsi="Times New Roman"/>
          <w:color w:val="auto"/>
          <w:sz w:val="26"/>
          <w:szCs w:val="26"/>
        </w:rPr>
        <w:br/>
      </w:r>
      <w:r w:rsidRPr="00E80A9F">
        <w:rPr>
          <w:rFonts w:ascii="Times New Roman" w:hAnsi="Times New Roman"/>
          <w:color w:val="auto"/>
          <w:sz w:val="26"/>
          <w:szCs w:val="26"/>
        </w:rPr>
        <w:t xml:space="preserve">и в некоторой степени местного рынка. В районе представлено рыболовство </w:t>
      </w:r>
      <w:r w:rsidR="00E80A9F">
        <w:rPr>
          <w:rFonts w:ascii="Times New Roman" w:hAnsi="Times New Roman"/>
          <w:color w:val="auto"/>
          <w:sz w:val="26"/>
          <w:szCs w:val="26"/>
        </w:rPr>
        <w:br/>
      </w:r>
      <w:r w:rsidRPr="00E80A9F">
        <w:rPr>
          <w:rFonts w:ascii="Times New Roman" w:hAnsi="Times New Roman"/>
          <w:color w:val="auto"/>
          <w:sz w:val="26"/>
          <w:szCs w:val="26"/>
        </w:rPr>
        <w:t xml:space="preserve">(г. Колпашево, с. Тогур, ряд сельских населенных пунктов), существующее </w:t>
      </w:r>
      <w:r w:rsidR="00E80A9F">
        <w:rPr>
          <w:rFonts w:ascii="Times New Roman" w:hAnsi="Times New Roman"/>
          <w:color w:val="auto"/>
          <w:sz w:val="26"/>
          <w:szCs w:val="26"/>
        </w:rPr>
        <w:br/>
      </w:r>
      <w:r w:rsidRPr="00E80A9F">
        <w:rPr>
          <w:rFonts w:ascii="Times New Roman" w:hAnsi="Times New Roman"/>
          <w:color w:val="auto"/>
          <w:sz w:val="26"/>
          <w:szCs w:val="26"/>
        </w:rPr>
        <w:t>в сегменте индивидуального предпринимательства. Ведется сбор, заготовка и переработка дикорастущего сырья.</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Лесозаготовка и деревообработка также носят локальный характер, преобладают индивидуальные предприниматели, локализованные главным образом в районе г. Колпашево. В то же время в районе имеется предприятие по производству мебели (ООО «Империя мебели» в г. Колпашево).</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Колпашевский район играет важную транспортную роль: </w:t>
      </w:r>
      <w:r w:rsidR="00E80A9F">
        <w:rPr>
          <w:rFonts w:ascii="Times New Roman" w:hAnsi="Times New Roman"/>
          <w:color w:val="auto"/>
          <w:sz w:val="26"/>
          <w:szCs w:val="26"/>
        </w:rPr>
        <w:br/>
      </w:r>
      <w:r w:rsidRPr="00E80A9F">
        <w:rPr>
          <w:rFonts w:ascii="Times New Roman" w:hAnsi="Times New Roman"/>
          <w:color w:val="auto"/>
          <w:sz w:val="26"/>
          <w:szCs w:val="26"/>
        </w:rPr>
        <w:t>здесь концентрируются предприятия грузового и пассажирского автотранспорта, воздушного транспорта (филиал Томский ООО Авиапредприятия «Газпром Авиа», ООО «Вертодром «Томск Авиа», филиал «Аэронавигация Западной Сибири» ФГУП «Госкорпорация по ОРВД») и водного транспорта (Колпашевский район водных путей и судоходства – филиал ФБУ «Администрация Обь-Иртышского бассейна внутренних водных путей»). Предприятия трубопроводного транспорта расположены на территории Чажемтовского сельского поселения.</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Колпашевском районе существует уникальное сочетание лечебно-минеральных вод (содовые, термальные, слабосероводородные, маломинерализованные, хлоридно-натриевые) и сапропелевых грязей, на базе которых функционирует санаторий «Чажемто», специализирующийся на оказании лечебно-оздоровительных услуг населению Томской области и других регионов.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Территория района обладает определенным туристским потенциалом. </w:t>
      </w:r>
      <w:r w:rsidR="00E80A9F">
        <w:rPr>
          <w:rFonts w:ascii="Times New Roman" w:hAnsi="Times New Roman"/>
          <w:color w:val="auto"/>
          <w:sz w:val="26"/>
          <w:szCs w:val="26"/>
        </w:rPr>
        <w:br/>
      </w:r>
      <w:r w:rsidRPr="00E80A9F">
        <w:rPr>
          <w:rFonts w:ascii="Times New Roman" w:hAnsi="Times New Roman"/>
          <w:color w:val="auto"/>
          <w:sz w:val="26"/>
          <w:szCs w:val="26"/>
        </w:rPr>
        <w:t>В с. Тогур расположен объект паломнического туризма — церковь во имя Воскресения Господня и во имя Святителя Николая Чудотворца, старейший православный храм Нарымского края, внесённый в федеральный реестр памятников истории и культуры как образец стиля Сибирского барокко. В г. Колпашево находится Колпашевский краеведческий музей (отдел Томского областного Краеведческого музея им. М. Б. Шатилова). Место компактного проживания селькупов, коренного населения Приобья — с. Иванкино.</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 г. Колпашево осуществляет деятельность Нарымский отдел Сибирского научно-исследовательского института сельского хозяйства и торфа, занимающийся селекцией и семеноводством сельскохозяйственных культур.</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Приоритетами хозяйственного развития Колпашевского района являются сохранение существующего хозяйственного профиля, модернизация промышленных предприятий и увеличение ассортимента продукции. Целесообразно опережающее развитие рыбной отрасли за счет концентрации </w:t>
      </w:r>
      <w:r w:rsidR="00E80A9F">
        <w:rPr>
          <w:rFonts w:ascii="Times New Roman" w:hAnsi="Times New Roman"/>
          <w:color w:val="auto"/>
          <w:sz w:val="26"/>
          <w:szCs w:val="26"/>
        </w:rPr>
        <w:br/>
      </w:r>
      <w:r w:rsidRPr="00E80A9F">
        <w:rPr>
          <w:rFonts w:ascii="Times New Roman" w:hAnsi="Times New Roman"/>
          <w:color w:val="auto"/>
          <w:sz w:val="26"/>
          <w:szCs w:val="26"/>
        </w:rPr>
        <w:t xml:space="preserve">в г. Колпашево переработки рыбной продукции из северных и центральных районов области. В долгосрочной перспективе в Колпашевском районе необходимо проведение геологоразведочных работ для изучения нефтегазоносности </w:t>
      </w:r>
      <w:r w:rsidR="00E80A9F">
        <w:rPr>
          <w:rFonts w:ascii="Times New Roman" w:hAnsi="Times New Roman"/>
          <w:color w:val="auto"/>
          <w:sz w:val="26"/>
          <w:szCs w:val="26"/>
        </w:rPr>
        <w:br/>
      </w:r>
      <w:r w:rsidRPr="00E80A9F">
        <w:rPr>
          <w:rFonts w:ascii="Times New Roman" w:hAnsi="Times New Roman"/>
          <w:color w:val="auto"/>
          <w:sz w:val="26"/>
          <w:szCs w:val="26"/>
        </w:rPr>
        <w:t>на правобережье реки Оби, а также ресурсов железной руды.</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Важными инфраструктурными проектами</w:t>
      </w:r>
      <w:r w:rsidRPr="00E80A9F">
        <w:rPr>
          <w:rFonts w:ascii="Times New Roman" w:eastAsia="TimesNewRoman" w:hAnsi="Times New Roman"/>
          <w:color w:val="auto"/>
          <w:sz w:val="26"/>
          <w:szCs w:val="26"/>
        </w:rPr>
        <w:t xml:space="preserve"> является модернизация </w:t>
      </w:r>
      <w:r w:rsidRPr="00E80A9F">
        <w:rPr>
          <w:rFonts w:ascii="Times New Roman" w:hAnsi="Times New Roman"/>
          <w:color w:val="auto"/>
          <w:sz w:val="26"/>
          <w:szCs w:val="26"/>
        </w:rPr>
        <w:t>систем тепло- и водоснабжения с. Колпашево.</w:t>
      </w:r>
    </w:p>
    <w:p w:rsidR="00E618FE" w:rsidRPr="00E80A9F" w:rsidRDefault="00800098">
      <w:pPr>
        <w:pStyle w:val="a4"/>
        <w:rPr>
          <w:rFonts w:ascii="Times New Roman" w:eastAsia="Aptos" w:hAnsi="Times New Roman"/>
          <w:color w:val="auto"/>
          <w:sz w:val="26"/>
          <w:szCs w:val="26"/>
          <w:lang w:eastAsia="en-US"/>
          <w14:ligatures w14:val="standardContextual"/>
        </w:rPr>
      </w:pPr>
      <w:r w:rsidRPr="00E80A9F">
        <w:rPr>
          <w:rFonts w:ascii="Times New Roman" w:hAnsi="Times New Roman"/>
          <w:color w:val="auto"/>
          <w:sz w:val="26"/>
          <w:szCs w:val="26"/>
        </w:rPr>
        <w:t xml:space="preserve">В системе расселения продолжится процесс концентрации населения </w:t>
      </w:r>
      <w:r w:rsidRPr="00E80A9F">
        <w:rPr>
          <w:rFonts w:ascii="Times New Roman" w:hAnsi="Times New Roman"/>
          <w:color w:val="auto"/>
          <w:sz w:val="26"/>
          <w:szCs w:val="26"/>
        </w:rPr>
        <w:br/>
        <w:t>и экономической активности в г. Колпашево и с. Чажемто. Для населенных пунктов, обеспеченных круглогодичными транспор</w:t>
      </w:r>
      <w:r w:rsidRPr="00E80A9F">
        <w:rPr>
          <w:rFonts w:ascii="Times New Roman" w:eastAsia="Aptos" w:hAnsi="Times New Roman"/>
          <w:color w:val="auto"/>
          <w:sz w:val="26"/>
          <w:szCs w:val="26"/>
          <w:lang w:eastAsia="en-US"/>
          <w14:ligatures w14:val="standardContextual"/>
        </w:rPr>
        <w:t xml:space="preserve">тными связями, прогнозируется </w:t>
      </w:r>
      <w:r w:rsidRPr="00E80A9F">
        <w:rPr>
          <w:rFonts w:ascii="Times New Roman" w:eastAsia="Aptos" w:hAnsi="Times New Roman"/>
          <w:color w:val="auto"/>
          <w:sz w:val="26"/>
          <w:szCs w:val="26"/>
          <w:lang w:eastAsia="en-US"/>
          <w14:ligatures w14:val="standardContextual"/>
        </w:rPr>
        <w:lastRenderedPageBreak/>
        <w:t>инерционное снижение численности населения; пункты в северной части района утрачивают роль узлов расселения и хозяйственной деятельности.</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Парабельский район </w:t>
      </w:r>
      <w:r w:rsidRPr="00E80A9F">
        <w:rPr>
          <w:rFonts w:ascii="Times New Roman" w:eastAsia="Aptos" w:hAnsi="Times New Roman"/>
          <w:color w:val="auto"/>
          <w:sz w:val="26"/>
          <w:szCs w:val="26"/>
          <w:lang w:eastAsia="en-US"/>
          <w14:ligatures w14:val="standardContextual"/>
        </w:rPr>
        <w:t xml:space="preserve">имеет выраженную нефтегазодобывающую специализацию, сопутствующая </w:t>
      </w:r>
      <w:r w:rsidR="00E80A9F">
        <w:rPr>
          <w:rFonts w:ascii="Times New Roman" w:hAnsi="Times New Roman"/>
          <w:color w:val="auto"/>
          <w:sz w:val="26"/>
          <w:szCs w:val="26"/>
        </w:rPr>
        <w:t>специализация –</w:t>
      </w:r>
      <w:r w:rsidRPr="00E80A9F">
        <w:rPr>
          <w:rFonts w:ascii="Times New Roman" w:hAnsi="Times New Roman"/>
          <w:color w:val="auto"/>
          <w:sz w:val="26"/>
          <w:szCs w:val="26"/>
        </w:rPr>
        <w:t xml:space="preserve"> лесозаготовительная деятельность.</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Территория очагового освоения с выраженным процессом коллапса системы периферийного расселения (Заводское, Нарымское, Старицинское поселения), однако Парабельское и Новосельцевское поселения сохраняют сравнительную стабильность численности населения. За период 2020 – 2025 годов численность населения района снизилась на 6,9%. Нарымское поселение не имеет круглогодичных транспортных связей. </w:t>
      </w:r>
    </w:p>
    <w:p w:rsidR="00E618FE" w:rsidRPr="00E80A9F" w:rsidRDefault="00E80A9F">
      <w:pPr>
        <w:pStyle w:val="a4"/>
        <w:rPr>
          <w:rFonts w:ascii="Times New Roman" w:hAnsi="Times New Roman"/>
          <w:color w:val="auto"/>
          <w:sz w:val="26"/>
          <w:szCs w:val="26"/>
        </w:rPr>
      </w:pPr>
      <w:r>
        <w:rPr>
          <w:rFonts w:ascii="Times New Roman" w:hAnsi="Times New Roman"/>
          <w:color w:val="auto"/>
          <w:sz w:val="26"/>
          <w:szCs w:val="26"/>
        </w:rPr>
        <w:t>Ключевые предприятия района –</w:t>
      </w:r>
      <w:r w:rsidR="00800098" w:rsidRPr="00E80A9F">
        <w:rPr>
          <w:rFonts w:ascii="Times New Roman" w:hAnsi="Times New Roman"/>
          <w:color w:val="auto"/>
          <w:sz w:val="26"/>
          <w:szCs w:val="26"/>
        </w:rPr>
        <w:t xml:space="preserve"> АО «Газпром добыча Томск», ООО «Газпромнефть-Восток», АО «Транснефть Западная Сибирь», </w:t>
      </w:r>
      <w:r>
        <w:rPr>
          <w:rFonts w:ascii="Times New Roman" w:hAnsi="Times New Roman"/>
          <w:color w:val="auto"/>
          <w:sz w:val="26"/>
          <w:szCs w:val="26"/>
        </w:rPr>
        <w:br/>
      </w:r>
      <w:r w:rsidR="00800098" w:rsidRPr="00E80A9F">
        <w:rPr>
          <w:rFonts w:ascii="Times New Roman" w:hAnsi="Times New Roman"/>
          <w:color w:val="auto"/>
          <w:sz w:val="26"/>
          <w:szCs w:val="26"/>
        </w:rPr>
        <w:t xml:space="preserve">АО «Томскнефть» ВНК, ООО «Буровая сервисная компания Гранд», </w:t>
      </w:r>
      <w:r w:rsidR="00800098" w:rsidRPr="00E80A9F">
        <w:rPr>
          <w:rFonts w:ascii="Times New Roman" w:hAnsi="Times New Roman"/>
          <w:color w:val="auto"/>
          <w:sz w:val="26"/>
          <w:szCs w:val="26"/>
        </w:rPr>
        <w:br/>
        <w:t>АО «Связьтранснефть», ООО «Победит Холдинг». Функционируют многочисленные подразделения сервисных предприятий по облуживанию скважин, ряд предприятий специализируется на геофизических изысканиях. В с. Парабель действует парабельская промплощадка Томского линейного производственного управления магистральных газопроводов ООО «Газпром трансгаз Томск», линейная производственно-диспетчерская станция «Парабель» АО «Транснефть Западная Сибирь».</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В районе ограниченная сельскохозяйственная деятельность, представленная ЛПХ мелкотоварного профиля, ориентированными на собственные нужды.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Обширные запасы древесины и недревесных ресурсов леса используются недостаточно в связи с труднодоступностью наиболее крупных лесных массивов. Заготовкой древесины и производством пиломатериалов в настоящее время занимаются 8 индивидуальных предпринимателей и 3 юридические лица.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Туристско-рекреационный потенциал района значительный. Ключевыми объектами туризма на территории района являются историческое село регионального значения Нарым, музей под открытым небом селькупской культуры и быта «Чу</w:t>
      </w:r>
      <w:r w:rsidR="00E80A9F">
        <w:rPr>
          <w:rFonts w:ascii="Times New Roman" w:hAnsi="Times New Roman"/>
          <w:color w:val="auto"/>
          <w:sz w:val="26"/>
          <w:szCs w:val="26"/>
        </w:rPr>
        <w:t>мэл Чвэч» (д. Малое Нестерово),</w:t>
      </w:r>
      <w:r w:rsidRPr="00E80A9F">
        <w:rPr>
          <w:rFonts w:ascii="Times New Roman" w:hAnsi="Times New Roman"/>
          <w:color w:val="auto"/>
          <w:sz w:val="26"/>
          <w:szCs w:val="26"/>
        </w:rPr>
        <w:t xml:space="preserve"> Парабельский историко-краеведческий музей и дом народных промыслов с. Парабель. Однако туристическая активность лимитирована удаленным расположением района.</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Приоритетами хозяйственного развития Парабельского района является отработка существующих и освоение новых месторождений левобережья р. Оби (Васюганская нефтегазоносная область), развитие лесозаготовительной отрасли. </w:t>
      </w:r>
      <w:r w:rsidR="00E80A9F">
        <w:rPr>
          <w:rFonts w:ascii="Times New Roman" w:hAnsi="Times New Roman"/>
          <w:color w:val="auto"/>
          <w:sz w:val="26"/>
          <w:szCs w:val="26"/>
        </w:rPr>
        <w:br/>
      </w:r>
      <w:r w:rsidRPr="00E80A9F">
        <w:rPr>
          <w:rFonts w:ascii="Times New Roman" w:hAnsi="Times New Roman"/>
          <w:color w:val="auto"/>
          <w:sz w:val="26"/>
          <w:szCs w:val="26"/>
        </w:rPr>
        <w:t>В случае строительства завершающего участка Северной широтной автомобильной дороги в Каргасокском и Александровском районах возникнет дополнительный импульс к развитию туризма и прочих сервисных функций.</w:t>
      </w:r>
    </w:p>
    <w:p w:rsidR="00E618FE" w:rsidRPr="00E80A9F" w:rsidRDefault="00800098">
      <w:pPr>
        <w:pStyle w:val="a4"/>
        <w:rPr>
          <w:rFonts w:ascii="Times New Roman" w:eastAsia="TimesNewRoman" w:hAnsi="Times New Roman"/>
          <w:color w:val="auto"/>
          <w:sz w:val="26"/>
          <w:szCs w:val="26"/>
        </w:rPr>
      </w:pPr>
      <w:r w:rsidRPr="00E80A9F">
        <w:rPr>
          <w:rFonts w:ascii="Times New Roman" w:hAnsi="Times New Roman"/>
          <w:color w:val="auto"/>
          <w:sz w:val="26"/>
          <w:szCs w:val="26"/>
        </w:rPr>
        <w:t>Важными инфраструктурными проектами</w:t>
      </w:r>
      <w:r w:rsidRPr="00E80A9F">
        <w:rPr>
          <w:rFonts w:ascii="Times New Roman" w:eastAsia="TimesNewRoman" w:hAnsi="Times New Roman"/>
          <w:color w:val="auto"/>
          <w:sz w:val="26"/>
          <w:szCs w:val="26"/>
        </w:rPr>
        <w:t xml:space="preserve"> являются строительство полигона ТКО и подключение с. Нарым к централизованному электроснабжению.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 системе расселения продолжится концентрация населения в центральной части района.</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Каргасокский район </w:t>
      </w:r>
      <w:r w:rsidRPr="00E80A9F">
        <w:rPr>
          <w:rFonts w:ascii="Times New Roman" w:eastAsia="Aptos" w:hAnsi="Times New Roman"/>
          <w:color w:val="auto"/>
          <w:sz w:val="26"/>
          <w:szCs w:val="26"/>
          <w:lang w:eastAsia="en-US"/>
          <w14:ligatures w14:val="standardContextual"/>
        </w:rPr>
        <w:t xml:space="preserve">специализируется на добывающей промышленности, основные объемы углеводородного сырья в Томской области добываются </w:t>
      </w:r>
      <w:r w:rsidR="00E80A9F">
        <w:rPr>
          <w:rFonts w:ascii="Times New Roman" w:eastAsia="Aptos" w:hAnsi="Times New Roman"/>
          <w:color w:val="auto"/>
          <w:sz w:val="26"/>
          <w:szCs w:val="26"/>
          <w:lang w:eastAsia="en-US"/>
          <w14:ligatures w14:val="standardContextual"/>
        </w:rPr>
        <w:br/>
      </w:r>
      <w:r w:rsidRPr="00E80A9F">
        <w:rPr>
          <w:rFonts w:ascii="Times New Roman" w:eastAsia="Aptos" w:hAnsi="Times New Roman"/>
          <w:color w:val="auto"/>
          <w:sz w:val="26"/>
          <w:szCs w:val="26"/>
          <w:lang w:eastAsia="en-US"/>
          <w14:ligatures w14:val="standardContextual"/>
        </w:rPr>
        <w:t>на его территории</w:t>
      </w:r>
      <w:r w:rsidRPr="00E80A9F">
        <w:rPr>
          <w:rFonts w:ascii="Times New Roman" w:hAnsi="Times New Roman"/>
          <w:color w:val="auto"/>
          <w:sz w:val="26"/>
          <w:szCs w:val="26"/>
        </w:rPr>
        <w:t xml:space="preserve">. Сопутствующая специализация </w:t>
      </w:r>
      <w:r w:rsidR="00E80A9F">
        <w:rPr>
          <w:rFonts w:ascii="Times New Roman" w:hAnsi="Times New Roman"/>
          <w:color w:val="auto"/>
          <w:sz w:val="26"/>
          <w:szCs w:val="26"/>
        </w:rPr>
        <w:t>–</w:t>
      </w:r>
      <w:r w:rsidRPr="00E80A9F">
        <w:rPr>
          <w:rFonts w:ascii="Times New Roman" w:hAnsi="Times New Roman"/>
          <w:color w:val="auto"/>
          <w:sz w:val="26"/>
          <w:szCs w:val="26"/>
        </w:rPr>
        <w:t xml:space="preserve"> первичная переработки нефти и газа, лесозаготовительная деятельность.</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lastRenderedPageBreak/>
        <w:t xml:space="preserve">Территория очагового освоения с выраженным процессом коллапса системы периферийного расселения. Автомобильными дорогами и общественным транспортом обслужены только населенные пункты Каргасокского </w:t>
      </w:r>
      <w:r w:rsidR="00E80A9F">
        <w:rPr>
          <w:rFonts w:ascii="Times New Roman" w:hAnsi="Times New Roman"/>
          <w:color w:val="auto"/>
          <w:sz w:val="26"/>
          <w:szCs w:val="26"/>
        </w:rPr>
        <w:br/>
      </w:r>
      <w:r w:rsidRPr="00E80A9F">
        <w:rPr>
          <w:rFonts w:ascii="Times New Roman" w:hAnsi="Times New Roman"/>
          <w:color w:val="auto"/>
          <w:sz w:val="26"/>
          <w:szCs w:val="26"/>
        </w:rPr>
        <w:t>и Новоюгинского сельских поселений, периферийно расположенное село Новый Васюган имеет регулярное авиационное сообщение. Остальные поселения не имеют круглогодичных транспортных связей, они же характеризуются наибольшими темпами снижения численности населения. За период 2020 – 2025 годов численность населения района снизилась на 7,9%.</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Ключевые предприятия в сфере добычи углеводородов — подразделения </w:t>
      </w:r>
      <w:r w:rsidR="00E80A9F">
        <w:rPr>
          <w:rFonts w:ascii="Times New Roman" w:hAnsi="Times New Roman"/>
          <w:color w:val="auto"/>
          <w:sz w:val="26"/>
          <w:szCs w:val="26"/>
        </w:rPr>
        <w:br/>
      </w:r>
      <w:r w:rsidRPr="00E80A9F">
        <w:rPr>
          <w:rFonts w:ascii="Times New Roman" w:hAnsi="Times New Roman"/>
          <w:color w:val="auto"/>
          <w:sz w:val="26"/>
          <w:szCs w:val="26"/>
        </w:rPr>
        <w:t xml:space="preserve">АО «Томскнефть» ВНК, ПАО НК «Русснефть», ООО «Норд Империал», </w:t>
      </w:r>
      <w:r w:rsidR="00E80A9F">
        <w:rPr>
          <w:rFonts w:ascii="Times New Roman" w:hAnsi="Times New Roman"/>
          <w:color w:val="auto"/>
          <w:sz w:val="26"/>
          <w:szCs w:val="26"/>
        </w:rPr>
        <w:br/>
      </w:r>
      <w:r w:rsidRPr="00E80A9F">
        <w:rPr>
          <w:rFonts w:ascii="Times New Roman" w:hAnsi="Times New Roman"/>
          <w:color w:val="auto"/>
          <w:sz w:val="26"/>
          <w:szCs w:val="26"/>
        </w:rPr>
        <w:t xml:space="preserve">ООО «ВТК», ООО «Газпромнефть-Восток». Действуют многочисленные подразделения сервисных предприятий по облуживанию скважин.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Предприятия первичной переработки нефти и газа: установка комплексной подготовки газа АО «Газпром добыча Томск», установка комплексной подготовки газа ООО «ВТК» (Усть-Сильгинский лицензионный участок), Васюганская установка атмосферной переработки ООО «Стрежевской нефтеперерабатывающий завод».</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Обрабатывающие производства представлены индивидуальными </w:t>
      </w:r>
      <w:r w:rsidR="00E80A9F">
        <w:rPr>
          <w:rFonts w:ascii="Times New Roman" w:hAnsi="Times New Roman"/>
          <w:color w:val="auto"/>
          <w:sz w:val="26"/>
          <w:szCs w:val="26"/>
        </w:rPr>
        <w:br/>
      </w:r>
      <w:r w:rsidRPr="00E80A9F">
        <w:rPr>
          <w:rFonts w:ascii="Times New Roman" w:hAnsi="Times New Roman"/>
          <w:color w:val="auto"/>
          <w:sz w:val="26"/>
          <w:szCs w:val="26"/>
        </w:rPr>
        <w:t xml:space="preserve">и микропредприятиями в области заготовки и переработки древесины, </w:t>
      </w:r>
      <w:r w:rsidR="00E80A9F">
        <w:rPr>
          <w:rFonts w:ascii="Times New Roman" w:hAnsi="Times New Roman"/>
          <w:color w:val="auto"/>
          <w:sz w:val="26"/>
          <w:szCs w:val="26"/>
        </w:rPr>
        <w:br/>
      </w:r>
      <w:r w:rsidRPr="00E80A9F">
        <w:rPr>
          <w:rFonts w:ascii="Times New Roman" w:hAnsi="Times New Roman"/>
          <w:color w:val="auto"/>
          <w:sz w:val="26"/>
          <w:szCs w:val="26"/>
        </w:rPr>
        <w:t>а также рыболовства. Сельскохозяйственная деятельность представлена КФХ и ЛПХ мелкотоварного профиля, специализация — молочное скотоводство. Развита заготовка дикоросов.</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Приоритетами хозяйственного развития Каргасокского района являются отработка существующих и освоение новых месторождений углеводородов, развитие лесозаготовительной и рыбной отрасли. В случае строительства завершающего участка Северной широтной автомобильной дороги в Каргасокском и Александровском районах существенно активизируется лесопромышленный комплекс в связи с улучшением транспортной доступности лесных массивов.</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Важными инфраструктурными проектами</w:t>
      </w:r>
      <w:r w:rsidRPr="00E80A9F">
        <w:rPr>
          <w:rFonts w:ascii="Times New Roman" w:eastAsia="TimesNewRoman" w:hAnsi="Times New Roman"/>
          <w:color w:val="auto"/>
          <w:sz w:val="26"/>
          <w:szCs w:val="26"/>
        </w:rPr>
        <w:t xml:space="preserve"> является модернизация </w:t>
      </w:r>
      <w:r w:rsidRPr="00E80A9F">
        <w:rPr>
          <w:rFonts w:ascii="Times New Roman" w:hAnsi="Times New Roman"/>
          <w:color w:val="auto"/>
          <w:sz w:val="26"/>
          <w:szCs w:val="26"/>
        </w:rPr>
        <w:t>систем тепло- и водоснабжения с. Каргасок.</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Перспективы развития системы расселения связаны с продолжающейся концентрацией населения в Каргасокском поселении. Населенные пункты восточной части района поэтапно утрачивают роль узлов расселения </w:t>
      </w:r>
      <w:r w:rsidR="00E80A9F">
        <w:rPr>
          <w:rFonts w:ascii="Times New Roman" w:hAnsi="Times New Roman"/>
          <w:color w:val="auto"/>
          <w:sz w:val="26"/>
          <w:szCs w:val="26"/>
        </w:rPr>
        <w:br/>
      </w:r>
      <w:r w:rsidRPr="00E80A9F">
        <w:rPr>
          <w:rFonts w:ascii="Times New Roman" w:hAnsi="Times New Roman"/>
          <w:color w:val="auto"/>
          <w:sz w:val="26"/>
          <w:szCs w:val="26"/>
        </w:rPr>
        <w:t>и хозяйственной деятельности.</w:t>
      </w:r>
    </w:p>
    <w:p w:rsidR="00E618FE" w:rsidRPr="00E80A9F"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Муниципальный округ Город Кедровый </w:t>
      </w:r>
      <w:r w:rsidRPr="00E80A9F">
        <w:rPr>
          <w:rFonts w:ascii="Times New Roman" w:eastAsia="Aptos" w:hAnsi="Times New Roman"/>
          <w:color w:val="auto"/>
          <w:sz w:val="26"/>
          <w:szCs w:val="26"/>
          <w:lang w:eastAsia="en-US"/>
          <w14:ligatures w14:val="standardContextual"/>
        </w:rPr>
        <w:t xml:space="preserve">характеризуется высокими темпами снижения численности населения и </w:t>
      </w:r>
      <w:r w:rsidRPr="00E80A9F">
        <w:rPr>
          <w:rFonts w:ascii="Times New Roman" w:hAnsi="Times New Roman"/>
          <w:color w:val="auto"/>
          <w:sz w:val="26"/>
          <w:szCs w:val="26"/>
        </w:rPr>
        <w:t xml:space="preserve">отсутствием собственной градообразующей базы. За период 2020 – 2025 годов численность населения округа снизилась на 13,2%. </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Город был сформирован как организующий центр нефтегазодобычи (Пудинского нефтегазодобывающего района), но в запланированном объеме </w:t>
      </w:r>
      <w:r w:rsidR="00E80A9F">
        <w:rPr>
          <w:rFonts w:ascii="Times New Roman" w:hAnsi="Times New Roman"/>
          <w:color w:val="auto"/>
          <w:sz w:val="26"/>
          <w:szCs w:val="26"/>
        </w:rPr>
        <w:br/>
      </w:r>
      <w:r w:rsidRPr="00E80A9F">
        <w:rPr>
          <w:rFonts w:ascii="Times New Roman" w:hAnsi="Times New Roman"/>
          <w:color w:val="auto"/>
          <w:sz w:val="26"/>
          <w:szCs w:val="26"/>
        </w:rPr>
        <w:t xml:space="preserve">эта функция не сформировалась. В настоящее время население частично занято </w:t>
      </w:r>
      <w:r w:rsidR="00E80A9F">
        <w:rPr>
          <w:rFonts w:ascii="Times New Roman" w:hAnsi="Times New Roman"/>
          <w:color w:val="auto"/>
          <w:sz w:val="26"/>
          <w:szCs w:val="26"/>
        </w:rPr>
        <w:br/>
      </w:r>
      <w:r w:rsidRPr="00E80A9F">
        <w:rPr>
          <w:rFonts w:ascii="Times New Roman" w:hAnsi="Times New Roman"/>
          <w:color w:val="auto"/>
          <w:sz w:val="26"/>
          <w:szCs w:val="26"/>
        </w:rPr>
        <w:t xml:space="preserve">в добывающей отрасли на Лугинецкой группе месторождений, </w:t>
      </w:r>
      <w:r w:rsidRPr="00E80A9F">
        <w:rPr>
          <w:rFonts w:ascii="Times New Roman" w:hAnsi="Times New Roman"/>
          <w:color w:val="auto"/>
          <w:sz w:val="26"/>
          <w:szCs w:val="26"/>
        </w:rPr>
        <w:br/>
        <w:t>но преимущественно в градообслуживающих отраслях. муниципальный округ входит в число муниципальных образований области с низким уровнем экономического развития.</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Обрабатывающая промышленность практически отсутствует. Сельскохозяйственная деятельность и сбор дикоросов осуществляются населением для личных нужд.</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lastRenderedPageBreak/>
        <w:t xml:space="preserve">При этом сохраняется функция транспортно-распределительного узла </w:t>
      </w:r>
      <w:r w:rsidR="006739D7">
        <w:rPr>
          <w:rFonts w:ascii="Times New Roman" w:hAnsi="Times New Roman"/>
          <w:color w:val="auto"/>
          <w:sz w:val="26"/>
          <w:szCs w:val="26"/>
        </w:rPr>
        <w:br/>
      </w:r>
      <w:r w:rsidRPr="00E80A9F">
        <w:rPr>
          <w:rFonts w:ascii="Times New Roman" w:hAnsi="Times New Roman"/>
          <w:color w:val="auto"/>
          <w:sz w:val="26"/>
          <w:szCs w:val="26"/>
        </w:rPr>
        <w:t>для обеспечения грузовых и пассажирских перевозок на близлежащие месторождения и объекты нефтегазодобывающей отрасли воздушным транспортом (аэродром Кедровый) и по автозимникам.</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 xml:space="preserve">Перспективное хозяйственное развитие округа лимитировано низкой инвестиционной привлекательностью, связанной с удаленностью территории </w:t>
      </w:r>
      <w:r w:rsidR="006739D7">
        <w:rPr>
          <w:rFonts w:ascii="Times New Roman" w:hAnsi="Times New Roman"/>
          <w:color w:val="auto"/>
          <w:sz w:val="26"/>
          <w:szCs w:val="26"/>
        </w:rPr>
        <w:br/>
      </w:r>
      <w:r w:rsidRPr="00E80A9F">
        <w:rPr>
          <w:rFonts w:ascii="Times New Roman" w:hAnsi="Times New Roman"/>
          <w:color w:val="auto"/>
          <w:sz w:val="26"/>
          <w:szCs w:val="26"/>
        </w:rPr>
        <w:t xml:space="preserve">и отсутствием удовлетворительного транспортного сообщения. Существенное развитие округа возможно за счет реализации проектов по разработке нефтяных </w:t>
      </w:r>
      <w:r w:rsidR="006739D7">
        <w:rPr>
          <w:rFonts w:ascii="Times New Roman" w:hAnsi="Times New Roman"/>
          <w:color w:val="auto"/>
          <w:sz w:val="26"/>
          <w:szCs w:val="26"/>
        </w:rPr>
        <w:br/>
      </w:r>
      <w:r w:rsidRPr="00E80A9F">
        <w:rPr>
          <w:rFonts w:ascii="Times New Roman" w:hAnsi="Times New Roman"/>
          <w:color w:val="auto"/>
          <w:sz w:val="26"/>
          <w:szCs w:val="26"/>
        </w:rPr>
        <w:t xml:space="preserve">и газовых месторождений, геологоразведки, деятельности сервисных компаний </w:t>
      </w:r>
      <w:r w:rsidR="006739D7">
        <w:rPr>
          <w:rFonts w:ascii="Times New Roman" w:hAnsi="Times New Roman"/>
          <w:color w:val="auto"/>
          <w:sz w:val="26"/>
          <w:szCs w:val="26"/>
        </w:rPr>
        <w:br/>
      </w:r>
      <w:r w:rsidRPr="00E80A9F">
        <w:rPr>
          <w:rFonts w:ascii="Times New Roman" w:hAnsi="Times New Roman"/>
          <w:color w:val="auto"/>
          <w:sz w:val="26"/>
          <w:szCs w:val="26"/>
        </w:rPr>
        <w:t>в области добычи УВС (строительство, обслуживание скважин, доставка оборудования и работников, повышение отдачи нефтепластов, обеспечение безопасности на объектах), а также обслуживания нефтепроводов Игольско–Таловое–Герасимовское и газопровода Герасимовское–Кедровый.</w:t>
      </w:r>
    </w:p>
    <w:p w:rsidR="00E618FE" w:rsidRPr="00E80A9F" w:rsidRDefault="00800098">
      <w:pPr>
        <w:pStyle w:val="a4"/>
        <w:rPr>
          <w:rFonts w:ascii="Times New Roman" w:hAnsi="Times New Roman"/>
          <w:color w:val="auto"/>
          <w:sz w:val="26"/>
          <w:szCs w:val="26"/>
        </w:rPr>
      </w:pPr>
      <w:r w:rsidRPr="00E80A9F">
        <w:rPr>
          <w:rFonts w:ascii="Times New Roman" w:hAnsi="Times New Roman"/>
          <w:color w:val="auto"/>
          <w:sz w:val="26"/>
          <w:szCs w:val="26"/>
        </w:rPr>
        <w:t>В рамках инерционного сценария развитие округа будет ограничиваться поддержанием базовой социальной и коммунальной инфраструктуры, возможно локальное развитие деревообработки.</w:t>
      </w:r>
    </w:p>
    <w:p w:rsidR="00E618FE" w:rsidRPr="00535A4B" w:rsidRDefault="00800098">
      <w:pPr>
        <w:pStyle w:val="41"/>
        <w:rPr>
          <w:rFonts w:ascii="Times New Roman" w:eastAsia="Aptos" w:hAnsi="Times New Roman"/>
          <w:lang w:val="ru-RU"/>
        </w:rPr>
      </w:pPr>
      <w:r w:rsidRPr="00535A4B">
        <w:rPr>
          <w:rFonts w:ascii="Times New Roman" w:eastAsia="Aptos" w:hAnsi="Times New Roman"/>
          <w:lang w:val="ru-RU"/>
        </w:rPr>
        <w:t xml:space="preserve">Северная группа районов (Александровский район </w:t>
      </w:r>
      <w:r w:rsidRPr="00535A4B">
        <w:rPr>
          <w:rFonts w:ascii="Times New Roman" w:eastAsia="Aptos" w:hAnsi="Times New Roman"/>
          <w:lang w:val="ru-RU"/>
        </w:rPr>
        <w:br/>
        <w:t>и городской округ Стрежевой)</w:t>
      </w:r>
    </w:p>
    <w:p w:rsidR="00E618FE" w:rsidRPr="006739D7"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t xml:space="preserve">Александровский район </w:t>
      </w:r>
      <w:r w:rsidRPr="006739D7">
        <w:rPr>
          <w:rFonts w:ascii="Times New Roman" w:eastAsia="Aptos" w:hAnsi="Times New Roman"/>
          <w:color w:val="auto"/>
          <w:sz w:val="26"/>
          <w:szCs w:val="26"/>
          <w:lang w:eastAsia="en-US"/>
          <w14:ligatures w14:val="standardContextual"/>
        </w:rPr>
        <w:t xml:space="preserve">специализируется на добывающей промышленности, сопутствующая </w:t>
      </w:r>
      <w:r w:rsidR="006739D7">
        <w:rPr>
          <w:rFonts w:ascii="Times New Roman" w:hAnsi="Times New Roman"/>
          <w:color w:val="auto"/>
          <w:sz w:val="26"/>
          <w:szCs w:val="26"/>
        </w:rPr>
        <w:t>специализация –</w:t>
      </w:r>
      <w:r w:rsidRPr="006739D7">
        <w:rPr>
          <w:rFonts w:ascii="Times New Roman" w:hAnsi="Times New Roman"/>
          <w:color w:val="auto"/>
          <w:sz w:val="26"/>
          <w:szCs w:val="26"/>
        </w:rPr>
        <w:t xml:space="preserve"> нефтепереработка </w:t>
      </w:r>
      <w:r w:rsidR="006739D7">
        <w:rPr>
          <w:rFonts w:ascii="Times New Roman" w:hAnsi="Times New Roman"/>
          <w:color w:val="auto"/>
          <w:sz w:val="26"/>
          <w:szCs w:val="26"/>
        </w:rPr>
        <w:br/>
      </w:r>
      <w:r w:rsidRPr="006739D7">
        <w:rPr>
          <w:rFonts w:ascii="Times New Roman" w:hAnsi="Times New Roman"/>
          <w:color w:val="auto"/>
          <w:sz w:val="26"/>
          <w:szCs w:val="26"/>
        </w:rPr>
        <w:t>и транспортировка углеводородов.</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Район представляет собой территорию очагового освоения. </w:t>
      </w:r>
      <w:r w:rsidRPr="006739D7">
        <w:rPr>
          <w:rFonts w:ascii="Times New Roman" w:hAnsi="Times New Roman"/>
          <w:color w:val="auto"/>
          <w:sz w:val="26"/>
          <w:szCs w:val="26"/>
        </w:rPr>
        <w:br/>
        <w:t xml:space="preserve">За исключением районного центра с. Александровское все населенные пункты </w:t>
      </w:r>
      <w:r w:rsidR="006739D7">
        <w:rPr>
          <w:rFonts w:ascii="Times New Roman" w:hAnsi="Times New Roman"/>
          <w:color w:val="auto"/>
          <w:sz w:val="26"/>
          <w:szCs w:val="26"/>
        </w:rPr>
        <w:br/>
      </w:r>
      <w:r w:rsidRPr="006739D7">
        <w:rPr>
          <w:rFonts w:ascii="Times New Roman" w:hAnsi="Times New Roman"/>
          <w:color w:val="auto"/>
          <w:sz w:val="26"/>
          <w:szCs w:val="26"/>
        </w:rPr>
        <w:t xml:space="preserve">не имеют круглогодичных транспортных связей, характеризуются низкой численностью населения и стремительными темпами его снижения. Район является территорией на завершающей стадии коллапса системы расселения, при которой около 90% населения и почти вся экономическая деятельность сконцентрированы </w:t>
      </w:r>
      <w:r w:rsidR="006739D7">
        <w:rPr>
          <w:rFonts w:ascii="Times New Roman" w:hAnsi="Times New Roman"/>
          <w:color w:val="auto"/>
          <w:sz w:val="26"/>
          <w:szCs w:val="26"/>
        </w:rPr>
        <w:br/>
      </w:r>
      <w:r w:rsidRPr="006739D7">
        <w:rPr>
          <w:rFonts w:ascii="Times New Roman" w:hAnsi="Times New Roman"/>
          <w:color w:val="auto"/>
          <w:sz w:val="26"/>
          <w:szCs w:val="26"/>
        </w:rPr>
        <w:t>в районном центре. За период 2020 – 2025 годов численность населения района снизилась на 8,3%.</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Ключевые предприятия в сфере добычи углеводородов — подразделения </w:t>
      </w:r>
      <w:r w:rsidR="006739D7">
        <w:rPr>
          <w:rFonts w:ascii="Times New Roman" w:hAnsi="Times New Roman"/>
          <w:color w:val="auto"/>
          <w:sz w:val="26"/>
          <w:szCs w:val="26"/>
        </w:rPr>
        <w:br/>
      </w:r>
      <w:r w:rsidRPr="006739D7">
        <w:rPr>
          <w:rFonts w:ascii="Times New Roman" w:hAnsi="Times New Roman"/>
          <w:color w:val="auto"/>
          <w:sz w:val="26"/>
          <w:szCs w:val="26"/>
        </w:rPr>
        <w:t>АО «Томскнефть» ВНК, ООО «Южно-Охтеурское», ООО «Стимул-Т», ООО «ВТК», ООО «Томскгеонефтегаз» НК «Роснефть». Имеется ряд предприятий, обслуживающих нефтегазодобычу (бурение, ремонт скважин, повышение нефтеотдачи пластов и пр.).</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На территории района действуют компрессорная станция ПАО «Газпром», НПС «Раскино» и НПС «Александровская» Нижневартовского </w:t>
      </w:r>
      <w:r w:rsidR="006739D7">
        <w:rPr>
          <w:rFonts w:ascii="Times New Roman" w:hAnsi="Times New Roman"/>
          <w:color w:val="auto"/>
          <w:sz w:val="26"/>
          <w:szCs w:val="26"/>
        </w:rPr>
        <w:br/>
      </w:r>
      <w:r w:rsidRPr="006739D7">
        <w:rPr>
          <w:rFonts w:ascii="Times New Roman" w:hAnsi="Times New Roman"/>
          <w:color w:val="auto"/>
          <w:sz w:val="26"/>
          <w:szCs w:val="26"/>
        </w:rPr>
        <w:t>УМН АО «Транснефть-Сибирь», мини-НПЗ в с. Александровское (производит дизельное топливо).</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Александровский район сохранит специализацию на отраслях нефтегазового сектора благодаря дальнейшему освоению месторождений на правом берегу Оби. Определенные перспективы имеют увеличение лесозаготовки и переработка рыбы. </w:t>
      </w:r>
    </w:p>
    <w:p w:rsidR="00E618FE" w:rsidRPr="006739D7" w:rsidRDefault="00800098">
      <w:pPr>
        <w:pStyle w:val="a4"/>
        <w:rPr>
          <w:rFonts w:ascii="Times New Roman" w:hAnsi="Times New Roman"/>
          <w:color w:val="auto"/>
          <w:sz w:val="26"/>
          <w:szCs w:val="26"/>
        </w:rPr>
      </w:pPr>
      <w:bookmarkStart w:id="259" w:name="_Hlk231401245"/>
      <w:r w:rsidRPr="006739D7">
        <w:rPr>
          <w:rFonts w:ascii="Times New Roman" w:hAnsi="Times New Roman"/>
          <w:color w:val="auto"/>
          <w:sz w:val="26"/>
          <w:szCs w:val="26"/>
        </w:rPr>
        <w:t>Важными инфраструктурными проектами</w:t>
      </w:r>
      <w:r w:rsidRPr="006739D7">
        <w:rPr>
          <w:rFonts w:ascii="Times New Roman" w:eastAsia="TimesNewRoman" w:hAnsi="Times New Roman"/>
          <w:color w:val="auto"/>
          <w:sz w:val="26"/>
          <w:szCs w:val="26"/>
        </w:rPr>
        <w:t xml:space="preserve"> является модернизация </w:t>
      </w:r>
      <w:r w:rsidRPr="006739D7">
        <w:rPr>
          <w:rFonts w:ascii="Times New Roman" w:hAnsi="Times New Roman"/>
          <w:color w:val="auto"/>
          <w:sz w:val="26"/>
          <w:szCs w:val="26"/>
        </w:rPr>
        <w:t>систем тепло- и водоснабжения с. Александровское.</w:t>
      </w:r>
      <w:bookmarkEnd w:id="259"/>
    </w:p>
    <w:p w:rsidR="00E618FE" w:rsidRPr="006739D7" w:rsidRDefault="00800098">
      <w:pPr>
        <w:pStyle w:val="a4"/>
        <w:rPr>
          <w:rFonts w:ascii="Times New Roman" w:eastAsia="Aptos" w:hAnsi="Times New Roman"/>
          <w:color w:val="auto"/>
          <w:sz w:val="26"/>
          <w:szCs w:val="26"/>
          <w:lang w:eastAsia="en-US"/>
          <w14:ligatures w14:val="standardContextual"/>
        </w:rPr>
      </w:pPr>
      <w:r w:rsidRPr="006739D7">
        <w:rPr>
          <w:rFonts w:ascii="Times New Roman" w:hAnsi="Times New Roman"/>
          <w:color w:val="auto"/>
          <w:sz w:val="26"/>
          <w:szCs w:val="26"/>
        </w:rPr>
        <w:t>Для административного центра района прогнозируется инерционное снижение численности населения; остальные</w:t>
      </w:r>
      <w:r w:rsidRPr="006739D7">
        <w:rPr>
          <w:rFonts w:ascii="Times New Roman" w:eastAsia="Aptos" w:hAnsi="Times New Roman"/>
          <w:color w:val="auto"/>
          <w:sz w:val="26"/>
          <w:szCs w:val="26"/>
          <w:lang w:eastAsia="en-US"/>
          <w14:ligatures w14:val="standardContextual"/>
        </w:rPr>
        <w:t xml:space="preserve"> населенные пункты полностью утрачивают роль узлов расселения и хозяйственной деятельности.</w:t>
      </w:r>
    </w:p>
    <w:p w:rsidR="00E618FE" w:rsidRPr="006739D7" w:rsidRDefault="00800098">
      <w:pPr>
        <w:pStyle w:val="a4"/>
        <w:rPr>
          <w:rFonts w:ascii="Times New Roman" w:hAnsi="Times New Roman"/>
          <w:color w:val="auto"/>
          <w:sz w:val="26"/>
          <w:szCs w:val="26"/>
        </w:rPr>
      </w:pPr>
      <w:r w:rsidRPr="00535A4B">
        <w:rPr>
          <w:rFonts w:ascii="Times New Roman" w:eastAsia="Aptos" w:hAnsi="Times New Roman"/>
          <w:b/>
          <w:bCs/>
          <w:color w:val="auto"/>
          <w:lang w:eastAsia="en-US"/>
          <w14:ligatures w14:val="standardContextual"/>
        </w:rPr>
        <w:lastRenderedPageBreak/>
        <w:t xml:space="preserve">Городской округ Стрежевой </w:t>
      </w:r>
      <w:r w:rsidRPr="006739D7">
        <w:rPr>
          <w:rFonts w:ascii="Times New Roman" w:eastAsia="Aptos" w:hAnsi="Times New Roman"/>
          <w:color w:val="auto"/>
          <w:sz w:val="26"/>
          <w:szCs w:val="26"/>
          <w:lang w:eastAsia="en-US"/>
          <w14:ligatures w14:val="standardContextual"/>
        </w:rPr>
        <w:t xml:space="preserve">выполняет функции организующего хозяйственного центра северной части Томской области, </w:t>
      </w:r>
      <w:r w:rsidRPr="006739D7">
        <w:rPr>
          <w:rFonts w:ascii="Times New Roman" w:eastAsia="Aptos" w:hAnsi="Times New Roman"/>
          <w:color w:val="auto"/>
          <w:sz w:val="26"/>
          <w:szCs w:val="26"/>
          <w:lang w:eastAsia="en-US"/>
        </w:rPr>
        <w:t>регионального</w:t>
      </w:r>
      <w:r w:rsidRPr="006739D7">
        <w:rPr>
          <w:rFonts w:ascii="Times New Roman" w:eastAsia="Aptos" w:hAnsi="Times New Roman"/>
          <w:color w:val="auto"/>
          <w:sz w:val="26"/>
          <w:szCs w:val="26"/>
          <w:lang w:eastAsia="en-US"/>
          <w14:ligatures w14:val="standardContextual"/>
        </w:rPr>
        <w:t xml:space="preserve"> узла нефтегазоперерабатывающей промышленности и </w:t>
      </w:r>
      <w:r w:rsidRPr="006739D7">
        <w:rPr>
          <w:rFonts w:ascii="Times New Roman" w:hAnsi="Times New Roman"/>
          <w:color w:val="auto"/>
          <w:sz w:val="26"/>
          <w:szCs w:val="26"/>
        </w:rPr>
        <w:t xml:space="preserve">центра межрайонного социального обслуживания. Он является третьим по величине населенным пунктом региона. В силу миграционных процессов, вызванных проводимыми </w:t>
      </w:r>
      <w:r w:rsidRPr="006739D7">
        <w:rPr>
          <w:rFonts w:ascii="Times New Roman" w:eastAsia="Aptos" w:hAnsi="Times New Roman"/>
          <w:color w:val="auto"/>
          <w:sz w:val="26"/>
          <w:szCs w:val="26"/>
          <w:lang w:eastAsia="en-US"/>
        </w:rPr>
        <w:t>нефтегазоперерабатывающими вертикально-интегрированными компаниями оптимизационными мероприятиями</w:t>
      </w:r>
      <w:r w:rsidRPr="006739D7">
        <w:rPr>
          <w:rFonts w:ascii="Times New Roman" w:hAnsi="Times New Roman"/>
          <w:color w:val="auto"/>
          <w:sz w:val="26"/>
          <w:szCs w:val="26"/>
        </w:rPr>
        <w:t xml:space="preserve"> в период 2020 – 2025 годов численность населения города снизилась на 8,9%.</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Важным фактором в развитии Стрежевого является близкое географическое расположение города к Нижневартовской агломерации, что позволяет решать проблемы продуктовой безопасности, оперативного медицинского обслуживания, связанные с отдаленностью с областным центром, выстраивания межрегиональных связей социокультурной сферы. Большинство хозяйствующих субъектов </w:t>
      </w:r>
      <w:r w:rsidRPr="006739D7">
        <w:rPr>
          <w:rFonts w:ascii="Times New Roman" w:eastAsia="Aptos" w:hAnsi="Times New Roman"/>
          <w:color w:val="auto"/>
          <w:sz w:val="26"/>
          <w:szCs w:val="26"/>
          <w:lang w:eastAsia="en-US"/>
        </w:rPr>
        <w:t>северной части Томской области</w:t>
      </w:r>
      <w:r w:rsidRPr="006739D7">
        <w:rPr>
          <w:rFonts w:ascii="Times New Roman" w:hAnsi="Times New Roman"/>
          <w:color w:val="auto"/>
          <w:sz w:val="26"/>
          <w:szCs w:val="26"/>
        </w:rPr>
        <w:t xml:space="preserve"> и жители Стрежевого и Александровского района </w:t>
      </w:r>
      <w:r w:rsidR="006739D7">
        <w:rPr>
          <w:rFonts w:ascii="Times New Roman" w:hAnsi="Times New Roman"/>
          <w:color w:val="auto"/>
          <w:sz w:val="26"/>
          <w:szCs w:val="26"/>
        </w:rPr>
        <w:br/>
      </w:r>
      <w:r w:rsidRPr="006739D7">
        <w:rPr>
          <w:rFonts w:ascii="Times New Roman" w:hAnsi="Times New Roman"/>
          <w:color w:val="auto"/>
          <w:sz w:val="26"/>
          <w:szCs w:val="26"/>
        </w:rPr>
        <w:t>на постоянной основе пользуются транспортной (воздушный и железнодорожный виды транспорта) и социальной инфраструктурой города Нижневартовск (Ханты-Мансийский автономный округ – Югра).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Основным градообразующим предприятием является АО «Томскнефть» ВНК, акционеры которой ПАО «Газпром нефть» и АО «ННК» (в структуру которой входит АО «ННК-Ойл»). Функционирует ряд строительных и сервисных организаций, обслуживающих деятельность добывающих предприятий.</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Обрабатывающая промышленность представлена ООО «Стрежевской нефтеперерабатывающий завод», который выпускает высокооктановые автобензины экологического класса «Евро-5», топливо моторное среднедистиллятное нескольких сортов, а также судовое маловязкое топливо. Предприятие полностью удовлетворяет потребности нефтепромыслов градообразующего предприятия, поставляет топливо потребителям северной части Томской области и Ханты-Мансийского автономного округа </w:t>
      </w:r>
      <w:r w:rsidR="006739D7">
        <w:rPr>
          <w:rFonts w:ascii="Times New Roman" w:hAnsi="Times New Roman"/>
          <w:color w:val="auto"/>
          <w:sz w:val="26"/>
          <w:szCs w:val="26"/>
        </w:rPr>
        <w:t>–</w:t>
      </w:r>
      <w:r w:rsidRPr="006739D7">
        <w:rPr>
          <w:rFonts w:ascii="Times New Roman" w:hAnsi="Times New Roman"/>
          <w:color w:val="auto"/>
          <w:sz w:val="26"/>
          <w:szCs w:val="26"/>
        </w:rPr>
        <w:t xml:space="preserve"> Югра.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Городской округ играет важную транспортную роль. Здесь концентрируются предприятия автотранспорта, трубопроводного транспорта (АО «Транснефть-Сибирь», ООО «Томскнефть-Сервис») и воздушного транспорта (Стрежевской центр организации воздушного движения — филиал «Аэронавигация Западной Сибири» ФГУП «Госкорпорация ПО ОРВД», ООО «Спецавиа»). Функционирует ряд малых предприятий и индивидуальных предпринимателей пищевой промышленности.</w:t>
      </w:r>
    </w:p>
    <w:p w:rsidR="00E618FE" w:rsidRPr="006739D7" w:rsidRDefault="00800098">
      <w:pPr>
        <w:pStyle w:val="a4"/>
        <w:rPr>
          <w:rFonts w:ascii="Times New Roman" w:hAnsi="Times New Roman"/>
          <w:b/>
          <w:bCs/>
          <w:color w:val="auto"/>
          <w:sz w:val="26"/>
          <w:szCs w:val="26"/>
        </w:rPr>
      </w:pPr>
      <w:r w:rsidRPr="006739D7">
        <w:rPr>
          <w:rFonts w:ascii="Times New Roman" w:hAnsi="Times New Roman"/>
          <w:color w:val="auto"/>
          <w:sz w:val="26"/>
          <w:szCs w:val="26"/>
        </w:rPr>
        <w:t>Перспективы развития города напрямую связаны с деятельностью нефтегазодобывающих компаний, а также развитием транспортной инфраструктуры (воздушных и водных перевозок, строительством Северной широтной автомобильной дороги), что даст городскому округу и северной части Томской области в целом импульс для развития. В противном случае прогнозируется инерционная динамика как деятельности отрасли, так и численности населения города.</w:t>
      </w:r>
    </w:p>
    <w:p w:rsidR="006739D7" w:rsidRDefault="006739D7">
      <w:pPr>
        <w:spacing w:after="160" w:line="259" w:lineRule="auto"/>
        <w:rPr>
          <w:bCs/>
          <w:sz w:val="26"/>
          <w:szCs w:val="26"/>
          <w:lang w:eastAsia="ar-SA" w:bidi="en-US"/>
        </w:rPr>
      </w:pPr>
      <w:r>
        <w:rPr>
          <w:bCs/>
          <w:sz w:val="26"/>
          <w:szCs w:val="26"/>
          <w:lang w:eastAsia="ar-SA" w:bidi="en-US"/>
        </w:rPr>
        <w:br w:type="page"/>
      </w:r>
    </w:p>
    <w:p w:rsidR="00E618FE" w:rsidRPr="006739D7" w:rsidRDefault="00800098">
      <w:pPr>
        <w:pStyle w:val="aff"/>
        <w:rPr>
          <w:rFonts w:ascii="Times New Roman" w:hAnsi="Times New Roman"/>
          <w:sz w:val="26"/>
          <w:szCs w:val="26"/>
          <w:lang w:val="ru-RU"/>
        </w:rPr>
      </w:pPr>
      <w:r w:rsidRPr="006739D7">
        <w:rPr>
          <w:rFonts w:ascii="Times New Roman" w:hAnsi="Times New Roman"/>
          <w:sz w:val="26"/>
          <w:szCs w:val="26"/>
          <w:lang w:val="ru-RU"/>
        </w:rPr>
        <w:lastRenderedPageBreak/>
        <w:t xml:space="preserve">Таблица А.1. Прогноз распределения </w:t>
      </w:r>
      <w:r w:rsidRPr="006739D7">
        <w:rPr>
          <w:rFonts w:ascii="Times New Roman" w:hAnsi="Times New Roman"/>
          <w:bCs w:val="0"/>
          <w:sz w:val="26"/>
          <w:szCs w:val="26"/>
          <w:lang w:val="ru-RU"/>
        </w:rPr>
        <w:t xml:space="preserve">экономической деятельности </w:t>
      </w:r>
      <w:r w:rsidRPr="006739D7">
        <w:rPr>
          <w:rFonts w:ascii="Times New Roman" w:hAnsi="Times New Roman"/>
          <w:bCs w:val="0"/>
          <w:sz w:val="26"/>
          <w:szCs w:val="26"/>
          <w:lang w:val="ru-RU"/>
        </w:rPr>
        <w:br/>
        <w:t>и населения по группам районов области</w:t>
      </w:r>
    </w:p>
    <w:tbl>
      <w:tblPr>
        <w:tblStyle w:val="-141"/>
        <w:tblW w:w="9460" w:type="dxa"/>
        <w:tblLayout w:type="fixed"/>
        <w:tblLook w:val="04A0" w:firstRow="1" w:lastRow="0" w:firstColumn="1" w:lastColumn="0" w:noHBand="0" w:noVBand="1"/>
      </w:tblPr>
      <w:tblGrid>
        <w:gridCol w:w="3515"/>
        <w:gridCol w:w="875"/>
        <w:gridCol w:w="115"/>
        <w:gridCol w:w="991"/>
        <w:gridCol w:w="571"/>
        <w:gridCol w:w="420"/>
        <w:gridCol w:w="991"/>
        <w:gridCol w:w="267"/>
        <w:gridCol w:w="724"/>
        <w:gridCol w:w="954"/>
        <w:gridCol w:w="37"/>
      </w:tblGrid>
      <w:tr w:rsidR="00E618FE" w:rsidRPr="00535A4B" w:rsidTr="00E618F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60" w:type="dxa"/>
            <w:gridSpan w:val="11"/>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pPr>
            <w:r w:rsidRPr="00535A4B">
              <w:t xml:space="preserve">Распределение </w:t>
            </w:r>
            <w:r w:rsidRPr="00535A4B">
              <w:rPr>
                <w:bCs w:val="0"/>
              </w:rPr>
              <w:t>экономической деятельности по группам районов области, %</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3515" w:type="dxa"/>
            <w:vMerge w:val="restart"/>
            <w:tcBorders>
              <w:top w:val="single" w:sz="4" w:space="0" w:color="000000"/>
              <w:left w:val="single" w:sz="4" w:space="0" w:color="000000"/>
              <w:bottom w:val="single" w:sz="4" w:space="0" w:color="000000"/>
              <w:right w:val="single" w:sz="4" w:space="0" w:color="000000"/>
            </w:tcBorders>
            <w:noWrap/>
          </w:tcPr>
          <w:p w:rsidR="00E618FE" w:rsidRPr="00535A4B" w:rsidRDefault="00E618FE">
            <w:pPr>
              <w:jc w:val="both"/>
            </w:pPr>
          </w:p>
        </w:tc>
        <w:tc>
          <w:tcPr>
            <w:tcW w:w="2972" w:type="dxa"/>
            <w:gridSpan w:val="5"/>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Инвестиции в основной капитал (без субъектов малого предпринимательства)</w:t>
            </w:r>
          </w:p>
        </w:tc>
        <w:tc>
          <w:tcPr>
            <w:tcW w:w="2973" w:type="dxa"/>
            <w:gridSpan w:val="5"/>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 xml:space="preserve">Отгружено товаров собственного производства, выполнено работ и услуг собственными силами </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3515" w:type="dxa"/>
            <w:vMerge/>
            <w:tcBorders>
              <w:top w:val="single" w:sz="4" w:space="0" w:color="000000"/>
              <w:left w:val="single" w:sz="4" w:space="0" w:color="000000"/>
              <w:bottom w:val="single" w:sz="4" w:space="0" w:color="000000"/>
              <w:right w:val="single" w:sz="4" w:space="0" w:color="000000"/>
            </w:tcBorders>
            <w:noWrap/>
          </w:tcPr>
          <w:p w:rsidR="00E618FE" w:rsidRPr="00535A4B" w:rsidRDefault="00E618FE">
            <w:pPr>
              <w:jc w:val="both"/>
            </w:pPr>
          </w:p>
        </w:tc>
        <w:tc>
          <w:tcPr>
            <w:tcW w:w="990" w:type="dxa"/>
            <w:gridSpan w:val="2"/>
            <w:tcBorders>
              <w:left w:val="single" w:sz="4" w:space="0" w:color="000000"/>
              <w:bottom w:val="single" w:sz="12" w:space="0" w:color="999999" w:themeColor="text1" w:themeTint="66"/>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2024 г.</w:t>
            </w:r>
          </w:p>
        </w:tc>
        <w:tc>
          <w:tcPr>
            <w:tcW w:w="991" w:type="dxa"/>
            <w:tcBorders>
              <w:bottom w:val="single" w:sz="12" w:space="0" w:color="999999" w:themeColor="text1" w:themeTint="66"/>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2030 г.</w:t>
            </w:r>
          </w:p>
        </w:tc>
        <w:tc>
          <w:tcPr>
            <w:tcW w:w="991" w:type="dxa"/>
            <w:gridSpan w:val="2"/>
            <w:tcBorders>
              <w:bottom w:val="single" w:sz="12" w:space="0" w:color="999999" w:themeColor="text1" w:themeTint="66"/>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2036 г.</w:t>
            </w:r>
          </w:p>
        </w:tc>
        <w:tc>
          <w:tcPr>
            <w:tcW w:w="991" w:type="dxa"/>
            <w:tcBorders>
              <w:bottom w:val="single" w:sz="12" w:space="0" w:color="999999" w:themeColor="text1" w:themeTint="66"/>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2025 г.</w:t>
            </w:r>
          </w:p>
        </w:tc>
        <w:tc>
          <w:tcPr>
            <w:tcW w:w="991" w:type="dxa"/>
            <w:gridSpan w:val="2"/>
            <w:tcBorders>
              <w:bottom w:val="single" w:sz="12" w:space="0" w:color="999999" w:themeColor="text1" w:themeTint="66"/>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2030 г.</w:t>
            </w:r>
          </w:p>
        </w:tc>
        <w:tc>
          <w:tcPr>
            <w:tcW w:w="991" w:type="dxa"/>
            <w:gridSpan w:val="2"/>
            <w:tcBorders>
              <w:bottom w:val="single" w:sz="12" w:space="0" w:color="999999" w:themeColor="text1" w:themeTint="66"/>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2036 г.</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3515"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Томская агломерация</w:t>
            </w:r>
          </w:p>
        </w:tc>
        <w:tc>
          <w:tcPr>
            <w:tcW w:w="9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66,8</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74,0</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77,4</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63,2</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65,0</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68,3</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3515"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 xml:space="preserve">Восточная группа районов </w:t>
            </w:r>
          </w:p>
        </w:tc>
        <w:tc>
          <w:tcPr>
            <w:tcW w:w="9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1,5</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2,1</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2,3</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1,1</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1,2</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1,4</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3515"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 xml:space="preserve">Южная группа районов </w:t>
            </w:r>
          </w:p>
        </w:tc>
        <w:tc>
          <w:tcPr>
            <w:tcW w:w="9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0,9</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0,8</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0,5</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0,6</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0,7</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3515"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 xml:space="preserve">Средняя группа районов </w:t>
            </w:r>
          </w:p>
        </w:tc>
        <w:tc>
          <w:tcPr>
            <w:tcW w:w="9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20,0</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17,5</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16,7</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26,6</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26,3</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24,7</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3515"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Северная группа районов</w:t>
            </w:r>
          </w:p>
        </w:tc>
        <w:tc>
          <w:tcPr>
            <w:tcW w:w="9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10,7</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5,5</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2,8</w:t>
            </w:r>
          </w:p>
        </w:tc>
        <w:tc>
          <w:tcPr>
            <w:tcW w:w="991" w:type="dxa"/>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8,6</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6,9</w:t>
            </w:r>
          </w:p>
        </w:tc>
        <w:tc>
          <w:tcPr>
            <w:tcW w:w="991"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4,9</w:t>
            </w:r>
          </w:p>
        </w:tc>
      </w:tr>
      <w:tr w:rsidR="00E618FE" w:rsidRPr="00535A4B" w:rsidTr="00E618FE">
        <w:trPr>
          <w:trHeight w:val="315"/>
        </w:trPr>
        <w:tc>
          <w:tcPr>
            <w:cnfStyle w:val="001000000000" w:firstRow="0" w:lastRow="0" w:firstColumn="1" w:lastColumn="0" w:oddVBand="0" w:evenVBand="0" w:oddHBand="0" w:evenHBand="0" w:firstRowFirstColumn="0" w:firstRowLastColumn="0" w:lastRowFirstColumn="0" w:lastRowLastColumn="0"/>
            <w:tcW w:w="9460" w:type="dxa"/>
            <w:gridSpan w:val="11"/>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pPr>
            <w:r w:rsidRPr="00535A4B">
              <w:t>Распределение населения по группам районов области, %</w:t>
            </w:r>
          </w:p>
        </w:tc>
      </w:tr>
      <w:tr w:rsidR="00E618FE" w:rsidRPr="00535A4B" w:rsidTr="00E618FE">
        <w:trPr>
          <w:gridAfter w:val="1"/>
          <w:wAfter w:w="37" w:type="dxa"/>
          <w:trHeight w:val="315"/>
        </w:trPr>
        <w:tc>
          <w:tcPr>
            <w:cnfStyle w:val="001000000000" w:firstRow="0" w:lastRow="0" w:firstColumn="1" w:lastColumn="0" w:oddVBand="0" w:evenVBand="0" w:oddHBand="0" w:evenHBand="0" w:firstRowFirstColumn="0" w:firstRowLastColumn="0" w:lastRowFirstColumn="0" w:lastRowLastColumn="0"/>
            <w:tcW w:w="43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E618FE">
            <w:pPr>
              <w:jc w:val="both"/>
            </w:pPr>
          </w:p>
        </w:tc>
        <w:tc>
          <w:tcPr>
            <w:tcW w:w="1677"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2025 г.</w:t>
            </w:r>
          </w:p>
        </w:tc>
        <w:tc>
          <w:tcPr>
            <w:tcW w:w="1678"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2030 г.</w:t>
            </w:r>
          </w:p>
        </w:tc>
        <w:tc>
          <w:tcPr>
            <w:tcW w:w="1678"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2036 г.</w:t>
            </w:r>
          </w:p>
        </w:tc>
      </w:tr>
      <w:tr w:rsidR="00E618FE" w:rsidRPr="00535A4B" w:rsidTr="00E618FE">
        <w:trPr>
          <w:gridAfter w:val="1"/>
          <w:wAfter w:w="37" w:type="dxa"/>
          <w:trHeight w:val="315"/>
        </w:trPr>
        <w:tc>
          <w:tcPr>
            <w:cnfStyle w:val="001000000000" w:firstRow="0" w:lastRow="0" w:firstColumn="1" w:lastColumn="0" w:oddVBand="0" w:evenVBand="0" w:oddHBand="0" w:evenHBand="0" w:firstRowFirstColumn="0" w:firstRowLastColumn="0" w:lastRowFirstColumn="0" w:lastRowLastColumn="0"/>
            <w:tcW w:w="43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Томская агломерация</w:t>
            </w:r>
          </w:p>
        </w:tc>
        <w:tc>
          <w:tcPr>
            <w:tcW w:w="1677"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73,7</w:t>
            </w:r>
          </w:p>
        </w:tc>
        <w:tc>
          <w:tcPr>
            <w:tcW w:w="1678"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74,9</w:t>
            </w:r>
          </w:p>
        </w:tc>
        <w:tc>
          <w:tcPr>
            <w:tcW w:w="1678"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76,3</w:t>
            </w:r>
          </w:p>
        </w:tc>
      </w:tr>
      <w:tr w:rsidR="00E618FE" w:rsidRPr="00535A4B" w:rsidTr="00E618FE">
        <w:trPr>
          <w:gridAfter w:val="1"/>
          <w:wAfter w:w="37" w:type="dxa"/>
          <w:trHeight w:val="315"/>
        </w:trPr>
        <w:tc>
          <w:tcPr>
            <w:cnfStyle w:val="001000000000" w:firstRow="0" w:lastRow="0" w:firstColumn="1" w:lastColumn="0" w:oddVBand="0" w:evenVBand="0" w:oddHBand="0" w:evenHBand="0" w:firstRowFirstColumn="0" w:firstRowLastColumn="0" w:lastRowFirstColumn="0" w:lastRowLastColumn="0"/>
            <w:tcW w:w="43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 xml:space="preserve">Восточная группа районов </w:t>
            </w:r>
          </w:p>
        </w:tc>
        <w:tc>
          <w:tcPr>
            <w:tcW w:w="1677"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7,8</w:t>
            </w:r>
          </w:p>
        </w:tc>
        <w:tc>
          <w:tcPr>
            <w:tcW w:w="1678"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7,5</w:t>
            </w:r>
          </w:p>
        </w:tc>
        <w:tc>
          <w:tcPr>
            <w:tcW w:w="1678"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7,1</w:t>
            </w:r>
          </w:p>
        </w:tc>
      </w:tr>
      <w:tr w:rsidR="00E618FE" w:rsidRPr="00535A4B" w:rsidTr="00E618FE">
        <w:trPr>
          <w:gridAfter w:val="1"/>
          <w:wAfter w:w="37" w:type="dxa"/>
          <w:trHeight w:val="315"/>
        </w:trPr>
        <w:tc>
          <w:tcPr>
            <w:cnfStyle w:val="001000000000" w:firstRow="0" w:lastRow="0" w:firstColumn="1" w:lastColumn="0" w:oddVBand="0" w:evenVBand="0" w:oddHBand="0" w:evenHBand="0" w:firstRowFirstColumn="0" w:firstRowLastColumn="0" w:lastRowFirstColumn="0" w:lastRowLastColumn="0"/>
            <w:tcW w:w="43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 xml:space="preserve">Южная группа районов </w:t>
            </w:r>
          </w:p>
        </w:tc>
        <w:tc>
          <w:tcPr>
            <w:tcW w:w="1677"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8,2</w:t>
            </w:r>
          </w:p>
        </w:tc>
        <w:tc>
          <w:tcPr>
            <w:tcW w:w="1678"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8,0</w:t>
            </w:r>
          </w:p>
        </w:tc>
        <w:tc>
          <w:tcPr>
            <w:tcW w:w="1678"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7,8</w:t>
            </w:r>
          </w:p>
        </w:tc>
      </w:tr>
      <w:tr w:rsidR="00E618FE" w:rsidRPr="00535A4B" w:rsidTr="00E618FE">
        <w:trPr>
          <w:gridAfter w:val="1"/>
          <w:wAfter w:w="37" w:type="dxa"/>
          <w:trHeight w:val="315"/>
        </w:trPr>
        <w:tc>
          <w:tcPr>
            <w:cnfStyle w:val="001000000000" w:firstRow="0" w:lastRow="0" w:firstColumn="1" w:lastColumn="0" w:oddVBand="0" w:evenVBand="0" w:oddHBand="0" w:evenHBand="0" w:firstRowFirstColumn="0" w:firstRowLastColumn="0" w:lastRowFirstColumn="0" w:lastRowLastColumn="0"/>
            <w:tcW w:w="43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 xml:space="preserve">Средняя группа районов </w:t>
            </w:r>
          </w:p>
        </w:tc>
        <w:tc>
          <w:tcPr>
            <w:tcW w:w="1677"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6,0</w:t>
            </w:r>
          </w:p>
        </w:tc>
        <w:tc>
          <w:tcPr>
            <w:tcW w:w="1678"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5,6</w:t>
            </w:r>
          </w:p>
        </w:tc>
        <w:tc>
          <w:tcPr>
            <w:tcW w:w="1678"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5,1</w:t>
            </w:r>
          </w:p>
        </w:tc>
      </w:tr>
      <w:tr w:rsidR="00E618FE" w:rsidRPr="00535A4B" w:rsidTr="00E618FE">
        <w:trPr>
          <w:gridAfter w:val="1"/>
          <w:wAfter w:w="37" w:type="dxa"/>
          <w:trHeight w:val="315"/>
        </w:trPr>
        <w:tc>
          <w:tcPr>
            <w:cnfStyle w:val="001000000000" w:firstRow="0" w:lastRow="0" w:firstColumn="1" w:lastColumn="0" w:oddVBand="0" w:evenVBand="0" w:oddHBand="0" w:evenHBand="0" w:firstRowFirstColumn="0" w:firstRowLastColumn="0" w:lastRowFirstColumn="0" w:lastRowLastColumn="0"/>
            <w:tcW w:w="4390"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both"/>
            </w:pPr>
            <w:r w:rsidRPr="00535A4B">
              <w:rPr>
                <w:b w:val="0"/>
                <w:bCs w:val="0"/>
              </w:rPr>
              <w:t>Северная группа районов</w:t>
            </w:r>
          </w:p>
        </w:tc>
        <w:tc>
          <w:tcPr>
            <w:tcW w:w="1677"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4,3</w:t>
            </w:r>
          </w:p>
        </w:tc>
        <w:tc>
          <w:tcPr>
            <w:tcW w:w="1678" w:type="dxa"/>
            <w:gridSpan w:val="3"/>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4,0</w:t>
            </w:r>
          </w:p>
        </w:tc>
        <w:tc>
          <w:tcPr>
            <w:tcW w:w="1678" w:type="dxa"/>
            <w:gridSpan w:val="2"/>
            <w:tcBorders>
              <w:top w:val="single" w:sz="4" w:space="0" w:color="000000"/>
              <w:left w:val="single" w:sz="4" w:space="0" w:color="000000"/>
              <w:bottom w:val="single" w:sz="4" w:space="0" w:color="000000"/>
              <w:right w:val="single" w:sz="4" w:space="0" w:color="000000"/>
            </w:tcBorders>
            <w:noWrap/>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pPr>
            <w:r w:rsidRPr="00535A4B">
              <w:t>3,7</w:t>
            </w:r>
            <w:bookmarkEnd w:id="244"/>
          </w:p>
        </w:tc>
      </w:tr>
    </w:tbl>
    <w:p w:rsidR="00E618FE" w:rsidRPr="00535A4B" w:rsidRDefault="00E618FE">
      <w:pPr>
        <w:pStyle w:val="1f8"/>
        <w:rPr>
          <w:rFonts w:ascii="Times New Roman" w:eastAsia="PT Astra Serif" w:hAnsi="Times New Roman" w:cs="Times New Roman"/>
          <w:lang w:val="ru-RU"/>
        </w:rPr>
        <w:sectPr w:rsidR="00E618FE" w:rsidRPr="00535A4B">
          <w:pgSz w:w="11906" w:h="16838"/>
          <w:pgMar w:top="1134" w:right="850" w:bottom="1134" w:left="1701" w:header="708" w:footer="708" w:gutter="0"/>
          <w:cols w:space="708"/>
          <w:docGrid w:linePitch="360"/>
        </w:sectPr>
      </w:pPr>
    </w:p>
    <w:p w:rsidR="00E618FE" w:rsidRPr="00535A4B" w:rsidRDefault="00800098">
      <w:pPr>
        <w:pStyle w:val="1f8"/>
        <w:rPr>
          <w:rFonts w:ascii="Times New Roman" w:eastAsia="PT Astra Serif" w:hAnsi="Times New Roman" w:cs="Times New Roman"/>
          <w:lang w:val="ru-RU"/>
        </w:rPr>
      </w:pPr>
      <w:bookmarkStart w:id="260" w:name="_Toc235810182"/>
      <w:bookmarkStart w:id="261" w:name="_Toc238554570"/>
      <w:bookmarkStart w:id="262" w:name="_Hlk230757616"/>
      <w:bookmarkStart w:id="263" w:name="_Hlk228385863"/>
      <w:r w:rsidRPr="00535A4B">
        <w:rPr>
          <w:rFonts w:ascii="Times New Roman" w:eastAsia="PT Astra Serif" w:hAnsi="Times New Roman" w:cs="Times New Roman"/>
          <w:lang w:val="ru-RU"/>
        </w:rPr>
        <w:lastRenderedPageBreak/>
        <w:t>Приложение Б</w:t>
      </w:r>
      <w:bookmarkEnd w:id="260"/>
      <w:bookmarkEnd w:id="261"/>
    </w:p>
    <w:p w:rsidR="00E618FE" w:rsidRPr="00535A4B" w:rsidRDefault="00800098">
      <w:pPr>
        <w:pStyle w:val="2f"/>
        <w:rPr>
          <w:rFonts w:ascii="Times New Roman" w:eastAsia="PT Astra Serif" w:hAnsi="Times New Roman" w:cs="Times New Roman"/>
        </w:rPr>
      </w:pPr>
      <w:bookmarkStart w:id="264" w:name="_Toc235810183"/>
      <w:bookmarkStart w:id="265" w:name="_Toc238554571"/>
      <w:r w:rsidRPr="00535A4B">
        <w:rPr>
          <w:rFonts w:ascii="Times New Roman" w:eastAsia="PT Astra Serif" w:hAnsi="Times New Roman" w:cs="Times New Roman"/>
        </w:rPr>
        <w:t xml:space="preserve">Сведения о кадровой потребности по видам экономической деятельности </w:t>
      </w:r>
      <w:r w:rsidRPr="00535A4B">
        <w:rPr>
          <w:rFonts w:ascii="Times New Roman" w:eastAsia="Times New Roman" w:hAnsi="Times New Roman" w:cs="Times New Roman"/>
          <w:szCs w:val="24"/>
          <w:lang w:eastAsia="ar-SA"/>
        </w:rPr>
        <w:t>Томской области до 2036 года</w:t>
      </w:r>
      <w:bookmarkEnd w:id="264"/>
      <w:bookmarkEnd w:id="265"/>
    </w:p>
    <w:p w:rsidR="00E618FE" w:rsidRPr="00535A4B" w:rsidRDefault="00800098">
      <w:pPr>
        <w:pStyle w:val="aff"/>
        <w:rPr>
          <w:rFonts w:ascii="Times New Roman" w:hAnsi="Times New Roman"/>
          <w:lang w:val="ru-RU"/>
        </w:rPr>
      </w:pPr>
      <w:r w:rsidRPr="00535A4B">
        <w:rPr>
          <w:rFonts w:ascii="Times New Roman" w:hAnsi="Times New Roman"/>
          <w:lang w:val="ru-RU"/>
        </w:rPr>
        <w:t xml:space="preserve">Таблица Б.1. Сведения о кадровой потребности по видам экономической деятельности до 2036 года </w:t>
      </w:r>
    </w:p>
    <w:tbl>
      <w:tblPr>
        <w:tblStyle w:val="-14"/>
        <w:tblW w:w="14524" w:type="dxa"/>
        <w:tblLayout w:type="fixed"/>
        <w:tblCellMar>
          <w:top w:w="57" w:type="dxa"/>
          <w:bottom w:w="57" w:type="dxa"/>
        </w:tblCellMar>
        <w:tblLook w:val="04A0" w:firstRow="1" w:lastRow="0" w:firstColumn="1" w:lastColumn="0" w:noHBand="0" w:noVBand="1"/>
      </w:tblPr>
      <w:tblGrid>
        <w:gridCol w:w="620"/>
        <w:gridCol w:w="2495"/>
        <w:gridCol w:w="2267"/>
        <w:gridCol w:w="2693"/>
        <w:gridCol w:w="6449"/>
      </w:tblGrid>
      <w:tr w:rsidR="00E618FE" w:rsidRPr="00535A4B" w:rsidTr="00E618F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pPr>
            <w:r w:rsidRPr="00535A4B">
              <w:rPr>
                <w:b w:val="0"/>
                <w:bCs w:val="0"/>
              </w:rPr>
              <w:t>№ п/п</w:t>
            </w:r>
          </w:p>
        </w:tc>
        <w:tc>
          <w:tcPr>
            <w:tcW w:w="249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Вид экономической деятельности (ОКВЭД 2)</w:t>
            </w:r>
          </w:p>
        </w:tc>
        <w:tc>
          <w:tcPr>
            <w:tcW w:w="226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Численность занятых в 2025 г. (оценка), тыс. чел.</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 xml:space="preserve">Совокупная кадровая потребность </w:t>
            </w:r>
            <w:r w:rsidRPr="00535A4B">
              <w:rPr>
                <w:b w:val="0"/>
                <w:bCs w:val="0"/>
              </w:rPr>
              <w:br/>
              <w:t>на 2026 – 2036 гг.,</w:t>
            </w:r>
            <w:r w:rsidRPr="00535A4B">
              <w:rPr>
                <w:b w:val="0"/>
                <w:bCs w:val="0"/>
              </w:rPr>
              <w:br/>
              <w:t xml:space="preserve">  тыс. чел.</w:t>
            </w:r>
          </w:p>
        </w:tc>
        <w:tc>
          <w:tcPr>
            <w:tcW w:w="644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pPr>
            <w:r w:rsidRPr="00535A4B">
              <w:rPr>
                <w:b w:val="0"/>
                <w:bCs w:val="0"/>
              </w:rPr>
              <w:t>Основной источник / Обоснование</w:t>
            </w:r>
          </w:p>
        </w:tc>
      </w:tr>
      <w:tr w:rsidR="00E618FE" w:rsidRPr="00535A4B" w:rsidTr="00E618FE">
        <w:trPr>
          <w:cantSplit/>
          <w:trHeight w:val="1209"/>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1.</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Обрабатывающие производства</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66,3</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24,5</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Ядро технологического суверенитета. Реализация проектов БРЕСТ-ОД-300, кластеров (электроника, беспилотники, химия).</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приложение № 3 к Прогнозу (инвестиционные проекты), паспорт НП «Новые материалы и химия»</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2.</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Торговля оптовая </w:t>
            </w:r>
            <w:r w:rsidRPr="00535A4B">
              <w:rPr>
                <w:lang w:eastAsia="ar-SA"/>
              </w:rPr>
              <w:br/>
              <w:t>и розничная; ремонт автотранспортных средств</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97,7</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23,0</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Крупнейший сектор занятости. Высокая текучесть кадров, развитие маркетплейсов и логистики.</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приложение № 9 к Прогнозу (баланс трудовых ресурсов)</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3.</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Строительство</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37,7</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18,0</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Строительство кампуса, жилых микрорайонов (Южные ворота-2, Левобережный), третьего моста через Томь, дорог. Дефицит рабочих специальностей.</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4.5 Прогноза, приложение № 8 (капитальное строительство)</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4.</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Образование</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49,4</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14, 0</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Высокий уровень выбытия (старение педагогических кадров). Строительство новых школ и открытие центров дополнительного образования.</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3.2 отчета Губернатора Томской области, приложение № 9 к Прогнозу</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5.</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Транспортировка и хранение</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40,5</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13,5</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Развитие Северной широтной дороги, авиаузла «Богашево», логистических центров. Дефицит водителей и диспетчеров.</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4.2 Прогноза (развитие транспорта)</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lastRenderedPageBreak/>
              <w:t>6.</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Здравоохранение и социальные услуги</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35,1</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13,0</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Открытие новых поликлиник (Восточный, Южные ворота), развитие гериатрии и паллиатива. Программы «Земский доктор/фельдшер».</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4.1 Прогноза, паспорт нацпроекта «Продолжительная и активная жизнь»</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7.</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Добыча полезных ископаемых</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11,0</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9,0</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Разработка новых месторождений (Нежданный мыс, Павловское), поддержание действующих мощностей. Высокая выработка месторождений.</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4.2 Прогноза (раздел В)</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8.</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Государственное управление и обеспечение военной безопасности</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28,2</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8,5</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Ротация госслужащих, внедрение цифровых сервисов (сокращение низкой квалификации, рост спроса </w:t>
            </w:r>
            <w:r w:rsidRPr="00535A4B">
              <w:rPr>
                <w:lang w:eastAsia="ar-SA"/>
              </w:rPr>
              <w:br/>
              <w:t>на ИТ-специалистов в госорганах).</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Приложение № 9 к Прогнозу</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9.</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Сельское, лесное хозяйство, охота, рыболовство,</w:t>
            </w:r>
            <w:r w:rsidRPr="00535A4B">
              <w:rPr>
                <w:sz w:val="22"/>
                <w:szCs w:val="22"/>
              </w:rPr>
              <w:t xml:space="preserve"> ветеринария</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22,4</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8,0</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Агрохолдинг «Сибагро», молочные комплексы (ООО «Большедороховское молоко»), рыбопереработка. Востребованы ветеринары и агрономы. </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i/>
                <w:lang w:eastAsia="ar-SA"/>
              </w:rPr>
              <w:t>Источник: раздел 4.3 Прогноза, перечень инвестиционных проектов</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10.</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Деятельность профессиональная, научная и техническая</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24,7</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7,5</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Развитие НОЦ мирового уровня, передовых инженерных школ. «Утечка мозгов» (70% иногородних выпускников уезжают).</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1.3 отчета Губернатора Томкой области, раздел 4.2 Прогноза</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lastRenderedPageBreak/>
              <w:t>11.</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Обеспечение электрической энергией, газом и паром</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12,1</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6,0</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Модернизация Северской ТЭЦ, ввод энергоблока БРЕСТ-ОД-300 (2028 г.), обслуживание сетей.</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4.2 Прогноза (раздел D)</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5" w:right="-183"/>
              <w:rPr>
                <w:lang w:eastAsia="ar-SA"/>
              </w:rPr>
            </w:pPr>
            <w:r w:rsidRPr="00535A4B">
              <w:rPr>
                <w:b w:val="0"/>
                <w:bCs w:val="0"/>
                <w:lang w:eastAsia="ar-SA"/>
              </w:rPr>
              <w:t>12.</w:t>
            </w:r>
          </w:p>
        </w:tc>
        <w:tc>
          <w:tcPr>
            <w:tcW w:w="249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Деятельность в области информации и связи (IT)</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12,7</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5,5</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Цифровая трансформация госуправления, развитие БАС (беспилотники), создание IT-кластера. Рост внутреннего спроса.</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промышленный кластер «Электроника и БАС», НП «Экономика данных»</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3115" w:type="dxa"/>
            <w:gridSpan w:val="2"/>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rPr>
                <w:lang w:eastAsia="ar-SA"/>
              </w:rPr>
            </w:pPr>
            <w:r w:rsidRPr="00535A4B">
              <w:rPr>
                <w:b w:val="0"/>
                <w:bCs w:val="0"/>
                <w:lang w:eastAsia="ar-SA"/>
              </w:rPr>
              <w:t xml:space="preserve">ИТОГО </w:t>
            </w:r>
          </w:p>
          <w:p w:rsidR="00E618FE" w:rsidRPr="00535A4B" w:rsidRDefault="00800098">
            <w:pPr>
              <w:jc w:val="center"/>
              <w:rPr>
                <w:lang w:eastAsia="ar-SA"/>
              </w:rPr>
            </w:pPr>
            <w:r w:rsidRPr="00535A4B">
              <w:rPr>
                <w:b w:val="0"/>
                <w:bCs w:val="0"/>
                <w:lang w:eastAsia="ar-SA"/>
              </w:rPr>
              <w:t>по всем видам деятельности</w:t>
            </w:r>
          </w:p>
        </w:tc>
        <w:tc>
          <w:tcPr>
            <w:tcW w:w="2267"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left" w:pos="1987"/>
              </w:tabs>
              <w:ind w:left="-203"/>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~508,1</w:t>
            </w:r>
          </w:p>
        </w:tc>
        <w:tc>
          <w:tcPr>
            <w:tcW w:w="269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~150,5</w:t>
            </w:r>
          </w:p>
        </w:tc>
        <w:tc>
          <w:tcPr>
            <w:tcW w:w="6449"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Совокупная потребность в кадрах для обеспечения экономики региона до 2036 г. (с учетом коэффициента выбытия ~3,5% в год и создания новых рабочих мест)</w:t>
            </w:r>
          </w:p>
        </w:tc>
      </w:tr>
    </w:tbl>
    <w:p w:rsidR="00E618FE" w:rsidRPr="00535A4B" w:rsidRDefault="00800098">
      <w:pPr>
        <w:pStyle w:val="affffff8"/>
        <w:rPr>
          <w:rFonts w:ascii="Times New Roman" w:hAnsi="Times New Roman" w:cs="Times New Roman"/>
          <w:color w:val="auto"/>
        </w:rPr>
      </w:pPr>
      <w:r w:rsidRPr="00535A4B">
        <w:rPr>
          <w:rFonts w:ascii="Times New Roman" w:hAnsi="Times New Roman" w:cs="Times New Roman"/>
          <w:color w:val="auto"/>
        </w:rPr>
        <w:t>Источники: Правительство Томской области, аналитические материалы «Работа России».</w:t>
      </w:r>
    </w:p>
    <w:p w:rsidR="00E618FE" w:rsidRPr="00535A4B" w:rsidRDefault="00800098">
      <w:pPr>
        <w:spacing w:after="160" w:line="259" w:lineRule="auto"/>
        <w:rPr>
          <w:sz w:val="28"/>
          <w:lang w:eastAsia="ar-SA"/>
        </w:rPr>
      </w:pPr>
      <w:r w:rsidRPr="00535A4B">
        <w:rPr>
          <w:sz w:val="28"/>
          <w:lang w:eastAsia="ar-SA"/>
        </w:rPr>
        <w:br w:type="page" w:clear="all"/>
      </w:r>
    </w:p>
    <w:p w:rsidR="00E618FE" w:rsidRPr="00535A4B" w:rsidRDefault="00800098">
      <w:pPr>
        <w:pStyle w:val="aff"/>
        <w:rPr>
          <w:rFonts w:ascii="Times New Roman" w:hAnsi="Times New Roman"/>
          <w:lang w:val="ru-RU"/>
        </w:rPr>
      </w:pPr>
      <w:r w:rsidRPr="00535A4B">
        <w:rPr>
          <w:rFonts w:ascii="Times New Roman" w:hAnsi="Times New Roman"/>
          <w:lang w:val="ru-RU"/>
        </w:rPr>
        <w:lastRenderedPageBreak/>
        <w:t xml:space="preserve">Таблица Б.2. Сведения о кадровой потребности Томской области по муниципальным образованиям до 2036 года </w:t>
      </w:r>
    </w:p>
    <w:tbl>
      <w:tblPr>
        <w:tblStyle w:val="-14"/>
        <w:tblW w:w="0" w:type="auto"/>
        <w:tblLayout w:type="fixed"/>
        <w:tblCellMar>
          <w:top w:w="28" w:type="dxa"/>
          <w:left w:w="57" w:type="dxa"/>
          <w:bottom w:w="28" w:type="dxa"/>
          <w:right w:w="57" w:type="dxa"/>
        </w:tblCellMar>
        <w:tblLook w:val="04A0" w:firstRow="1" w:lastRow="0" w:firstColumn="1" w:lastColumn="0" w:noHBand="0" w:noVBand="1"/>
      </w:tblPr>
      <w:tblGrid>
        <w:gridCol w:w="457"/>
        <w:gridCol w:w="2255"/>
        <w:gridCol w:w="2034"/>
        <w:gridCol w:w="1612"/>
        <w:gridCol w:w="2446"/>
        <w:gridCol w:w="5756"/>
      </w:tblGrid>
      <w:tr w:rsidR="00E618FE" w:rsidRPr="00535A4B" w:rsidTr="00E618FE">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rPr>
                <w:lang w:eastAsia="ar-SA"/>
              </w:rPr>
            </w:pPr>
            <w:r w:rsidRPr="00535A4B">
              <w:rPr>
                <w:b w:val="0"/>
                <w:bCs w:val="0"/>
                <w:lang w:eastAsia="ar-SA"/>
              </w:rPr>
              <w:t>№</w:t>
            </w:r>
          </w:p>
          <w:p w:rsidR="00E618FE" w:rsidRPr="00535A4B" w:rsidRDefault="00800098">
            <w:pPr>
              <w:jc w:val="center"/>
              <w:rPr>
                <w:lang w:eastAsia="ar-SA"/>
              </w:rPr>
            </w:pPr>
            <w:r w:rsidRPr="00535A4B">
              <w:rPr>
                <w:b w:val="0"/>
                <w:bCs w:val="0"/>
                <w:lang w:eastAsia="ar-SA"/>
              </w:rPr>
              <w:t>п/п</w:t>
            </w:r>
          </w:p>
        </w:tc>
        <w:tc>
          <w:tcPr>
            <w:tcW w:w="225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Муниципальное образование</w:t>
            </w:r>
          </w:p>
        </w:tc>
        <w:tc>
          <w:tcPr>
            <w:tcW w:w="20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Численность занятых (оценка 2025 г.), тыс. чел.</w:t>
            </w:r>
          </w:p>
        </w:tc>
        <w:tc>
          <w:tcPr>
            <w:tcW w:w="161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Доля в общей занятости, %</w:t>
            </w:r>
          </w:p>
        </w:tc>
        <w:tc>
          <w:tcPr>
            <w:tcW w:w="244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Прогнозная кадровая потребность на 2026 –2036 гг. (чел.)</w:t>
            </w:r>
          </w:p>
        </w:tc>
        <w:tc>
          <w:tcPr>
            <w:tcW w:w="575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Ключевые драйверы спроса</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г. Томск</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220,0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i/>
                <w:iCs/>
                <w:lang w:eastAsia="ar-SA"/>
              </w:rPr>
            </w:pPr>
            <w:r w:rsidRPr="00535A4B">
              <w:rPr>
                <w:lang w:eastAsia="ar-SA"/>
              </w:rPr>
              <w:t>42,5%</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64 000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Научно-образовательный комплекс, IT-кластер, промышленность (</w:t>
            </w:r>
            <w:r w:rsidRPr="00535A4B">
              <w:t>АО «НПФ «Микран»</w:t>
            </w:r>
            <w:r w:rsidRPr="00535A4B">
              <w:rPr>
                <w:lang w:eastAsia="ar-SA"/>
              </w:rPr>
              <w:t>, НИИПП, Томская генерация), строительство кампуса, жилья, здравоохранение, сфера услуг</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2.</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ЗАТО Северск</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47,0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9,1%</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13 700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Проект «Прорыв» (БРЕСТ-ОД-300), перспектива строительства АЭС, модернизация ТЭЦ, АО «СХК», кластер «Цветные и редкоземельные металлы» (Ильменит)</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3.</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Томский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42,0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8,1%</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12 200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 проект «Элеонор», жилая застройка (Южные ворота, Левобережный), АПК (АО «Сибагро», ООО «Межениновская птицефабрика», ООО «Большедороховское молоко»), логистика</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4.</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Стрежевой</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22,0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4,5%</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6 800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Нефтедобыча (ООО «Газпромнефть-Восток», АО «Томскнефть» ВНК, Стрежевской НПЗ), разработка месторождения «Нежданный мыс»</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5.</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Асиновский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18,0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3,6%</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5 400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АО «Сибагро» (свинокомплекс), ООО «Асиновский завод МДФ», деревообработка, газификация</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6.</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Каргасокский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15,0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3,0%</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4 500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Нефтегазодобыча (АО «Газпром добыча Томск»), лесозаготовка, вертолетное сообщение</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7.</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Кожевниковский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14,0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2,8%</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4 200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Строительство нового микрорайона, АПК (молочное животноводство, сыроделие)</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8.</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Колпашевский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13,0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2,6%</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4 000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Лесное хозяйство, речной порт, рыбопереработка, дорожное строительство</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9.</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Верхнекетский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10,0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2,0%</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3 000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Нефтедобыча, лесозаготовка, молодежный центр</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lastRenderedPageBreak/>
              <w:t>10.</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Парабельский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1,8%</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2 700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Нефтедобыча, лесозаготовка, туризм (рыболовный туризм, Васюганские болота)</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11.</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Бакчарский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7,0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1,4%</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2 100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АПК (молочное животноводство), пищевая промышленность, газификация</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12.</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Кривошеинский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1,2%</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1 800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АПК (молочное животноводство), деревообработка</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13.</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Молчановский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1,2%</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1 800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Лесопереработка, АПК, строительство социальных объектов (общежитие техникума, газовая котельная)</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14.</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Зырянский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1,0%</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1 500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АПК (молочное животноводство), пищевая промышленность (сыроварение), газификация</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15.</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Шегарский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1,0%</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1 500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АПК (молочное животноводство, свиноводство), дорожное строительство</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16.</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Александровский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4,1</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1,6%</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2 400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Нефтегазодобыча (Александровский НПЗ), лесозаготовка</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17.</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Чаинский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0,8%</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1 200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АПК (молочное животноводство), лесозаготовка</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18.</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Первомайский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4,0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0,8%</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1 200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АПК (молочное животноводство), лесозаготовка, реконструкция водоснабжения</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19.</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Тегульдетский район</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0,6%</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900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Лесозаготовка, капитальный ремонт школ и детских садов, пожарная часть</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457"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20.</w:t>
            </w:r>
          </w:p>
        </w:tc>
        <w:tc>
          <w:tcPr>
            <w:tcW w:w="2255"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г. Кедровый</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2,0</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0,4%</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600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Нефтедобыча, газовая котельная (модернизация энергетики)</w:t>
            </w:r>
          </w:p>
        </w:tc>
      </w:tr>
      <w:tr w:rsidR="00E618FE" w:rsidRPr="00535A4B" w:rsidTr="00E618FE">
        <w:trPr>
          <w:trHeight w:val="20"/>
        </w:trPr>
        <w:tc>
          <w:tcPr>
            <w:cnfStyle w:val="001000000000" w:firstRow="0" w:lastRow="0" w:firstColumn="1" w:lastColumn="0" w:oddVBand="0" w:evenVBand="0" w:oddHBand="0" w:evenHBand="0" w:firstRowFirstColumn="0" w:firstRowLastColumn="0" w:lastRowFirstColumn="0" w:lastRowLastColumn="0"/>
            <w:tcW w:w="2712" w:type="dxa"/>
            <w:gridSpan w:val="2"/>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rPr>
                <w:lang w:eastAsia="ar-SA"/>
              </w:rPr>
            </w:pPr>
            <w:r w:rsidRPr="00535A4B">
              <w:rPr>
                <w:b w:val="0"/>
                <w:bCs w:val="0"/>
                <w:lang w:eastAsia="ar-SA"/>
              </w:rPr>
              <w:t xml:space="preserve">ИТОГО </w:t>
            </w:r>
          </w:p>
          <w:p w:rsidR="00E618FE" w:rsidRPr="00535A4B" w:rsidRDefault="00800098">
            <w:pPr>
              <w:jc w:val="center"/>
              <w:rPr>
                <w:lang w:eastAsia="ar-SA"/>
              </w:rPr>
            </w:pPr>
            <w:r w:rsidRPr="00535A4B">
              <w:rPr>
                <w:b w:val="0"/>
                <w:bCs w:val="0"/>
                <w:lang w:eastAsia="ar-SA"/>
              </w:rPr>
              <w:t>по Томской области</w:t>
            </w:r>
          </w:p>
        </w:tc>
        <w:tc>
          <w:tcPr>
            <w:tcW w:w="2034"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508,1</w:t>
            </w:r>
          </w:p>
        </w:tc>
        <w:tc>
          <w:tcPr>
            <w:tcW w:w="161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100%</w:t>
            </w:r>
          </w:p>
        </w:tc>
        <w:tc>
          <w:tcPr>
            <w:tcW w:w="2446"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~150 500</w:t>
            </w:r>
          </w:p>
        </w:tc>
        <w:tc>
          <w:tcPr>
            <w:tcW w:w="5756" w:type="dxa"/>
            <w:tcBorders>
              <w:top w:val="single" w:sz="4" w:space="0" w:color="000000"/>
              <w:left w:val="single" w:sz="4" w:space="0" w:color="000000"/>
              <w:bottom w:val="single" w:sz="4" w:space="0" w:color="000000"/>
              <w:right w:val="single" w:sz="4" w:space="0" w:color="000000"/>
            </w:tcBorders>
          </w:tcPr>
          <w:p w:rsidR="00E618FE" w:rsidRPr="00535A4B" w:rsidRDefault="00E618FE">
            <w:pPr>
              <w:cnfStyle w:val="000000000000" w:firstRow="0" w:lastRow="0" w:firstColumn="0" w:lastColumn="0" w:oddVBand="0" w:evenVBand="0" w:oddHBand="0" w:evenHBand="0" w:firstRowFirstColumn="0" w:firstRowLastColumn="0" w:lastRowFirstColumn="0" w:lastRowLastColumn="0"/>
              <w:rPr>
                <w:lang w:eastAsia="ar-SA"/>
              </w:rPr>
            </w:pPr>
          </w:p>
        </w:tc>
      </w:tr>
    </w:tbl>
    <w:p w:rsidR="00E618FE" w:rsidRPr="00535A4B" w:rsidRDefault="00800098">
      <w:pPr>
        <w:pStyle w:val="affffff8"/>
        <w:rPr>
          <w:rFonts w:ascii="Times New Roman" w:hAnsi="Times New Roman" w:cs="Times New Roman"/>
          <w:color w:val="auto"/>
        </w:rPr>
      </w:pPr>
      <w:r w:rsidRPr="00535A4B">
        <w:rPr>
          <w:rFonts w:ascii="Times New Roman" w:hAnsi="Times New Roman" w:cs="Times New Roman"/>
          <w:color w:val="auto"/>
        </w:rPr>
        <w:t>Источники: Правительство Томской области, аналитические материалы «Работа России».</w:t>
      </w:r>
      <w:bookmarkEnd w:id="262"/>
    </w:p>
    <w:p w:rsidR="00E618FE" w:rsidRPr="00535A4B" w:rsidRDefault="00E618FE"/>
    <w:p w:rsidR="00E618FE" w:rsidRPr="00535A4B" w:rsidRDefault="00800098">
      <w:pPr>
        <w:spacing w:after="160" w:line="259" w:lineRule="auto"/>
        <w:rPr>
          <w:rFonts w:eastAsia="PT Astra Serif"/>
          <w:b/>
          <w:caps/>
          <w:sz w:val="28"/>
          <w:szCs w:val="32"/>
          <w:lang w:eastAsia="en-US" w:bidi="en-US"/>
        </w:rPr>
      </w:pPr>
      <w:r w:rsidRPr="00535A4B">
        <w:rPr>
          <w:rFonts w:eastAsia="PT Astra Serif"/>
        </w:rPr>
        <w:br w:type="page" w:clear="all"/>
      </w:r>
    </w:p>
    <w:p w:rsidR="00E618FE" w:rsidRPr="00535A4B" w:rsidRDefault="00800098">
      <w:pPr>
        <w:pStyle w:val="1f8"/>
        <w:rPr>
          <w:rFonts w:ascii="Times New Roman" w:eastAsia="PT Astra Serif" w:hAnsi="Times New Roman" w:cs="Times New Roman"/>
          <w:lang w:val="ru-RU"/>
        </w:rPr>
      </w:pPr>
      <w:bookmarkStart w:id="266" w:name="_Toc235810184"/>
      <w:bookmarkStart w:id="267" w:name="_Toc238554572"/>
      <w:bookmarkStart w:id="268" w:name="_Hlk231352161"/>
      <w:r w:rsidRPr="00535A4B">
        <w:rPr>
          <w:rFonts w:ascii="Times New Roman" w:eastAsia="PT Astra Serif" w:hAnsi="Times New Roman" w:cs="Times New Roman"/>
          <w:lang w:val="ru-RU"/>
        </w:rPr>
        <w:lastRenderedPageBreak/>
        <w:t>Приложение В</w:t>
      </w:r>
      <w:bookmarkEnd w:id="266"/>
      <w:bookmarkEnd w:id="267"/>
    </w:p>
    <w:p w:rsidR="00E618FE" w:rsidRPr="00535A4B" w:rsidRDefault="00800098">
      <w:pPr>
        <w:pStyle w:val="2f"/>
        <w:rPr>
          <w:rFonts w:ascii="Times New Roman" w:eastAsia="PT Astra Serif" w:hAnsi="Times New Roman" w:cs="Times New Roman"/>
        </w:rPr>
      </w:pPr>
      <w:bookmarkStart w:id="269" w:name="_Toc238554573"/>
      <w:r w:rsidRPr="00535A4B">
        <w:rPr>
          <w:rFonts w:ascii="Times New Roman" w:eastAsia="PT Astra Serif" w:hAnsi="Times New Roman" w:cs="Times New Roman"/>
        </w:rPr>
        <w:t>Св</w:t>
      </w:r>
      <w:bookmarkStart w:id="270" w:name="_Toc235810185"/>
      <w:r w:rsidRPr="00535A4B">
        <w:rPr>
          <w:rFonts w:ascii="Times New Roman" w:eastAsia="PT Astra Serif" w:hAnsi="Times New Roman" w:cs="Times New Roman"/>
        </w:rPr>
        <w:t>едения о кадровой потребности в профессионально-квалификационном разрезе до 2036 года</w:t>
      </w:r>
      <w:bookmarkEnd w:id="269"/>
      <w:bookmarkEnd w:id="270"/>
    </w:p>
    <w:p w:rsidR="00E618FE" w:rsidRPr="00535A4B" w:rsidRDefault="00E618FE"/>
    <w:p w:rsidR="00E618FE" w:rsidRPr="00535A4B" w:rsidRDefault="00800098">
      <w:pPr>
        <w:pStyle w:val="aff"/>
        <w:rPr>
          <w:rFonts w:ascii="Times New Roman" w:hAnsi="Times New Roman"/>
          <w:lang w:val="ru-RU"/>
        </w:rPr>
      </w:pPr>
      <w:r w:rsidRPr="00535A4B">
        <w:rPr>
          <w:rFonts w:ascii="Times New Roman" w:hAnsi="Times New Roman"/>
          <w:lang w:val="ru-RU"/>
        </w:rPr>
        <w:t>Таблица В.1. Сведения о кадровой потребности в профессионально-квалификационном разрезе до 2036 года</w:t>
      </w:r>
    </w:p>
    <w:tbl>
      <w:tblPr>
        <w:tblStyle w:val="-14"/>
        <w:tblW w:w="0" w:type="auto"/>
        <w:tblCellMar>
          <w:left w:w="57" w:type="dxa"/>
          <w:right w:w="57" w:type="dxa"/>
        </w:tblCellMar>
        <w:tblLook w:val="04A0" w:firstRow="1" w:lastRow="0" w:firstColumn="1" w:lastColumn="0" w:noHBand="0" w:noVBand="1"/>
      </w:tblPr>
      <w:tblGrid>
        <w:gridCol w:w="480"/>
        <w:gridCol w:w="4122"/>
        <w:gridCol w:w="1839"/>
        <w:gridCol w:w="3902"/>
        <w:gridCol w:w="4217"/>
      </w:tblGrid>
      <w:tr w:rsidR="00E618FE" w:rsidRPr="00535A4B" w:rsidTr="00E618F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tcPr>
          <w:p w:rsidR="00E618FE" w:rsidRPr="00535A4B" w:rsidRDefault="00800098">
            <w:pPr>
              <w:jc w:val="center"/>
              <w:rPr>
                <w:lang w:eastAsia="ar-SA"/>
              </w:rPr>
            </w:pPr>
            <w:r w:rsidRPr="00535A4B">
              <w:rPr>
                <w:b w:val="0"/>
                <w:bCs w:val="0"/>
                <w:lang w:eastAsia="ar-SA"/>
              </w:rPr>
              <w:t>№ п/п</w:t>
            </w:r>
          </w:p>
        </w:tc>
        <w:tc>
          <w:tcPr>
            <w:tcW w:w="0" w:type="auto"/>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Профессионально-квалификационная группа/Уровень образования</w:t>
            </w:r>
          </w:p>
        </w:tc>
        <w:tc>
          <w:tcPr>
            <w:tcW w:w="1839" w:type="dxa"/>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 xml:space="preserve">Прогнозная потребность </w:t>
            </w:r>
            <w:r w:rsidRPr="00535A4B">
              <w:rPr>
                <w:b w:val="0"/>
                <w:bCs w:val="0"/>
                <w:lang w:eastAsia="ar-SA"/>
              </w:rPr>
              <w:br/>
              <w:t>на 2026 – 2036 гг. (чел.)</w:t>
            </w:r>
          </w:p>
        </w:tc>
        <w:tc>
          <w:tcPr>
            <w:tcW w:w="3902" w:type="dxa"/>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 xml:space="preserve">Ключевые профессии / </w:t>
            </w:r>
            <w:r w:rsidRPr="00535A4B">
              <w:rPr>
                <w:b w:val="0"/>
                <w:bCs w:val="0"/>
                <w:lang w:eastAsia="ar-SA"/>
              </w:rPr>
              <w:br/>
              <w:t>Направления подготовки</w:t>
            </w:r>
          </w:p>
        </w:tc>
        <w:tc>
          <w:tcPr>
            <w:tcW w:w="4217" w:type="dxa"/>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Основной источник / Обоснование</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0" w:type="auto"/>
          </w:tcPr>
          <w:p w:rsidR="00E618FE" w:rsidRPr="00535A4B" w:rsidRDefault="00800098">
            <w:pPr>
              <w:rPr>
                <w:lang w:eastAsia="ar-SA"/>
              </w:rPr>
            </w:pPr>
            <w:r w:rsidRPr="00535A4B">
              <w:rPr>
                <w:b w:val="0"/>
                <w:bCs w:val="0"/>
                <w:lang w:eastAsia="ar-SA"/>
              </w:rPr>
              <w:t>1.</w:t>
            </w:r>
          </w:p>
        </w:tc>
        <w:tc>
          <w:tcPr>
            <w:tcW w:w="0" w:type="auto"/>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Высококвалифицированные специалисты с высшим образованием (инженерно-технический профиль)</w:t>
            </w:r>
          </w:p>
        </w:tc>
        <w:tc>
          <w:tcPr>
            <w:tcW w:w="1839"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38 000</w:t>
            </w:r>
          </w:p>
        </w:tc>
        <w:tc>
          <w:tcPr>
            <w:tcW w:w="3902"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Инженеры-конструкторы, технологи, специалисты </w:t>
            </w:r>
            <w:r w:rsidRPr="00535A4B">
              <w:rPr>
                <w:lang w:eastAsia="ar-SA"/>
              </w:rPr>
              <w:br/>
              <w:t>по микроэлектронике, химии, атомной энергетике, проектировщики БАС, разработчики программного обеспечения</w:t>
            </w:r>
          </w:p>
        </w:tc>
        <w:tc>
          <w:tcPr>
            <w:tcW w:w="421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Технологический суверенитет (оборонно-промышленный комплекс, проект «Прорыв», микроэлектроника). Рост спроса в обрабатывающих производствах и ИТ.</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разделы 1.3, 4.2 Прогноза (кластеры)</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0" w:type="auto"/>
          </w:tcPr>
          <w:p w:rsidR="00E618FE" w:rsidRPr="00535A4B" w:rsidRDefault="00800098">
            <w:pPr>
              <w:rPr>
                <w:lang w:eastAsia="ar-SA"/>
              </w:rPr>
            </w:pPr>
            <w:r w:rsidRPr="00535A4B">
              <w:rPr>
                <w:b w:val="0"/>
                <w:bCs w:val="0"/>
                <w:lang w:eastAsia="ar-SA"/>
              </w:rPr>
              <w:t>2.</w:t>
            </w:r>
          </w:p>
        </w:tc>
        <w:tc>
          <w:tcPr>
            <w:tcW w:w="0" w:type="auto"/>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Специалисты с высшим образованием (социально-экономический и гуманитарный профиль)</w:t>
            </w:r>
          </w:p>
        </w:tc>
        <w:tc>
          <w:tcPr>
            <w:tcW w:w="1839"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25 000</w:t>
            </w:r>
          </w:p>
        </w:tc>
        <w:tc>
          <w:tcPr>
            <w:tcW w:w="3902"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Врачи (особенно узкие специалисты), педагоги, фармацевты, менеджеры, юристы, социальные работники</w:t>
            </w:r>
          </w:p>
        </w:tc>
        <w:tc>
          <w:tcPr>
            <w:tcW w:w="421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Старение населения (рост потребности в медицине и соцобеспечении), выполнение «майских указов» </w:t>
            </w:r>
            <w:r w:rsidRPr="00535A4B">
              <w:rPr>
                <w:lang w:eastAsia="ar-SA"/>
              </w:rPr>
              <w:br/>
              <w:t>по зарплате.</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разделы 3.1, 3.2 отчета Губернатора Томской области</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0" w:type="auto"/>
          </w:tcPr>
          <w:p w:rsidR="00E618FE" w:rsidRPr="00535A4B" w:rsidRDefault="00800098">
            <w:pPr>
              <w:rPr>
                <w:lang w:eastAsia="ar-SA"/>
              </w:rPr>
            </w:pPr>
            <w:r w:rsidRPr="00535A4B">
              <w:rPr>
                <w:b w:val="0"/>
                <w:bCs w:val="0"/>
                <w:lang w:eastAsia="ar-SA"/>
              </w:rPr>
              <w:t>3.</w:t>
            </w:r>
          </w:p>
        </w:tc>
        <w:tc>
          <w:tcPr>
            <w:tcW w:w="0" w:type="auto"/>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Специалисты со средним профессиональным образованием (технический и технологический профиль)</w:t>
            </w:r>
          </w:p>
        </w:tc>
        <w:tc>
          <w:tcPr>
            <w:tcW w:w="1839"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32 000</w:t>
            </w:r>
          </w:p>
        </w:tc>
        <w:tc>
          <w:tcPr>
            <w:tcW w:w="3902"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Техники-программисты, операторы станков с ЧПУ, электромонтеры, сварщики, монтажники РЭА, мастера промышленного обучения, мехатроники</w:t>
            </w:r>
          </w:p>
        </w:tc>
        <w:tc>
          <w:tcPr>
            <w:tcW w:w="421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Модернизация промышленности </w:t>
            </w:r>
            <w:r w:rsidRPr="00535A4B">
              <w:rPr>
                <w:lang w:eastAsia="ar-SA"/>
              </w:rPr>
              <w:br/>
              <w:t>и ЖКХ, программа «Профессионалитет». Самый дефицитный сегмент на рынке труда.</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3.2 отчета Губернатора Томской области (СПО)</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0" w:type="auto"/>
          </w:tcPr>
          <w:p w:rsidR="00E618FE" w:rsidRPr="00535A4B" w:rsidRDefault="00800098">
            <w:pPr>
              <w:rPr>
                <w:lang w:eastAsia="ar-SA"/>
              </w:rPr>
            </w:pPr>
            <w:r w:rsidRPr="00535A4B">
              <w:rPr>
                <w:b w:val="0"/>
                <w:bCs w:val="0"/>
                <w:lang w:eastAsia="ar-SA"/>
              </w:rPr>
              <w:lastRenderedPageBreak/>
              <w:t>4.</w:t>
            </w:r>
          </w:p>
        </w:tc>
        <w:tc>
          <w:tcPr>
            <w:tcW w:w="0" w:type="auto"/>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Специалисты со средним профессиональным образованием (социально-экономический профиль)</w:t>
            </w:r>
          </w:p>
        </w:tc>
        <w:tc>
          <w:tcPr>
            <w:tcW w:w="1839"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18 000</w:t>
            </w:r>
          </w:p>
        </w:tc>
        <w:tc>
          <w:tcPr>
            <w:tcW w:w="3902"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Фельдшеры, медицинские сестры, воспитатели ДОУ, специалисты </w:t>
            </w:r>
            <w:r w:rsidRPr="00535A4B">
              <w:rPr>
                <w:lang w:eastAsia="ar-SA"/>
              </w:rPr>
              <w:br/>
              <w:t>по социальной работе, бухгалтеры, операторы логистических центров</w:t>
            </w:r>
          </w:p>
        </w:tc>
        <w:tc>
          <w:tcPr>
            <w:tcW w:w="421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Развитие первичного звена здравоохранения (ФАПы, амбулатории), строительство детских садов, расширение сферы услуг.</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Приложение № 4 к Прогнозу (нацпроекты)</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0" w:type="auto"/>
          </w:tcPr>
          <w:p w:rsidR="00E618FE" w:rsidRPr="00535A4B" w:rsidRDefault="00800098">
            <w:pPr>
              <w:rPr>
                <w:lang w:eastAsia="ar-SA"/>
              </w:rPr>
            </w:pPr>
            <w:r w:rsidRPr="00535A4B">
              <w:rPr>
                <w:b w:val="0"/>
                <w:bCs w:val="0"/>
                <w:lang w:eastAsia="ar-SA"/>
              </w:rPr>
              <w:t>5.</w:t>
            </w:r>
          </w:p>
        </w:tc>
        <w:tc>
          <w:tcPr>
            <w:tcW w:w="0" w:type="auto"/>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Квалифицированные рабочие кадры (рабочие профессии)</w:t>
            </w:r>
          </w:p>
        </w:tc>
        <w:tc>
          <w:tcPr>
            <w:tcW w:w="1839"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35 000</w:t>
            </w:r>
          </w:p>
        </w:tc>
        <w:tc>
          <w:tcPr>
            <w:tcW w:w="3902"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Слесари различных специальностей, водители грузового транспорта, машинисты (бульдозера, экскаватора), каменщики, штукатуры-маляры, повара, швеи</w:t>
            </w:r>
          </w:p>
        </w:tc>
        <w:tc>
          <w:tcPr>
            <w:tcW w:w="421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Строительный бум (жилье, дороги, соцобъекты). Острый дефицит </w:t>
            </w:r>
            <w:r w:rsidRPr="00535A4B">
              <w:rPr>
                <w:lang w:eastAsia="ar-SA"/>
              </w:rPr>
              <w:br/>
              <w:t>в транспортной и строительной отраслях.</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раздел 4.5 Прогноза (Строительство)</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0" w:type="auto"/>
          </w:tcPr>
          <w:p w:rsidR="00E618FE" w:rsidRPr="00535A4B" w:rsidRDefault="00800098">
            <w:pPr>
              <w:rPr>
                <w:lang w:eastAsia="ar-SA"/>
              </w:rPr>
            </w:pPr>
            <w:r w:rsidRPr="00535A4B">
              <w:rPr>
                <w:b w:val="0"/>
                <w:bCs w:val="0"/>
                <w:lang w:eastAsia="ar-SA"/>
              </w:rPr>
              <w:t>6.</w:t>
            </w:r>
          </w:p>
        </w:tc>
        <w:tc>
          <w:tcPr>
            <w:tcW w:w="0" w:type="auto"/>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Персонал с начальным уровнем квалификации (не требующий специальной подготовки)</w:t>
            </w:r>
          </w:p>
        </w:tc>
        <w:tc>
          <w:tcPr>
            <w:tcW w:w="1839"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2 500</w:t>
            </w:r>
          </w:p>
        </w:tc>
        <w:tc>
          <w:tcPr>
            <w:tcW w:w="3902"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Дворники, уборщики, рабочие </w:t>
            </w:r>
            <w:r w:rsidRPr="00535A4B">
              <w:rPr>
                <w:lang w:eastAsia="ar-SA"/>
              </w:rPr>
              <w:br/>
              <w:t>по благоустройству, курьеры, комплектовщики, младший медперсонал</w:t>
            </w:r>
          </w:p>
        </w:tc>
        <w:tc>
          <w:tcPr>
            <w:tcW w:w="4217" w:type="dxa"/>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Стабильный спрос в сфере ЖКХ, торговле и логистике. Высокая текучесть.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i/>
                <w:lang w:eastAsia="ar-SA"/>
              </w:rPr>
              <w:t>Источник: анализ рынка труда (данные ЦЗН)</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0" w:type="auto"/>
            <w:gridSpan w:val="2"/>
          </w:tcPr>
          <w:p w:rsidR="00E618FE" w:rsidRPr="00535A4B" w:rsidRDefault="00800098">
            <w:pPr>
              <w:jc w:val="center"/>
              <w:rPr>
                <w:lang w:eastAsia="ar-SA"/>
              </w:rPr>
            </w:pPr>
            <w:r w:rsidRPr="00535A4B">
              <w:rPr>
                <w:b w:val="0"/>
                <w:bCs w:val="0"/>
                <w:lang w:eastAsia="ar-SA"/>
              </w:rPr>
              <w:t>ИТОГО</w:t>
            </w:r>
          </w:p>
        </w:tc>
        <w:tc>
          <w:tcPr>
            <w:tcW w:w="1839" w:type="dxa"/>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~150 500</w:t>
            </w:r>
          </w:p>
        </w:tc>
        <w:tc>
          <w:tcPr>
            <w:tcW w:w="3902" w:type="dxa"/>
          </w:tcPr>
          <w:p w:rsidR="00E618FE" w:rsidRPr="00535A4B" w:rsidRDefault="00E618FE">
            <w:pPr>
              <w:cnfStyle w:val="000000000000" w:firstRow="0" w:lastRow="0" w:firstColumn="0" w:lastColumn="0" w:oddVBand="0" w:evenVBand="0" w:oddHBand="0" w:evenHBand="0" w:firstRowFirstColumn="0" w:firstRowLastColumn="0" w:lastRowFirstColumn="0" w:lastRowLastColumn="0"/>
              <w:rPr>
                <w:lang w:eastAsia="ar-SA"/>
              </w:rPr>
            </w:pPr>
          </w:p>
        </w:tc>
        <w:tc>
          <w:tcPr>
            <w:tcW w:w="4217" w:type="dxa"/>
          </w:tcPr>
          <w:p w:rsidR="00E618FE" w:rsidRPr="00535A4B" w:rsidRDefault="00E618FE">
            <w:pPr>
              <w:cnfStyle w:val="000000000000" w:firstRow="0" w:lastRow="0" w:firstColumn="0" w:lastColumn="0" w:oddVBand="0" w:evenVBand="0" w:oddHBand="0" w:evenHBand="0" w:firstRowFirstColumn="0" w:firstRowLastColumn="0" w:lastRowFirstColumn="0" w:lastRowLastColumn="0"/>
              <w:rPr>
                <w:lang w:eastAsia="ar-SA"/>
              </w:rPr>
            </w:pPr>
          </w:p>
        </w:tc>
      </w:tr>
    </w:tbl>
    <w:p w:rsidR="00E618FE" w:rsidRPr="00535A4B" w:rsidRDefault="00E618FE"/>
    <w:p w:rsidR="00E618FE" w:rsidRPr="00535A4B" w:rsidRDefault="00800098">
      <w:pPr>
        <w:spacing w:after="160" w:line="259" w:lineRule="auto"/>
        <w:rPr>
          <w:bCs/>
          <w:sz w:val="28"/>
          <w:lang w:eastAsia="ar-SA" w:bidi="en-US"/>
        </w:rPr>
      </w:pPr>
      <w:r w:rsidRPr="00535A4B">
        <w:br w:type="page" w:clear="all"/>
      </w:r>
    </w:p>
    <w:p w:rsidR="00E618FE" w:rsidRPr="00535A4B" w:rsidRDefault="00800098">
      <w:pPr>
        <w:pStyle w:val="aff"/>
        <w:rPr>
          <w:rFonts w:ascii="Times New Roman" w:hAnsi="Times New Roman"/>
          <w:lang w:val="ru-RU"/>
        </w:rPr>
      </w:pPr>
      <w:r w:rsidRPr="00535A4B">
        <w:rPr>
          <w:rFonts w:ascii="Times New Roman" w:hAnsi="Times New Roman"/>
          <w:lang w:val="ru-RU"/>
        </w:rPr>
        <w:lastRenderedPageBreak/>
        <w:t xml:space="preserve">Таблица В.2. Сведения о кадровой потребности Томской области в профессионально-квалификационном разрезе </w:t>
      </w:r>
      <w:r w:rsidRPr="00535A4B">
        <w:rPr>
          <w:rFonts w:ascii="Times New Roman" w:hAnsi="Times New Roman"/>
          <w:lang w:val="ru-RU"/>
        </w:rPr>
        <w:br/>
        <w:t xml:space="preserve">по муниципальным образованиям до 2036 года </w:t>
      </w:r>
    </w:p>
    <w:tbl>
      <w:tblPr>
        <w:tblStyle w:val="-14"/>
        <w:tblW w:w="0" w:type="auto"/>
        <w:tblInd w:w="-147" w:type="dxa"/>
        <w:tblLayout w:type="fixed"/>
        <w:tblCellMar>
          <w:left w:w="57" w:type="dxa"/>
          <w:right w:w="57" w:type="dxa"/>
        </w:tblCellMar>
        <w:tblLook w:val="04A0" w:firstRow="1" w:lastRow="0" w:firstColumn="1" w:lastColumn="0" w:noHBand="0" w:noVBand="1"/>
      </w:tblPr>
      <w:tblGrid>
        <w:gridCol w:w="1012"/>
        <w:gridCol w:w="3246"/>
        <w:gridCol w:w="2324"/>
        <w:gridCol w:w="3118"/>
        <w:gridCol w:w="5007"/>
      </w:tblGrid>
      <w:tr w:rsidR="00E618FE" w:rsidRPr="00535A4B" w:rsidTr="00E618F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12" w:type="dxa"/>
            <w:shd w:val="clear" w:color="auto" w:fill="DEEAF6" w:themeFill="accent1" w:themeFillTint="33"/>
          </w:tcPr>
          <w:p w:rsidR="00E618FE" w:rsidRPr="00535A4B" w:rsidRDefault="00800098">
            <w:pPr>
              <w:jc w:val="center"/>
              <w:rPr>
                <w:lang w:eastAsia="ar-SA"/>
              </w:rPr>
            </w:pPr>
            <w:r w:rsidRPr="00535A4B">
              <w:rPr>
                <w:b w:val="0"/>
                <w:bCs w:val="0"/>
                <w:lang w:eastAsia="ar-SA"/>
              </w:rPr>
              <w:t>№</w:t>
            </w:r>
            <w:r w:rsidRPr="00535A4B">
              <w:rPr>
                <w:b w:val="0"/>
                <w:bCs w:val="0"/>
                <w:lang w:eastAsia="ar-SA"/>
              </w:rPr>
              <w:br/>
              <w:t xml:space="preserve"> п/п</w:t>
            </w:r>
          </w:p>
        </w:tc>
        <w:tc>
          <w:tcPr>
            <w:tcW w:w="3246" w:type="dxa"/>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Профессионально-квалификационная группа / Уровень образования</w:t>
            </w:r>
          </w:p>
        </w:tc>
        <w:tc>
          <w:tcPr>
            <w:tcW w:w="2324" w:type="dxa"/>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Прогнозная потребность на 2026 –2036 гг. (чел.)</w:t>
            </w:r>
          </w:p>
        </w:tc>
        <w:tc>
          <w:tcPr>
            <w:tcW w:w="3118" w:type="dxa"/>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Основные муниципалитеты спроса</w:t>
            </w:r>
          </w:p>
        </w:tc>
        <w:tc>
          <w:tcPr>
            <w:tcW w:w="5007" w:type="dxa"/>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Ключевые профессии</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1012" w:type="dxa"/>
            <w:vAlign w:val="center"/>
          </w:tcPr>
          <w:p w:rsidR="00E618FE" w:rsidRPr="00535A4B" w:rsidRDefault="00800098">
            <w:pPr>
              <w:rPr>
                <w:lang w:eastAsia="ar-SA"/>
              </w:rPr>
            </w:pPr>
            <w:r w:rsidRPr="00535A4B">
              <w:rPr>
                <w:b w:val="0"/>
                <w:bCs w:val="0"/>
                <w:lang w:eastAsia="ar-SA"/>
              </w:rPr>
              <w:t>1.</w:t>
            </w:r>
          </w:p>
        </w:tc>
        <w:tc>
          <w:tcPr>
            <w:tcW w:w="3246"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Высококвалифицированные специалисты с высшим образованием (инженерно-технический профиль)</w:t>
            </w:r>
          </w:p>
        </w:tc>
        <w:tc>
          <w:tcPr>
            <w:tcW w:w="232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38 000</w:t>
            </w:r>
          </w:p>
        </w:tc>
        <w:tc>
          <w:tcPr>
            <w:tcW w:w="3118"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г. Томск, ЗАТО Северск, </w:t>
            </w:r>
            <w:r w:rsidRPr="00535A4B">
              <w:rPr>
                <w:lang w:eastAsia="ar-SA"/>
              </w:rPr>
              <w:br/>
              <w:t>г. Стрежевой, Каргасокский район</w:t>
            </w:r>
          </w:p>
        </w:tc>
        <w:tc>
          <w:tcPr>
            <w:tcW w:w="5007"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lang w:eastAsia="ar-SA"/>
              </w:rPr>
              <w:t>Инженеры-конструкторы, технологи, специалисты по микроэлектронике, химической технологии, атомной энергетике, проектировщики БАС, нефтяники</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1012" w:type="dxa"/>
            <w:vAlign w:val="center"/>
          </w:tcPr>
          <w:p w:rsidR="00E618FE" w:rsidRPr="00535A4B" w:rsidRDefault="00800098">
            <w:pPr>
              <w:rPr>
                <w:lang w:eastAsia="ar-SA"/>
              </w:rPr>
            </w:pPr>
            <w:r w:rsidRPr="00535A4B">
              <w:rPr>
                <w:b w:val="0"/>
                <w:bCs w:val="0"/>
                <w:lang w:eastAsia="ar-SA"/>
              </w:rPr>
              <w:t>2.</w:t>
            </w:r>
          </w:p>
        </w:tc>
        <w:tc>
          <w:tcPr>
            <w:tcW w:w="3246"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Специалисты с высшим образованием (социально-экономический и гуманитарный профиль)</w:t>
            </w:r>
          </w:p>
        </w:tc>
        <w:tc>
          <w:tcPr>
            <w:tcW w:w="232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25 000</w:t>
            </w:r>
          </w:p>
        </w:tc>
        <w:tc>
          <w:tcPr>
            <w:tcW w:w="3118"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г. Томск, Томский район, Асиновский район, Колпашевский район, все муниципалитеты</w:t>
            </w:r>
          </w:p>
        </w:tc>
        <w:tc>
          <w:tcPr>
            <w:tcW w:w="5007"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i/>
                <w:lang w:eastAsia="ar-SA"/>
              </w:rPr>
            </w:pPr>
            <w:r w:rsidRPr="00535A4B">
              <w:rPr>
                <w:lang w:eastAsia="ar-SA"/>
              </w:rPr>
              <w:t>Врачи (особенно узкие специалисты), педагоги, фармацевты, менеджеры, социальные работники</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1012" w:type="dxa"/>
            <w:vAlign w:val="center"/>
          </w:tcPr>
          <w:p w:rsidR="00E618FE" w:rsidRPr="00535A4B" w:rsidRDefault="00800098">
            <w:pPr>
              <w:rPr>
                <w:lang w:eastAsia="ar-SA"/>
              </w:rPr>
            </w:pPr>
            <w:r w:rsidRPr="00535A4B">
              <w:rPr>
                <w:b w:val="0"/>
                <w:bCs w:val="0"/>
                <w:lang w:eastAsia="ar-SA"/>
              </w:rPr>
              <w:t>3.</w:t>
            </w:r>
          </w:p>
        </w:tc>
        <w:tc>
          <w:tcPr>
            <w:tcW w:w="3246"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Специалисты со средним профессиональным образованием (технический и технологический профиль)</w:t>
            </w:r>
          </w:p>
        </w:tc>
        <w:tc>
          <w:tcPr>
            <w:tcW w:w="232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32 000</w:t>
            </w:r>
          </w:p>
        </w:tc>
        <w:tc>
          <w:tcPr>
            <w:tcW w:w="3118"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г. Томск, ЗАТО Северск, Томский район, </w:t>
            </w:r>
            <w:r w:rsidRPr="00535A4B">
              <w:rPr>
                <w:lang w:eastAsia="ar-SA"/>
              </w:rPr>
              <w:br/>
              <w:t>г. Стрежевой, Каргасокский район, Колпашевский район</w:t>
            </w:r>
          </w:p>
        </w:tc>
        <w:tc>
          <w:tcPr>
            <w:tcW w:w="5007"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Техники-программисты, операторы станков с ЧПУ, электромонтеры, сварщики, монтажники РЭА, мехатроники</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1012" w:type="dxa"/>
            <w:vAlign w:val="center"/>
          </w:tcPr>
          <w:p w:rsidR="00E618FE" w:rsidRPr="00535A4B" w:rsidRDefault="00800098">
            <w:pPr>
              <w:rPr>
                <w:lang w:eastAsia="ar-SA"/>
              </w:rPr>
            </w:pPr>
            <w:r w:rsidRPr="00535A4B">
              <w:rPr>
                <w:b w:val="0"/>
                <w:bCs w:val="0"/>
                <w:lang w:eastAsia="ar-SA"/>
              </w:rPr>
              <w:t>4.</w:t>
            </w:r>
          </w:p>
        </w:tc>
        <w:tc>
          <w:tcPr>
            <w:tcW w:w="3246"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Специалисты со средним профессиональным образованием (социально-экономический профиль)</w:t>
            </w:r>
          </w:p>
        </w:tc>
        <w:tc>
          <w:tcPr>
            <w:tcW w:w="232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18 000</w:t>
            </w:r>
          </w:p>
        </w:tc>
        <w:tc>
          <w:tcPr>
            <w:tcW w:w="3118"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Все муниципалитеты, особенно сельские </w:t>
            </w:r>
            <w:r w:rsidRPr="00535A4B">
              <w:rPr>
                <w:lang w:eastAsia="ar-SA"/>
              </w:rPr>
              <w:br/>
              <w:t>и отдаленные районы</w:t>
            </w:r>
          </w:p>
        </w:tc>
        <w:tc>
          <w:tcPr>
            <w:tcW w:w="5007"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Фельдшеры, медицинские сестры, воспитатели ДОУ, специалисты </w:t>
            </w:r>
            <w:r w:rsidRPr="00535A4B">
              <w:rPr>
                <w:lang w:eastAsia="ar-SA"/>
              </w:rPr>
              <w:br/>
              <w:t>по соцработе, бухгалтеры</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1012" w:type="dxa"/>
            <w:vAlign w:val="center"/>
          </w:tcPr>
          <w:p w:rsidR="00E618FE" w:rsidRPr="00535A4B" w:rsidRDefault="00800098">
            <w:pPr>
              <w:rPr>
                <w:lang w:eastAsia="ar-SA"/>
              </w:rPr>
            </w:pPr>
            <w:r w:rsidRPr="00535A4B">
              <w:rPr>
                <w:b w:val="0"/>
                <w:bCs w:val="0"/>
                <w:lang w:eastAsia="ar-SA"/>
              </w:rPr>
              <w:t>5.</w:t>
            </w:r>
          </w:p>
        </w:tc>
        <w:tc>
          <w:tcPr>
            <w:tcW w:w="3246"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Квалифицированные рабочие кадры (рабочие профессии)</w:t>
            </w:r>
          </w:p>
        </w:tc>
        <w:tc>
          <w:tcPr>
            <w:tcW w:w="232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35 000</w:t>
            </w:r>
          </w:p>
        </w:tc>
        <w:tc>
          <w:tcPr>
            <w:tcW w:w="3118"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Томский район, ЗАТО Северск, Асиновский район, Кожевниковский район, Колпашевский район, дорожные объекты по всей области</w:t>
            </w:r>
          </w:p>
        </w:tc>
        <w:tc>
          <w:tcPr>
            <w:tcW w:w="5007"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Слесари, водители грузового транспорта, машинисты (бульдозера, экскаватора), каменщики, штукатуры-маляры, повара, швеи, лесозаготовители</w:t>
            </w:r>
          </w:p>
        </w:tc>
      </w:tr>
      <w:tr w:rsidR="00E618FE" w:rsidRPr="00535A4B" w:rsidTr="00E618FE">
        <w:trPr>
          <w:cantSplit/>
        </w:trPr>
        <w:tc>
          <w:tcPr>
            <w:cnfStyle w:val="001000000000" w:firstRow="0" w:lastRow="0" w:firstColumn="1" w:lastColumn="0" w:oddVBand="0" w:evenVBand="0" w:oddHBand="0" w:evenHBand="0" w:firstRowFirstColumn="0" w:firstRowLastColumn="0" w:lastRowFirstColumn="0" w:lastRowLastColumn="0"/>
            <w:tcW w:w="1012" w:type="dxa"/>
            <w:vAlign w:val="center"/>
          </w:tcPr>
          <w:p w:rsidR="00E618FE" w:rsidRPr="00535A4B" w:rsidRDefault="00800098">
            <w:pPr>
              <w:rPr>
                <w:lang w:eastAsia="ar-SA"/>
              </w:rPr>
            </w:pPr>
            <w:r w:rsidRPr="00535A4B">
              <w:rPr>
                <w:b w:val="0"/>
                <w:bCs w:val="0"/>
                <w:lang w:eastAsia="ar-SA"/>
              </w:rPr>
              <w:t>6.</w:t>
            </w:r>
          </w:p>
        </w:tc>
        <w:tc>
          <w:tcPr>
            <w:tcW w:w="3246"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Персонал с начальным уровнем квалификации</w:t>
            </w:r>
          </w:p>
        </w:tc>
        <w:tc>
          <w:tcPr>
            <w:tcW w:w="232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2 500</w:t>
            </w:r>
          </w:p>
        </w:tc>
        <w:tc>
          <w:tcPr>
            <w:tcW w:w="3118"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г. Томск, Томский район, ЗАТО Северск</w:t>
            </w:r>
          </w:p>
        </w:tc>
        <w:tc>
          <w:tcPr>
            <w:tcW w:w="5007" w:type="dxa"/>
            <w:vAlign w:val="center"/>
          </w:tcPr>
          <w:p w:rsidR="00E618FE" w:rsidRPr="00535A4B" w:rsidRDefault="00800098">
            <w:pP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 xml:space="preserve">Дворники, уборщики, рабочие </w:t>
            </w:r>
            <w:r w:rsidRPr="00535A4B">
              <w:rPr>
                <w:lang w:eastAsia="ar-SA"/>
              </w:rPr>
              <w:br/>
              <w:t>по благоустройству, курьеры, комплектовщики</w:t>
            </w:r>
          </w:p>
        </w:tc>
      </w:tr>
      <w:tr w:rsidR="00E618FE" w:rsidRPr="00535A4B" w:rsidTr="00E618FE">
        <w:trPr>
          <w:cantSplit/>
          <w:trHeight w:val="64"/>
        </w:trPr>
        <w:tc>
          <w:tcPr>
            <w:cnfStyle w:val="001000000000" w:firstRow="0" w:lastRow="0" w:firstColumn="1" w:lastColumn="0" w:oddVBand="0" w:evenVBand="0" w:oddHBand="0" w:evenHBand="0" w:firstRowFirstColumn="0" w:firstRowLastColumn="0" w:lastRowFirstColumn="0" w:lastRowLastColumn="0"/>
            <w:tcW w:w="1012" w:type="dxa"/>
            <w:vAlign w:val="center"/>
          </w:tcPr>
          <w:p w:rsidR="00E618FE" w:rsidRPr="00535A4B" w:rsidRDefault="00800098">
            <w:pPr>
              <w:rPr>
                <w:lang w:eastAsia="ar-SA"/>
              </w:rPr>
            </w:pPr>
            <w:r w:rsidRPr="00535A4B">
              <w:rPr>
                <w:b w:val="0"/>
                <w:bCs w:val="0"/>
                <w:lang w:eastAsia="ar-SA"/>
              </w:rPr>
              <w:t>ИТОГО</w:t>
            </w:r>
          </w:p>
        </w:tc>
        <w:tc>
          <w:tcPr>
            <w:tcW w:w="3246" w:type="dxa"/>
            <w:vAlign w:val="center"/>
          </w:tcPr>
          <w:p w:rsidR="00E618FE" w:rsidRPr="00535A4B" w:rsidRDefault="00E618FE">
            <w:pPr>
              <w:cnfStyle w:val="000000000000" w:firstRow="0" w:lastRow="0" w:firstColumn="0" w:lastColumn="0" w:oddVBand="0" w:evenVBand="0" w:oddHBand="0" w:evenHBand="0" w:firstRowFirstColumn="0" w:firstRowLastColumn="0" w:lastRowFirstColumn="0" w:lastRowLastColumn="0"/>
              <w:rPr>
                <w:lang w:eastAsia="ar-SA"/>
              </w:rPr>
            </w:pPr>
          </w:p>
        </w:tc>
        <w:tc>
          <w:tcPr>
            <w:tcW w:w="2324" w:type="dxa"/>
            <w:vAlign w:val="center"/>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~150 500</w:t>
            </w:r>
          </w:p>
        </w:tc>
        <w:tc>
          <w:tcPr>
            <w:tcW w:w="3118" w:type="dxa"/>
            <w:vAlign w:val="center"/>
          </w:tcPr>
          <w:p w:rsidR="00E618FE" w:rsidRPr="00535A4B" w:rsidRDefault="00E618FE">
            <w:pPr>
              <w:cnfStyle w:val="000000000000" w:firstRow="0" w:lastRow="0" w:firstColumn="0" w:lastColumn="0" w:oddVBand="0" w:evenVBand="0" w:oddHBand="0" w:evenHBand="0" w:firstRowFirstColumn="0" w:firstRowLastColumn="0" w:lastRowFirstColumn="0" w:lastRowLastColumn="0"/>
              <w:rPr>
                <w:lang w:eastAsia="ar-SA"/>
              </w:rPr>
            </w:pPr>
          </w:p>
        </w:tc>
        <w:tc>
          <w:tcPr>
            <w:tcW w:w="5007" w:type="dxa"/>
            <w:vAlign w:val="center"/>
          </w:tcPr>
          <w:p w:rsidR="00E618FE" w:rsidRPr="00535A4B" w:rsidRDefault="00E618FE">
            <w:pPr>
              <w:cnfStyle w:val="000000000000" w:firstRow="0" w:lastRow="0" w:firstColumn="0" w:lastColumn="0" w:oddVBand="0" w:evenVBand="0" w:oddHBand="0" w:evenHBand="0" w:firstRowFirstColumn="0" w:firstRowLastColumn="0" w:lastRowFirstColumn="0" w:lastRowLastColumn="0"/>
              <w:rPr>
                <w:lang w:eastAsia="ar-SA"/>
              </w:rPr>
            </w:pPr>
          </w:p>
        </w:tc>
      </w:tr>
    </w:tbl>
    <w:p w:rsidR="00E618FE" w:rsidRPr="00535A4B" w:rsidRDefault="00800098">
      <w:pPr>
        <w:pStyle w:val="affffff8"/>
        <w:rPr>
          <w:rFonts w:ascii="Times New Roman" w:hAnsi="Times New Roman" w:cs="Times New Roman"/>
          <w:b/>
          <w:color w:val="auto"/>
          <w:sz w:val="28"/>
        </w:rPr>
      </w:pPr>
      <w:r w:rsidRPr="00535A4B">
        <w:rPr>
          <w:rFonts w:ascii="Times New Roman" w:hAnsi="Times New Roman" w:cs="Times New Roman"/>
          <w:color w:val="auto"/>
        </w:rPr>
        <w:t>Источники: Правительство Томской области, аналитические материалы «Работа России».</w:t>
      </w:r>
    </w:p>
    <w:p w:rsidR="00E618FE" w:rsidRPr="00535A4B" w:rsidRDefault="00E618FE">
      <w:pPr>
        <w:jc w:val="center"/>
        <w:outlineLvl w:val="2"/>
        <w:rPr>
          <w:b/>
          <w:sz w:val="28"/>
          <w:lang w:eastAsia="ar-SA"/>
        </w:rPr>
        <w:sectPr w:rsidR="00E618FE" w:rsidRPr="00535A4B">
          <w:pgSz w:w="16838" w:h="11906" w:orient="landscape"/>
          <w:pgMar w:top="1701" w:right="1134" w:bottom="850" w:left="1134" w:header="340" w:footer="397" w:gutter="0"/>
          <w:cols w:space="708"/>
          <w:docGrid w:linePitch="360"/>
        </w:sectPr>
      </w:pPr>
    </w:p>
    <w:p w:rsidR="00E618FE" w:rsidRPr="00535A4B" w:rsidRDefault="00800098">
      <w:pPr>
        <w:pStyle w:val="41"/>
        <w:rPr>
          <w:rFonts w:ascii="Times New Roman" w:hAnsi="Times New Roman"/>
          <w:lang w:val="ru-RU"/>
        </w:rPr>
      </w:pPr>
      <w:bookmarkStart w:id="271" w:name="_Toc228368461"/>
      <w:bookmarkStart w:id="272" w:name="_Toc228496335"/>
      <w:bookmarkStart w:id="273" w:name="_Toc228735161"/>
      <w:bookmarkStart w:id="274" w:name="_Toc229125317"/>
      <w:bookmarkStart w:id="275" w:name="_Toc229136809"/>
      <w:bookmarkStart w:id="276" w:name="_Toc229138009"/>
      <w:bookmarkStart w:id="277" w:name="_Toc229962307"/>
      <w:bookmarkStart w:id="278" w:name="_Toc231183091"/>
      <w:bookmarkStart w:id="279" w:name="_Toc231449477"/>
      <w:bookmarkStart w:id="280" w:name="_Toc231551990"/>
      <w:bookmarkStart w:id="281" w:name="_Toc231767533"/>
      <w:bookmarkStart w:id="282" w:name="_Toc231832713"/>
      <w:bookmarkStart w:id="283" w:name="_Toc235471033"/>
      <w:bookmarkStart w:id="284" w:name="_Toc235810186"/>
      <w:r w:rsidRPr="00535A4B">
        <w:rPr>
          <w:rFonts w:ascii="Times New Roman" w:hAnsi="Times New Roman"/>
          <w:lang w:val="ru-RU"/>
        </w:rPr>
        <w:lastRenderedPageBreak/>
        <w:t>Пояснительная записка к таблицам Приложений Б, В</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1) Базовые показатели занятости (2025 год):</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В расчетах использована численность занятых в экономике по состоянию </w:t>
      </w:r>
      <w:r w:rsidR="006739D7">
        <w:rPr>
          <w:rFonts w:ascii="Times New Roman" w:hAnsi="Times New Roman"/>
          <w:color w:val="auto"/>
          <w:sz w:val="26"/>
          <w:szCs w:val="26"/>
        </w:rPr>
        <w:br/>
      </w:r>
      <w:r w:rsidRPr="006739D7">
        <w:rPr>
          <w:rFonts w:ascii="Times New Roman" w:hAnsi="Times New Roman"/>
          <w:color w:val="auto"/>
          <w:sz w:val="26"/>
          <w:szCs w:val="26"/>
        </w:rPr>
        <w:t>на 2025 год (оценка) — 508,1 тыс. человек (</w:t>
      </w:r>
      <w:r w:rsidRPr="006739D7">
        <w:rPr>
          <w:rFonts w:ascii="Times New Roman" w:hAnsi="Times New Roman"/>
          <w:bCs/>
          <w:color w:val="auto"/>
          <w:sz w:val="26"/>
          <w:szCs w:val="26"/>
        </w:rPr>
        <w:t>Прогноз социально-экономического развития Томской области на 2026 год и на плановый период 2027</w:t>
      </w:r>
      <w:r w:rsidR="006739D7">
        <w:rPr>
          <w:rFonts w:ascii="Times New Roman" w:hAnsi="Times New Roman"/>
          <w:bCs/>
          <w:color w:val="auto"/>
          <w:sz w:val="26"/>
          <w:szCs w:val="26"/>
        </w:rPr>
        <w:t xml:space="preserve"> </w:t>
      </w:r>
      <w:r w:rsidRPr="006739D7">
        <w:rPr>
          <w:rFonts w:ascii="Times New Roman" w:hAnsi="Times New Roman"/>
          <w:bCs/>
          <w:color w:val="auto"/>
          <w:sz w:val="26"/>
          <w:szCs w:val="26"/>
        </w:rPr>
        <w:t>–</w:t>
      </w:r>
      <w:r w:rsidR="006739D7">
        <w:rPr>
          <w:rFonts w:ascii="Times New Roman" w:hAnsi="Times New Roman"/>
          <w:bCs/>
          <w:color w:val="auto"/>
          <w:sz w:val="26"/>
          <w:szCs w:val="26"/>
        </w:rPr>
        <w:t xml:space="preserve"> </w:t>
      </w:r>
      <w:r w:rsidRPr="006739D7">
        <w:rPr>
          <w:rFonts w:ascii="Times New Roman" w:hAnsi="Times New Roman"/>
          <w:bCs/>
          <w:color w:val="auto"/>
          <w:sz w:val="26"/>
          <w:szCs w:val="26"/>
        </w:rPr>
        <w:t>2028 годов, п</w:t>
      </w:r>
      <w:r w:rsidRPr="006739D7">
        <w:rPr>
          <w:rFonts w:ascii="Times New Roman" w:hAnsi="Times New Roman"/>
          <w:color w:val="auto"/>
          <w:sz w:val="26"/>
          <w:szCs w:val="26"/>
        </w:rPr>
        <w:t xml:space="preserve">риложение № 9). Из них 100,5 тыс. человек — занятые в МСП, остальные — </w:t>
      </w:r>
      <w:r w:rsidR="006739D7">
        <w:rPr>
          <w:rFonts w:ascii="Times New Roman" w:hAnsi="Times New Roman"/>
          <w:color w:val="auto"/>
          <w:sz w:val="26"/>
          <w:szCs w:val="26"/>
        </w:rPr>
        <w:br/>
      </w:r>
      <w:r w:rsidRPr="006739D7">
        <w:rPr>
          <w:rFonts w:ascii="Times New Roman" w:hAnsi="Times New Roman"/>
          <w:color w:val="auto"/>
          <w:sz w:val="26"/>
          <w:szCs w:val="26"/>
        </w:rPr>
        <w:t>в крупных и средних организациях, бюджетной сфере и у ИП.</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2) Методика расчета совокупной потребности. Совокупная кадровая потребность (графы «Потребность до 2036 г.») рассчитана как сумма двух компонентов:</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 потребность в замещении выбывающих работников: естественная убыль кадров из-за выхода на пенсию и смены профессии. Коэффициент ежегодного выбытия принят на уровне 3,5% от численности занятых в отрасли (консервативная оценка с учетом старения населения Томской области, отмеченного в Прогнозе </w:t>
      </w:r>
      <w:r w:rsidRPr="006739D7">
        <w:rPr>
          <w:rFonts w:ascii="Times New Roman" w:hAnsi="Times New Roman"/>
          <w:bCs/>
          <w:color w:val="auto"/>
          <w:sz w:val="26"/>
          <w:szCs w:val="26"/>
        </w:rPr>
        <w:t>социально-экономического развития Томской области на 2026 год и на плановый период 2027 – 2028 годов</w:t>
      </w:r>
      <w:r w:rsidRPr="006739D7">
        <w:rPr>
          <w:rFonts w:ascii="Times New Roman" w:hAnsi="Times New Roman"/>
          <w:color w:val="auto"/>
          <w:sz w:val="26"/>
          <w:szCs w:val="26"/>
        </w:rPr>
        <w:t>);</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потребность в связи с созданием новых рабочих мест: оценка на основе перечня инвестиционных проектов (</w:t>
      </w:r>
      <w:r w:rsidRPr="006739D7">
        <w:rPr>
          <w:rFonts w:ascii="Times New Roman" w:hAnsi="Times New Roman"/>
          <w:bCs/>
          <w:color w:val="auto"/>
          <w:sz w:val="26"/>
          <w:szCs w:val="26"/>
        </w:rPr>
        <w:t>Прогноз социально-экономического развития Томской области на 2026 год и на плановый период 2027–2028 годов, п</w:t>
      </w:r>
      <w:r w:rsidRPr="006739D7">
        <w:rPr>
          <w:rFonts w:ascii="Times New Roman" w:hAnsi="Times New Roman"/>
          <w:color w:val="auto"/>
          <w:sz w:val="26"/>
          <w:szCs w:val="26"/>
        </w:rPr>
        <w:t>риложение № 3) и планов развития инфраструктуры. Включает создание новых производств (БРЕСТ-300, кластеры), строительство социальных объектов (поликлиники, школы) и автомобильных дорог.</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3) Ключевые тренды, учтенные в прогнозе:</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 «утечка мозгов»: в отчете и прогнозе фиксируется проблема оттока выпускников. Только 30% иногородних студентов остаются в регионе. Это учтено </w:t>
      </w:r>
      <w:r w:rsidR="006739D7">
        <w:rPr>
          <w:rFonts w:ascii="Times New Roman" w:hAnsi="Times New Roman"/>
          <w:color w:val="auto"/>
          <w:sz w:val="26"/>
          <w:szCs w:val="26"/>
        </w:rPr>
        <w:br/>
      </w:r>
      <w:r w:rsidRPr="006739D7">
        <w:rPr>
          <w:rFonts w:ascii="Times New Roman" w:hAnsi="Times New Roman"/>
          <w:color w:val="auto"/>
          <w:sz w:val="26"/>
          <w:szCs w:val="26"/>
        </w:rPr>
        <w:t>в повышенной потребности по группам «Высшее образование» (особенно инженерный профиль);</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демографическое старение: прогноз баланса трудовых ресурсов фиксирует сокращение численности населения в трудоспособном возрасте. Это усиливает конкуренцию за кадры и требует опережающих темпов роста производительности труда;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программы поддержки: в расчетах учтены целевые показатели программ «Земский учитель», «Земский доктор» и «Профессионалитет» как инструментов насыщения рынка труда.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Таким образом, Томской области на период до 2036 года потребуется привлечь или подготовить около 150 тыс. специалистов. Наибольший дефицит ожидается в обрабатывающей промышленности (инженеры и рабочие), строительстве и социальной сфере (врачи, учителя). Основным ограничителем остается демографическая ситуация и отток молодежи. </w:t>
      </w:r>
      <w:bookmarkEnd w:id="268"/>
    </w:p>
    <w:p w:rsidR="00E618FE" w:rsidRPr="00535A4B" w:rsidRDefault="00800098">
      <w:pPr>
        <w:pStyle w:val="a4"/>
        <w:rPr>
          <w:rFonts w:ascii="Times New Roman" w:eastAsia="PT Astra Serif" w:hAnsi="Times New Roman"/>
          <w:b/>
          <w:caps/>
          <w:color w:val="auto"/>
          <w:szCs w:val="32"/>
          <w:lang w:eastAsia="en-US" w:bidi="en-US"/>
        </w:rPr>
      </w:pPr>
      <w:r w:rsidRPr="00535A4B">
        <w:rPr>
          <w:rFonts w:ascii="Times New Roman" w:eastAsia="PT Astra Serif" w:hAnsi="Times New Roman"/>
          <w:color w:val="auto"/>
        </w:rPr>
        <w:br w:type="page" w:clear="all"/>
      </w:r>
    </w:p>
    <w:p w:rsidR="00E618FE" w:rsidRPr="00535A4B" w:rsidRDefault="00800098">
      <w:pPr>
        <w:pStyle w:val="1f8"/>
        <w:rPr>
          <w:rFonts w:ascii="Times New Roman" w:eastAsia="PT Astra Serif" w:hAnsi="Times New Roman" w:cs="Times New Roman"/>
          <w:lang w:val="ru-RU"/>
        </w:rPr>
      </w:pPr>
      <w:bookmarkStart w:id="285" w:name="_Toc235810187"/>
      <w:bookmarkStart w:id="286" w:name="_Toc238554574"/>
      <w:bookmarkStart w:id="287" w:name="_Hlk231352220"/>
      <w:r w:rsidRPr="00535A4B">
        <w:rPr>
          <w:rFonts w:ascii="Times New Roman" w:eastAsia="PT Astra Serif" w:hAnsi="Times New Roman" w:cs="Times New Roman"/>
          <w:lang w:val="ru-RU"/>
        </w:rPr>
        <w:lastRenderedPageBreak/>
        <w:t>Приложение Г</w:t>
      </w:r>
      <w:bookmarkEnd w:id="285"/>
      <w:bookmarkEnd w:id="286"/>
      <w:r w:rsidRPr="00535A4B">
        <w:rPr>
          <w:rFonts w:ascii="Times New Roman" w:eastAsia="PT Astra Serif" w:hAnsi="Times New Roman" w:cs="Times New Roman"/>
          <w:lang w:val="ru-RU"/>
        </w:rPr>
        <w:t xml:space="preserve"> </w:t>
      </w:r>
    </w:p>
    <w:p w:rsidR="00E618FE" w:rsidRPr="00535A4B" w:rsidRDefault="00800098">
      <w:pPr>
        <w:pStyle w:val="2f"/>
        <w:rPr>
          <w:rFonts w:ascii="Times New Roman" w:eastAsia="PT Astra Serif" w:hAnsi="Times New Roman" w:cs="Times New Roman"/>
        </w:rPr>
      </w:pPr>
      <w:bookmarkStart w:id="288" w:name="_Toc235471035"/>
      <w:bookmarkStart w:id="289" w:name="_Toc235810188"/>
      <w:bookmarkStart w:id="290" w:name="_Toc238554575"/>
      <w:r w:rsidRPr="00535A4B">
        <w:rPr>
          <w:rFonts w:ascii="Times New Roman" w:eastAsia="PT Astra Serif" w:hAnsi="Times New Roman" w:cs="Times New Roman"/>
        </w:rPr>
        <w:t>PEST- и SWOT-анализ</w:t>
      </w:r>
      <w:bookmarkEnd w:id="288"/>
      <w:bookmarkEnd w:id="289"/>
      <w:bookmarkEnd w:id="290"/>
    </w:p>
    <w:p w:rsidR="00E618FE" w:rsidRPr="00535A4B" w:rsidRDefault="00800098">
      <w:pPr>
        <w:pStyle w:val="41"/>
        <w:spacing w:before="0" w:after="0"/>
        <w:rPr>
          <w:rFonts w:ascii="Times New Roman" w:hAnsi="Times New Roman"/>
          <w:lang w:val="ru-RU"/>
        </w:rPr>
      </w:pPr>
      <w:bookmarkStart w:id="291" w:name="_Toc228735164"/>
      <w:bookmarkStart w:id="292" w:name="_Toc229125320"/>
      <w:bookmarkStart w:id="293" w:name="_Toc229138012"/>
      <w:bookmarkStart w:id="294" w:name="_Toc229962310"/>
      <w:bookmarkStart w:id="295" w:name="_Toc231449480"/>
      <w:bookmarkStart w:id="296" w:name="_Toc231551993"/>
      <w:bookmarkStart w:id="297" w:name="_Toc231767536"/>
      <w:bookmarkStart w:id="298" w:name="_Toc231832716"/>
      <w:bookmarkStart w:id="299" w:name="_Toc235810189"/>
      <w:bookmarkStart w:id="300" w:name="_Toc235810327"/>
      <w:r w:rsidRPr="00535A4B">
        <w:rPr>
          <w:rFonts w:ascii="Times New Roman" w:hAnsi="Times New Roman"/>
          <w:lang w:val="ru-RU"/>
        </w:rPr>
        <w:t xml:space="preserve">Г.1 </w:t>
      </w:r>
      <w:r w:rsidRPr="00535A4B">
        <w:rPr>
          <w:rFonts w:ascii="Times New Roman" w:eastAsia="PT Astra Serif" w:hAnsi="Times New Roman"/>
        </w:rPr>
        <w:t>PEST</w:t>
      </w:r>
      <w:r w:rsidRPr="00535A4B">
        <w:rPr>
          <w:rFonts w:ascii="Times New Roman" w:eastAsia="PT Astra Serif" w:hAnsi="Times New Roman"/>
          <w:lang w:val="ru-RU"/>
        </w:rPr>
        <w:t>-</w:t>
      </w:r>
      <w:r w:rsidRPr="00535A4B">
        <w:rPr>
          <w:rFonts w:ascii="Times New Roman" w:hAnsi="Times New Roman"/>
          <w:lang w:val="ru-RU"/>
        </w:rPr>
        <w:t>анализ</w:t>
      </w:r>
      <w:bookmarkEnd w:id="291"/>
      <w:bookmarkEnd w:id="292"/>
      <w:bookmarkEnd w:id="293"/>
      <w:bookmarkEnd w:id="294"/>
      <w:bookmarkEnd w:id="295"/>
      <w:bookmarkEnd w:id="296"/>
      <w:bookmarkEnd w:id="297"/>
      <w:bookmarkEnd w:id="298"/>
      <w:bookmarkEnd w:id="299"/>
      <w:bookmarkEnd w:id="300"/>
    </w:p>
    <w:p w:rsidR="00E618FE" w:rsidRPr="006739D7" w:rsidRDefault="00800098">
      <w:pPr>
        <w:pStyle w:val="a4"/>
        <w:rPr>
          <w:rFonts w:ascii="Times New Roman" w:hAnsi="Times New Roman"/>
          <w:b/>
          <w:bCs/>
          <w:color w:val="auto"/>
          <w:sz w:val="26"/>
          <w:szCs w:val="26"/>
        </w:rPr>
      </w:pPr>
      <w:bookmarkStart w:id="301" w:name="_Toc213198857"/>
      <w:bookmarkStart w:id="302" w:name="_Toc217575374"/>
      <w:r w:rsidRPr="006739D7">
        <w:rPr>
          <w:rFonts w:ascii="Times New Roman" w:hAnsi="Times New Roman"/>
          <w:color w:val="auto"/>
          <w:sz w:val="26"/>
          <w:szCs w:val="26"/>
        </w:rPr>
        <w:t xml:space="preserve">В настоящем разделе представлены результаты расширенного PEST-анализа, включая политические, экономические, социальные, технологические </w:t>
      </w:r>
      <w:r w:rsidR="006739D7">
        <w:rPr>
          <w:rFonts w:ascii="Times New Roman" w:hAnsi="Times New Roman"/>
          <w:color w:val="auto"/>
          <w:sz w:val="26"/>
          <w:szCs w:val="26"/>
        </w:rPr>
        <w:br/>
      </w:r>
      <w:r w:rsidRPr="006739D7">
        <w:rPr>
          <w:rFonts w:ascii="Times New Roman" w:hAnsi="Times New Roman"/>
          <w:color w:val="auto"/>
          <w:sz w:val="26"/>
          <w:szCs w:val="26"/>
        </w:rPr>
        <w:t xml:space="preserve">и экологические факторы. Эти факторы находятся вне прямого контроля региона, </w:t>
      </w:r>
      <w:r w:rsidR="006739D7">
        <w:rPr>
          <w:rFonts w:ascii="Times New Roman" w:hAnsi="Times New Roman"/>
          <w:color w:val="auto"/>
          <w:sz w:val="26"/>
          <w:szCs w:val="26"/>
        </w:rPr>
        <w:br/>
      </w:r>
      <w:r w:rsidRPr="006739D7">
        <w:rPr>
          <w:rFonts w:ascii="Times New Roman" w:hAnsi="Times New Roman"/>
          <w:color w:val="auto"/>
          <w:sz w:val="26"/>
          <w:szCs w:val="26"/>
        </w:rPr>
        <w:t xml:space="preserve">но определяют коридор возможностей и долгосрочные ограничения развития (санкционное давление, макроэкономическая динамика, демографические тренды, климатические изменения и др.). Именно эти факторы служат основой </w:t>
      </w:r>
      <w:r w:rsidR="006739D7">
        <w:rPr>
          <w:rFonts w:ascii="Times New Roman" w:hAnsi="Times New Roman"/>
          <w:color w:val="auto"/>
          <w:sz w:val="26"/>
          <w:szCs w:val="26"/>
        </w:rPr>
        <w:br/>
      </w:r>
      <w:r w:rsidRPr="006739D7">
        <w:rPr>
          <w:rFonts w:ascii="Times New Roman" w:hAnsi="Times New Roman"/>
          <w:color w:val="auto"/>
          <w:sz w:val="26"/>
          <w:szCs w:val="26"/>
        </w:rPr>
        <w:t xml:space="preserve">для проведения SWOT-анализа, который оценивает внутренние сильные и слабые стороны региона в сопоставлении с выявленными внешними возможностями </w:t>
      </w:r>
      <w:r w:rsidRPr="006739D7">
        <w:rPr>
          <w:rFonts w:ascii="Times New Roman" w:hAnsi="Times New Roman"/>
          <w:color w:val="auto"/>
          <w:sz w:val="26"/>
          <w:szCs w:val="26"/>
        </w:rPr>
        <w:br/>
        <w:t>и угрозами. Расширенный PEST-анализ представлен в таблице Г.1.</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 xml:space="preserve">Политические факторы. </w:t>
      </w:r>
      <w:r w:rsidRPr="006739D7">
        <w:rPr>
          <w:rFonts w:ascii="Times New Roman" w:hAnsi="Times New Roman"/>
          <w:color w:val="auto"/>
          <w:sz w:val="26"/>
          <w:szCs w:val="26"/>
        </w:rPr>
        <w:t xml:space="preserve">В регионе усилилась роль федеральных институтов развития, наблюдается рост значимости инструментов государственной поддержки научно-технологических инициатив и развитие импортозамещения. Томская область получила статус пилотного региона в ряде стратегических программ, что обеспечивает дополнительное финансирование и преференции. </w:t>
      </w:r>
      <w:r w:rsidR="006739D7">
        <w:rPr>
          <w:rFonts w:ascii="Times New Roman" w:hAnsi="Times New Roman"/>
          <w:color w:val="auto"/>
          <w:sz w:val="26"/>
          <w:szCs w:val="26"/>
        </w:rPr>
        <w:br/>
      </w:r>
      <w:r w:rsidRPr="006739D7">
        <w:rPr>
          <w:rFonts w:ascii="Times New Roman" w:hAnsi="Times New Roman"/>
          <w:color w:val="auto"/>
          <w:sz w:val="26"/>
          <w:szCs w:val="26"/>
        </w:rPr>
        <w:t xml:space="preserve">В то же время сохраняется высокая конкуренция с другими субъектами </w:t>
      </w:r>
      <w:r w:rsidR="006739D7">
        <w:rPr>
          <w:rFonts w:ascii="Times New Roman" w:hAnsi="Times New Roman"/>
          <w:color w:val="auto"/>
          <w:sz w:val="26"/>
          <w:szCs w:val="26"/>
        </w:rPr>
        <w:br/>
      </w:r>
      <w:r w:rsidRPr="006739D7">
        <w:rPr>
          <w:rFonts w:ascii="Times New Roman" w:hAnsi="Times New Roman"/>
          <w:color w:val="auto"/>
          <w:sz w:val="26"/>
          <w:szCs w:val="26"/>
        </w:rPr>
        <w:t xml:space="preserve">за ограниченные ресурсы федерации. </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Ключевые возможности: использование поддержки федеральных программ, развитие ОЭЗ, экспортная переориентация на восточные рынки. </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Ключевые угрозы: санкционное давление, неопределенность приоритетов, усиление межрегиональной инвестиционной конкуренции, ограничение доступа </w:t>
      </w:r>
      <w:r w:rsidR="006739D7">
        <w:rPr>
          <w:rFonts w:ascii="Times New Roman" w:hAnsi="Times New Roman"/>
          <w:color w:val="auto"/>
          <w:sz w:val="26"/>
          <w:szCs w:val="26"/>
        </w:rPr>
        <w:br/>
      </w:r>
      <w:r w:rsidRPr="006739D7">
        <w:rPr>
          <w:rFonts w:ascii="Times New Roman" w:hAnsi="Times New Roman"/>
          <w:color w:val="auto"/>
          <w:sz w:val="26"/>
          <w:szCs w:val="26"/>
        </w:rPr>
        <w:t>к зарубежным технологиям, сокращение объемов федерального софинансирования вследствие падения доли нефтегазовых доходов федерального бюджета.</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 xml:space="preserve">Экономические факторы. </w:t>
      </w:r>
      <w:r w:rsidRPr="006739D7">
        <w:rPr>
          <w:rFonts w:ascii="Times New Roman" w:hAnsi="Times New Roman"/>
          <w:color w:val="auto"/>
          <w:sz w:val="26"/>
          <w:szCs w:val="26"/>
        </w:rPr>
        <w:t>Томская область демонстрирует устойч</w:t>
      </w:r>
      <w:r w:rsidR="006739D7">
        <w:rPr>
          <w:rFonts w:ascii="Times New Roman" w:hAnsi="Times New Roman"/>
          <w:color w:val="auto"/>
          <w:sz w:val="26"/>
          <w:szCs w:val="26"/>
        </w:rPr>
        <w:t>ивую структурную трансформацию –</w:t>
      </w:r>
      <w:r w:rsidRPr="006739D7">
        <w:rPr>
          <w:rFonts w:ascii="Times New Roman" w:hAnsi="Times New Roman"/>
          <w:color w:val="auto"/>
          <w:sz w:val="26"/>
          <w:szCs w:val="26"/>
        </w:rPr>
        <w:t xml:space="preserve"> преобладание обработки над добычей, рост инвестиций и технологических отраслей. Особенностью является диверсификация промышленного потенциала и концентрация в отдельных быстрорастущих секторах. Одновременно усиливаются диспропорции: зависимость бюджета от доходов нефтегазового сектора, волатильность налоговых поступлений, влияние макроэкономической нестабильности. </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Ключевые возможности: продвижение диверсификации, модернизация инфраструктуры, использование ресурсного и экспортного потенциала.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Ключевые угрозы: истощение месторождений, фискальные риски, жесткая денежно-кредитная политика, высокие издержки бизнеса, инвестиционное отставание от регионов-лидеров Сибири.</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 xml:space="preserve">Социальные факторы. </w:t>
      </w:r>
      <w:r w:rsidRPr="006739D7">
        <w:rPr>
          <w:rFonts w:ascii="Times New Roman" w:hAnsi="Times New Roman"/>
          <w:color w:val="auto"/>
          <w:sz w:val="26"/>
          <w:szCs w:val="26"/>
        </w:rPr>
        <w:t xml:space="preserve">Регион обладает мощным научно-образовательным комплексом, устойчивой позицией на образовательном рынке страны. В то же время сохраняются структурные проблемы </w:t>
      </w:r>
      <w:r w:rsidR="006739D7" w:rsidRPr="006739D7">
        <w:rPr>
          <w:rFonts w:ascii="Times New Roman" w:hAnsi="Times New Roman"/>
          <w:color w:val="auto"/>
          <w:sz w:val="26"/>
          <w:szCs w:val="26"/>
        </w:rPr>
        <w:t>–</w:t>
      </w:r>
      <w:r w:rsidRPr="006739D7">
        <w:rPr>
          <w:rFonts w:ascii="Times New Roman" w:hAnsi="Times New Roman"/>
          <w:color w:val="auto"/>
          <w:sz w:val="26"/>
          <w:szCs w:val="26"/>
        </w:rPr>
        <w:t xml:space="preserve"> демографическая убыль, сокращение численности молодежи и трудоспособного населения, значительный кадровый дефицит. </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Ключевые возможности: опора на научно-образовательный комплекс, целенаправленные программы привлечения и закрепления специалистов, повышение доходов населения, демографическая политика.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lastRenderedPageBreak/>
        <w:t>Ключевые угрозы: демографический спад, старение рабочей силы, отток выпускников и специалистов в другие регионы, затруднения в формировании кадровой базы для новых промышленных и инновационных направлений.</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 xml:space="preserve">Технологические факторы. </w:t>
      </w:r>
      <w:r w:rsidRPr="006739D7">
        <w:rPr>
          <w:rFonts w:ascii="Times New Roman" w:hAnsi="Times New Roman"/>
          <w:color w:val="auto"/>
          <w:sz w:val="26"/>
          <w:szCs w:val="26"/>
        </w:rPr>
        <w:t xml:space="preserve">Федеральная и региональная политика способствуют импортозамещению, развитию передовых производств, поддержке НИОКР, модернизации инфраструктуры. В регионе наметился рост производств </w:t>
      </w:r>
      <w:r w:rsidR="006739D7">
        <w:rPr>
          <w:rFonts w:ascii="Times New Roman" w:hAnsi="Times New Roman"/>
          <w:color w:val="auto"/>
          <w:sz w:val="26"/>
          <w:szCs w:val="26"/>
        </w:rPr>
        <w:br/>
      </w:r>
      <w:r w:rsidRPr="006739D7">
        <w:rPr>
          <w:rFonts w:ascii="Times New Roman" w:hAnsi="Times New Roman"/>
          <w:color w:val="auto"/>
          <w:sz w:val="26"/>
          <w:szCs w:val="26"/>
        </w:rPr>
        <w:t xml:space="preserve">в машиностроении, электронике, металлургии. Одновременно значительным барьером остается ограниченный доступ к оборудованию и технологиям </w:t>
      </w:r>
      <w:r w:rsidR="006739D7">
        <w:rPr>
          <w:rFonts w:ascii="Times New Roman" w:hAnsi="Times New Roman"/>
          <w:color w:val="auto"/>
          <w:sz w:val="26"/>
          <w:szCs w:val="26"/>
        </w:rPr>
        <w:br/>
      </w:r>
      <w:r w:rsidRPr="006739D7">
        <w:rPr>
          <w:rFonts w:ascii="Times New Roman" w:hAnsi="Times New Roman"/>
          <w:color w:val="auto"/>
          <w:sz w:val="26"/>
          <w:szCs w:val="26"/>
        </w:rPr>
        <w:t>из-за санкций и наличие устаревшей инфраструктуры.</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Ключевые возможности: использование программы НТР, развитие кластеров и кооперационных цепочек, модернизация предприятий, привлечение частных </w:t>
      </w:r>
      <w:r w:rsidR="006739D7">
        <w:rPr>
          <w:rFonts w:ascii="Times New Roman" w:hAnsi="Times New Roman"/>
          <w:color w:val="auto"/>
          <w:sz w:val="26"/>
          <w:szCs w:val="26"/>
        </w:rPr>
        <w:br/>
      </w:r>
      <w:r w:rsidRPr="006739D7">
        <w:rPr>
          <w:rFonts w:ascii="Times New Roman" w:hAnsi="Times New Roman"/>
          <w:color w:val="auto"/>
          <w:sz w:val="26"/>
          <w:szCs w:val="26"/>
        </w:rPr>
        <w:t>и федеральных инвестиций в инновации.</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Ключевые угрозы: технологическое отставание, недостаточная коммерциализация разработок, износ инфраструктуры, быстрые темпы устаревания оборудования.</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 xml:space="preserve">Экологические и климатические факторы. </w:t>
      </w:r>
      <w:r w:rsidRPr="006739D7">
        <w:rPr>
          <w:rFonts w:ascii="Times New Roman" w:hAnsi="Times New Roman"/>
          <w:color w:val="auto"/>
          <w:sz w:val="26"/>
          <w:szCs w:val="26"/>
        </w:rPr>
        <w:t>Регион отличается большой площадью лесных, водных, торфяных ресурсов и высокой климатической уязвимостью</w:t>
      </w:r>
      <w:r w:rsidRPr="006739D7">
        <w:rPr>
          <w:rStyle w:val="af3"/>
          <w:rFonts w:ascii="Times New Roman" w:hAnsi="Times New Roman"/>
          <w:color w:val="auto"/>
          <w:sz w:val="26"/>
          <w:szCs w:val="26"/>
        </w:rPr>
        <w:footnoteReference w:id="26"/>
      </w:r>
      <w:r w:rsidRPr="006739D7">
        <w:rPr>
          <w:rFonts w:ascii="Times New Roman" w:hAnsi="Times New Roman"/>
          <w:color w:val="auto"/>
          <w:sz w:val="26"/>
          <w:szCs w:val="26"/>
        </w:rPr>
        <w:t xml:space="preserve">. Тенденции изменения климата сопровождаются ростом экстремальных явлений и изменением структуры осадков и температуры, </w:t>
      </w:r>
      <w:r w:rsidR="006739D7">
        <w:rPr>
          <w:rFonts w:ascii="Times New Roman" w:hAnsi="Times New Roman"/>
          <w:color w:val="auto"/>
          <w:sz w:val="26"/>
          <w:szCs w:val="26"/>
        </w:rPr>
        <w:br/>
      </w:r>
      <w:r w:rsidRPr="006739D7">
        <w:rPr>
          <w:rFonts w:ascii="Times New Roman" w:hAnsi="Times New Roman"/>
          <w:color w:val="auto"/>
          <w:sz w:val="26"/>
          <w:szCs w:val="26"/>
        </w:rPr>
        <w:t>что затрагивает все ключевые отрасли.</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Ключевые возможности: развитие адаптационных технологий, энергосбережение, рациональное использование природных ресурсов, экологический туризм, удлинение вегетационного периода.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Ключевые угрозы: рост числа экстремальных природных явлений, торфяные и лесные пожары, снижение продуктивности агросектора, ускоренное разрушение инфраструктуры.</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 xml:space="preserve">Выводы. </w:t>
      </w:r>
      <w:r w:rsidRPr="006739D7">
        <w:rPr>
          <w:rFonts w:ascii="Times New Roman" w:hAnsi="Times New Roman"/>
          <w:color w:val="auto"/>
          <w:sz w:val="26"/>
          <w:szCs w:val="26"/>
        </w:rPr>
        <w:t xml:space="preserve">Томская область обладает значительным потенциалом </w:t>
      </w:r>
      <w:r w:rsidRPr="006739D7">
        <w:rPr>
          <w:rFonts w:ascii="Times New Roman" w:hAnsi="Times New Roman"/>
          <w:color w:val="auto"/>
          <w:sz w:val="26"/>
          <w:szCs w:val="26"/>
        </w:rPr>
        <w:br/>
        <w:t xml:space="preserve">для инновационного развития, основанным на уникальном научно-образовательном комплексе, успешной структурной трансформации экономики и федеральной поддержке. Вместе с тем регион сталкивается с критическими долгосрочными ограничениями: демографический кризис угрожает объему трудовых ресурсов, истощение нефтегазовых месторождений создает бюджетные риски, </w:t>
      </w:r>
      <w:r w:rsidR="006739D7">
        <w:rPr>
          <w:rFonts w:ascii="Times New Roman" w:hAnsi="Times New Roman"/>
          <w:color w:val="auto"/>
          <w:sz w:val="26"/>
          <w:szCs w:val="26"/>
        </w:rPr>
        <w:br/>
      </w:r>
      <w:r w:rsidRPr="006739D7">
        <w:rPr>
          <w:rFonts w:ascii="Times New Roman" w:hAnsi="Times New Roman"/>
          <w:color w:val="auto"/>
          <w:sz w:val="26"/>
          <w:szCs w:val="26"/>
        </w:rPr>
        <w:t>а климатические изменения требуют адаптации.</w:t>
      </w:r>
    </w:p>
    <w:p w:rsidR="00E618FE" w:rsidRPr="00535A4B" w:rsidRDefault="00E618FE">
      <w:pPr>
        <w:pStyle w:val="aff"/>
        <w:rPr>
          <w:rFonts w:ascii="Times New Roman" w:hAnsi="Times New Roman"/>
          <w:lang w:val="ru-RU"/>
        </w:rPr>
        <w:sectPr w:rsidR="00E618FE" w:rsidRPr="00535A4B">
          <w:pgSz w:w="11906" w:h="16838"/>
          <w:pgMar w:top="1134" w:right="850" w:bottom="1134" w:left="1701" w:header="708" w:footer="708" w:gutter="0"/>
          <w:cols w:space="708"/>
          <w:docGrid w:linePitch="360"/>
        </w:sectPr>
      </w:pPr>
    </w:p>
    <w:p w:rsidR="00E618FE" w:rsidRPr="00535A4B" w:rsidRDefault="00800098">
      <w:pPr>
        <w:pStyle w:val="aff"/>
        <w:rPr>
          <w:rFonts w:ascii="Times New Roman" w:hAnsi="Times New Roman"/>
          <w:lang w:val="ru-RU"/>
        </w:rPr>
      </w:pPr>
      <w:r w:rsidRPr="00535A4B">
        <w:rPr>
          <w:rFonts w:ascii="Times New Roman" w:hAnsi="Times New Roman"/>
          <w:lang w:val="ru-RU"/>
        </w:rPr>
        <w:lastRenderedPageBreak/>
        <w:t>Таблица Г.1. Расширенный PEST анализ — PEST+E (экология и климат)</w:t>
      </w:r>
    </w:p>
    <w:tbl>
      <w:tblPr>
        <w:tblStyle w:val="-18"/>
        <w:tblW w:w="5158" w:type="pct"/>
        <w:tblLook w:val="04A0" w:firstRow="1" w:lastRow="0" w:firstColumn="1" w:lastColumn="0" w:noHBand="0" w:noVBand="1"/>
      </w:tblPr>
      <w:tblGrid>
        <w:gridCol w:w="3076"/>
        <w:gridCol w:w="6558"/>
        <w:gridCol w:w="5386"/>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spacing w:after="160"/>
              <w:jc w:val="center"/>
            </w:pPr>
            <w:r w:rsidRPr="00535A4B">
              <w:rPr>
                <w:b w:val="0"/>
                <w:bCs w:val="0"/>
              </w:rPr>
              <w:t>ФАКТОР</w:t>
            </w:r>
          </w:p>
        </w:tc>
        <w:tc>
          <w:tcPr>
            <w:tcW w:w="218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spacing w:after="160"/>
              <w:jc w:val="center"/>
              <w:cnfStyle w:val="100000000000" w:firstRow="1" w:lastRow="0" w:firstColumn="0" w:lastColumn="0" w:oddVBand="0" w:evenVBand="0" w:oddHBand="0" w:evenHBand="0" w:firstRowFirstColumn="0" w:firstRowLastColumn="0" w:lastRowFirstColumn="0" w:lastRowLastColumn="0"/>
            </w:pPr>
            <w:r w:rsidRPr="00535A4B">
              <w:rPr>
                <w:b w:val="0"/>
                <w:bCs w:val="0"/>
              </w:rPr>
              <w:t>ВОЗМОЖНОСТИ</w:t>
            </w:r>
          </w:p>
        </w:tc>
        <w:tc>
          <w:tcPr>
            <w:tcW w:w="179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spacing w:after="160"/>
              <w:jc w:val="center"/>
              <w:cnfStyle w:val="100000000000" w:firstRow="1" w:lastRow="0" w:firstColumn="0" w:lastColumn="0" w:oddVBand="0" w:evenVBand="0" w:oddHBand="0" w:evenHBand="0" w:firstRowFirstColumn="0" w:firstRowLastColumn="0" w:lastRowFirstColumn="0" w:lastRowLastColumn="0"/>
            </w:pPr>
            <w:r w:rsidRPr="00535A4B">
              <w:rPr>
                <w:b w:val="0"/>
                <w:bCs w:val="0"/>
              </w:rPr>
              <w:t>УГРОЗЫ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1024" w:type="pct"/>
            <w:tcBorders>
              <w:top w:val="single" w:sz="4" w:space="0" w:color="000000"/>
              <w:left w:val="single" w:sz="4" w:space="0" w:color="000000"/>
              <w:bottom w:val="single" w:sz="4" w:space="0" w:color="000000"/>
              <w:right w:val="single" w:sz="4" w:space="0" w:color="000000"/>
            </w:tcBorders>
          </w:tcPr>
          <w:p w:rsidR="00E618FE" w:rsidRPr="00535A4B" w:rsidRDefault="00800098">
            <w:pPr>
              <w:spacing w:after="160"/>
              <w:jc w:val="both"/>
            </w:pPr>
            <w:r w:rsidRPr="00535A4B">
              <w:rPr>
                <w:b w:val="0"/>
                <w:bCs w:val="0"/>
              </w:rPr>
              <w:t>Политические</w:t>
            </w:r>
          </w:p>
        </w:tc>
        <w:tc>
          <w:tcPr>
            <w:tcW w:w="2183" w:type="pct"/>
            <w:tcBorders>
              <w:top w:val="single" w:sz="4" w:space="0" w:color="000000"/>
              <w:left w:val="single" w:sz="4" w:space="0" w:color="000000"/>
              <w:bottom w:val="single" w:sz="4" w:space="0" w:color="000000"/>
              <w:right w:val="single" w:sz="4" w:space="0" w:color="000000"/>
            </w:tcBorders>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 xml:space="preserve">ПВ-1: Рост участия региона в федеральных программах </w:t>
            </w:r>
            <w:r w:rsidRPr="00535A4B">
              <w:br/>
              <w:t>и наличие специальных механизмов господдержки.</w:t>
            </w:r>
            <w:r w:rsidRPr="00535A4B">
              <w:br/>
              <w:t xml:space="preserve">ПВ-2: </w:t>
            </w:r>
            <w:r w:rsidRPr="00535A4B">
              <w:rPr>
                <w:rFonts w:eastAsia="Calibri"/>
                <w:bCs/>
                <w:iCs/>
              </w:rPr>
              <w:t>Пилотный режим по разработке и внедрению комплексных региональных государственных программ научно-технологического развития</w:t>
            </w:r>
            <w:r w:rsidRPr="00535A4B">
              <w:t>.</w:t>
            </w:r>
            <w:r w:rsidRPr="00535A4B">
              <w:br/>
              <w:t xml:space="preserve">ПВ-3: Привлечение инвесторов через налоговые льготы </w:t>
            </w:r>
            <w:r w:rsidRPr="00535A4B">
              <w:br/>
              <w:t>и особую экономическую зону.</w:t>
            </w:r>
            <w:r w:rsidRPr="00535A4B">
              <w:br/>
              <w:t>ПВ-4: Стимулирование спроса на продукцию отечественных производителей.</w:t>
            </w:r>
            <w:r w:rsidRPr="00535A4B">
              <w:br/>
              <w:t xml:space="preserve">ПВ-5: Акцент на сотрудничество с азиатскими странами </w:t>
            </w:r>
            <w:r w:rsidRPr="00535A4B">
              <w:br/>
              <w:t>для усиления экспортного потенциала</w:t>
            </w:r>
          </w:p>
        </w:tc>
        <w:tc>
          <w:tcPr>
            <w:tcW w:w="1793" w:type="pct"/>
            <w:tcBorders>
              <w:top w:val="single" w:sz="4" w:space="0" w:color="000000"/>
              <w:left w:val="single" w:sz="4" w:space="0" w:color="000000"/>
              <w:bottom w:val="single" w:sz="4" w:space="0" w:color="000000"/>
              <w:right w:val="single" w:sz="4" w:space="0" w:color="000000"/>
            </w:tcBorders>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 xml:space="preserve">ПУ-1: Влияние внешнеполитической ситуации </w:t>
            </w:r>
            <w:r w:rsidRPr="00535A4B">
              <w:br/>
              <w:t>и санкций.</w:t>
            </w:r>
            <w:r w:rsidRPr="00535A4B">
              <w:br/>
              <w:t>ПУ-2: Обострение конкуренции среди российских регионов за ресурсы и федеральные субсидии.</w:t>
            </w:r>
            <w:r w:rsidRPr="00535A4B">
              <w:br/>
              <w:t>ПУ-3: Ограничения на покупку новых технологий за рубежом.</w:t>
            </w:r>
            <w:r w:rsidRPr="00535A4B">
              <w:br/>
              <w:t>ПУ-4: Возможные резкие изменения приоритетов поддержки региона со стороны федерации.</w:t>
            </w:r>
            <w:r w:rsidRPr="00535A4B">
              <w:br/>
              <w:t>ПУ-5: Неопределенность на внешних рынках</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1024" w:type="pct"/>
            <w:tcBorders>
              <w:top w:val="single" w:sz="4" w:space="0" w:color="000000"/>
              <w:left w:val="single" w:sz="4" w:space="0" w:color="000000"/>
              <w:bottom w:val="single" w:sz="4" w:space="0" w:color="000000"/>
              <w:right w:val="single" w:sz="4" w:space="0" w:color="000000"/>
            </w:tcBorders>
          </w:tcPr>
          <w:p w:rsidR="00E618FE" w:rsidRPr="00535A4B" w:rsidRDefault="00800098">
            <w:pPr>
              <w:spacing w:after="160"/>
              <w:jc w:val="both"/>
            </w:pPr>
            <w:r w:rsidRPr="00535A4B">
              <w:rPr>
                <w:b w:val="0"/>
                <w:bCs w:val="0"/>
              </w:rPr>
              <w:t>Экономические</w:t>
            </w:r>
          </w:p>
        </w:tc>
        <w:tc>
          <w:tcPr>
            <w:tcW w:w="2183" w:type="pct"/>
            <w:tcBorders>
              <w:top w:val="single" w:sz="4" w:space="0" w:color="000000"/>
              <w:left w:val="single" w:sz="4" w:space="0" w:color="000000"/>
              <w:bottom w:val="single" w:sz="4" w:space="0" w:color="000000"/>
              <w:right w:val="single" w:sz="4" w:space="0" w:color="000000"/>
            </w:tcBorders>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 xml:space="preserve">ЭВ-1: Формирование диверсифицированной экономики, </w:t>
            </w:r>
            <w:r w:rsidRPr="00535A4B">
              <w:br/>
              <w:t>где возрастают роль и вклад современных производств.</w:t>
            </w:r>
            <w:r w:rsidRPr="00535A4B">
              <w:br/>
              <w:t>ЭВ-2: Привлечение инвестиций, а также федеральных средств в геологоразведочные работы (поиск и разработка новых природных ресурсов).</w:t>
            </w:r>
            <w:r w:rsidRPr="00535A4B">
              <w:br/>
              <w:t>ЭВ-3: Развитие экспорта и логистики благодаря выгодному географическому положению.</w:t>
            </w:r>
            <w:r w:rsidRPr="00535A4B">
              <w:br/>
              <w:t>ЭВ-4: Возможности для роста малого и среднего бизнеса через расширение рынков и технологическую модернизацию.</w:t>
            </w:r>
            <w:r w:rsidRPr="00535A4B">
              <w:br/>
              <w:t>ЭВ-5: Вовлечение лесных и других ресурсов в создание новых производств</w:t>
            </w:r>
          </w:p>
        </w:tc>
        <w:tc>
          <w:tcPr>
            <w:tcW w:w="1793" w:type="pct"/>
            <w:tcBorders>
              <w:top w:val="single" w:sz="4" w:space="0" w:color="000000"/>
              <w:left w:val="single" w:sz="4" w:space="0" w:color="000000"/>
              <w:bottom w:val="single" w:sz="4" w:space="0" w:color="000000"/>
              <w:right w:val="single" w:sz="4" w:space="0" w:color="000000"/>
            </w:tcBorders>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ЭУ-1: Уменьшение запасов нефти и газа на старых месторождениях и связанное с этим падение бюджетных поступлений.</w:t>
            </w:r>
            <w:r w:rsidRPr="00535A4B">
              <w:br/>
              <w:t xml:space="preserve">ЭУ-2: Зависимость областной экономики </w:t>
            </w:r>
            <w:r w:rsidRPr="00535A4B">
              <w:br/>
              <w:t>и бюджета от добывающих отраслей.</w:t>
            </w:r>
            <w:r w:rsidRPr="00535A4B">
              <w:br/>
              <w:t xml:space="preserve">ЭУ-3: Неустойчивость налоговой базы </w:t>
            </w:r>
            <w:r w:rsidRPr="00535A4B">
              <w:br/>
              <w:t>из-за влияния мировых цен и макроэкономики.</w:t>
            </w:r>
            <w:r w:rsidRPr="00535A4B">
              <w:br/>
              <w:t xml:space="preserve">ЭУ-4: Рост затрат на финансирование бизнеса </w:t>
            </w:r>
            <w:r w:rsidRPr="00535A4B">
              <w:br/>
              <w:t>и проектов.</w:t>
            </w:r>
            <w:r w:rsidRPr="00535A4B">
              <w:br/>
              <w:t>ЭУ-5: Сложности с привлечением крупных инвесторов по сравнению с более развитыми соседними регионами</w:t>
            </w:r>
          </w:p>
        </w:tc>
      </w:tr>
    </w:tbl>
    <w:p w:rsidR="00E618FE" w:rsidRPr="00535A4B" w:rsidRDefault="00E618FE"/>
    <w:p w:rsidR="00E618FE" w:rsidRPr="00535A4B" w:rsidRDefault="00800098">
      <w:pPr>
        <w:spacing w:after="160" w:line="259" w:lineRule="auto"/>
      </w:pPr>
      <w:r w:rsidRPr="00535A4B">
        <w:br w:type="page" w:clear="all"/>
      </w:r>
    </w:p>
    <w:p w:rsidR="00E618FE" w:rsidRPr="00535A4B" w:rsidRDefault="00E618FE"/>
    <w:tbl>
      <w:tblPr>
        <w:tblStyle w:val="-18"/>
        <w:tblW w:w="5158" w:type="pct"/>
        <w:jc w:val="center"/>
        <w:tblCellMar>
          <w:left w:w="28" w:type="dxa"/>
          <w:right w:w="28" w:type="dxa"/>
        </w:tblCellMar>
        <w:tblLook w:val="04A0" w:firstRow="1" w:lastRow="0" w:firstColumn="1" w:lastColumn="0" w:noHBand="0" w:noVBand="1"/>
      </w:tblPr>
      <w:tblGrid>
        <w:gridCol w:w="2121"/>
        <w:gridCol w:w="7513"/>
        <w:gridCol w:w="5386"/>
      </w:tblGrid>
      <w:tr w:rsidR="00E618FE" w:rsidRPr="00535A4B" w:rsidTr="00E618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6" w:type="pct"/>
            <w:shd w:val="clear" w:color="auto" w:fill="DEEAF6" w:themeFill="accent1" w:themeFillTint="33"/>
          </w:tcPr>
          <w:p w:rsidR="00E618FE" w:rsidRPr="00535A4B" w:rsidRDefault="00800098">
            <w:pPr>
              <w:spacing w:after="160"/>
              <w:jc w:val="center"/>
            </w:pPr>
            <w:r w:rsidRPr="00535A4B">
              <w:t>Фактор</w:t>
            </w:r>
          </w:p>
        </w:tc>
        <w:tc>
          <w:tcPr>
            <w:tcW w:w="2501" w:type="pct"/>
            <w:shd w:val="clear" w:color="auto" w:fill="DEEAF6" w:themeFill="accent1" w:themeFillTint="33"/>
          </w:tcPr>
          <w:p w:rsidR="00E618FE" w:rsidRPr="00535A4B" w:rsidRDefault="00800098">
            <w:pPr>
              <w:spacing w:after="160"/>
              <w:jc w:val="center"/>
              <w:cnfStyle w:val="100000000000" w:firstRow="1" w:lastRow="0" w:firstColumn="0" w:lastColumn="0" w:oddVBand="0" w:evenVBand="0" w:oddHBand="0" w:evenHBand="0" w:firstRowFirstColumn="0" w:firstRowLastColumn="0" w:lastRowFirstColumn="0" w:lastRowLastColumn="0"/>
            </w:pPr>
            <w:r w:rsidRPr="00535A4B">
              <w:t>Возможности</w:t>
            </w:r>
          </w:p>
        </w:tc>
        <w:tc>
          <w:tcPr>
            <w:tcW w:w="1793" w:type="pct"/>
            <w:shd w:val="clear" w:color="auto" w:fill="DEEAF6" w:themeFill="accent1" w:themeFillTint="33"/>
          </w:tcPr>
          <w:p w:rsidR="00E618FE" w:rsidRPr="00535A4B" w:rsidRDefault="00800098">
            <w:pPr>
              <w:spacing w:after="160"/>
              <w:jc w:val="center"/>
              <w:cnfStyle w:val="100000000000" w:firstRow="1" w:lastRow="0" w:firstColumn="0" w:lastColumn="0" w:oddVBand="0" w:evenVBand="0" w:oddHBand="0" w:evenHBand="0" w:firstRowFirstColumn="0" w:firstRowLastColumn="0" w:lastRowFirstColumn="0" w:lastRowLastColumn="0"/>
            </w:pPr>
            <w:r w:rsidRPr="00535A4B">
              <w:t>Угрозы</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706" w:type="pct"/>
          </w:tcPr>
          <w:p w:rsidR="00E618FE" w:rsidRPr="00535A4B" w:rsidRDefault="00800098">
            <w:pPr>
              <w:spacing w:after="160"/>
            </w:pPr>
            <w:r w:rsidRPr="00535A4B">
              <w:rPr>
                <w:b w:val="0"/>
                <w:bCs w:val="0"/>
              </w:rPr>
              <w:t>Социальные</w:t>
            </w:r>
          </w:p>
        </w:tc>
        <w:tc>
          <w:tcPr>
            <w:tcW w:w="2501" w:type="pct"/>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СВ-1: Присутствие крупных университетов и исследовательских институтов, что позволяет формировать кадры для перспективных отраслей.</w:t>
            </w:r>
            <w:r w:rsidRPr="00535A4B">
              <w:br/>
              <w:t>СВ-2: Реализация новых программ обучения и привлечения молодых специалистов.</w:t>
            </w:r>
            <w:r w:rsidRPr="00535A4B">
              <w:br/>
              <w:t>СВ-3: Повышение уровня жизни населения и создание новых рабочих мест через технологический рывок.</w:t>
            </w:r>
            <w:r w:rsidRPr="00535A4B">
              <w:br/>
              <w:t>СВ-4: Возможности для роста социальной инфраструктуры (образование, медицина, городская среда)</w:t>
            </w:r>
          </w:p>
        </w:tc>
        <w:tc>
          <w:tcPr>
            <w:tcW w:w="1793" w:type="pct"/>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СУ-1: Снижение доли населения в трудоспособном возрасте из-за демографического кризиса.</w:t>
            </w:r>
            <w:r w:rsidRPr="00535A4B">
              <w:br/>
              <w:t>СУ-2: Отъезд молодежи и специалистов в другие города России и за рубеж.</w:t>
            </w:r>
            <w:r w:rsidRPr="00535A4B">
              <w:br/>
              <w:t>СУ-3: Несоответствие структуры кадров новым экономическим потребностям.</w:t>
            </w:r>
            <w:r w:rsidRPr="00535A4B">
              <w:br/>
              <w:t>СУ-4: Рост социальной и территориальной дифференциации внутри региона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706" w:type="pct"/>
          </w:tcPr>
          <w:p w:rsidR="00E618FE" w:rsidRPr="00535A4B" w:rsidRDefault="00800098">
            <w:pPr>
              <w:spacing w:after="160"/>
            </w:pPr>
            <w:r w:rsidRPr="00535A4B">
              <w:rPr>
                <w:b w:val="0"/>
                <w:bCs w:val="0"/>
              </w:rPr>
              <w:t>Технологические</w:t>
            </w:r>
          </w:p>
        </w:tc>
        <w:tc>
          <w:tcPr>
            <w:tcW w:w="2501" w:type="pct"/>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 xml:space="preserve">ТВ-1: Поддержка внедрения отечественных технологий и решений </w:t>
            </w:r>
            <w:r w:rsidRPr="00535A4B">
              <w:br/>
              <w:t>в промышленности, энергетике, транспорте.</w:t>
            </w:r>
            <w:r w:rsidRPr="00535A4B">
              <w:br/>
              <w:t>ТВ-2: Развитие передовых производств (электроника, машиностроение, химия) с господдержкой.</w:t>
            </w:r>
            <w:r w:rsidRPr="00535A4B">
              <w:br/>
              <w:t>ТВ-3: Улучшение региональной инфраструктуры.</w:t>
            </w:r>
            <w:r w:rsidRPr="00535A4B">
              <w:br/>
              <w:t xml:space="preserve">ТВ-4: Рост сотрудничества с крупными российскими компаниями </w:t>
            </w:r>
            <w:r w:rsidRPr="00535A4B">
              <w:br/>
              <w:t>и создание совместных инновационных проектов.</w:t>
            </w:r>
            <w:r w:rsidRPr="00535A4B">
              <w:br/>
              <w:t xml:space="preserve">ТВ-5: Применение цифровых и автоматизированных решений </w:t>
            </w:r>
            <w:r w:rsidRPr="00535A4B">
              <w:br/>
              <w:t>для повышения эффективности бизнеса</w:t>
            </w:r>
          </w:p>
        </w:tc>
        <w:tc>
          <w:tcPr>
            <w:tcW w:w="1793" w:type="pct"/>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ТУ-1: Ограничение доступа к современному зарубежному оборудованию и IT-разработкам.</w:t>
            </w:r>
            <w:r w:rsidRPr="00535A4B">
              <w:br/>
              <w:t>ТУ-2: Отставание по уровню технологической базы от лидирующих регионов.</w:t>
            </w:r>
            <w:r w:rsidRPr="00535A4B">
              <w:br/>
              <w:t>ТУ-3: Недооценка и слабое внедрение научных исследований в реальное производство.</w:t>
            </w:r>
            <w:r w:rsidRPr="00535A4B">
              <w:br/>
              <w:t>ТУ-4: Износ инфраструктуры и быстрое старение оборудования; необходимость дорогостоящей модернизации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706" w:type="pct"/>
          </w:tcPr>
          <w:p w:rsidR="00E618FE" w:rsidRPr="00535A4B" w:rsidRDefault="00800098">
            <w:pPr>
              <w:spacing w:after="160"/>
            </w:pPr>
            <w:r w:rsidRPr="00535A4B">
              <w:rPr>
                <w:b w:val="0"/>
                <w:bCs w:val="0"/>
              </w:rPr>
              <w:t xml:space="preserve">Экологические </w:t>
            </w:r>
            <w:r w:rsidRPr="00535A4B">
              <w:rPr>
                <w:b w:val="0"/>
                <w:bCs w:val="0"/>
              </w:rPr>
              <w:br/>
              <w:t>и климатические</w:t>
            </w:r>
          </w:p>
        </w:tc>
        <w:tc>
          <w:tcPr>
            <w:tcW w:w="2501" w:type="pct"/>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КВ-1: Разработка комплексных программ адаптации к новым климатическим условиям, включая модернизацию систем водоснабжения, утепления, энергосбережения.</w:t>
            </w:r>
            <w:r w:rsidRPr="00535A4B">
              <w:br/>
              <w:t>КВ-2: Уменьшение расходов на отопление за счет потепления климата.</w:t>
            </w:r>
            <w:r w:rsidRPr="00535A4B">
              <w:br/>
              <w:t>КВ-3: Бережливое использование природных ресурсов региона (лес, торф, вода).</w:t>
            </w:r>
            <w:r w:rsidRPr="00535A4B">
              <w:br/>
              <w:t>КВ-4: Развитие экологического, природного и активного зимнего туризма.</w:t>
            </w:r>
            <w:r w:rsidRPr="00535A4B">
              <w:br/>
              <w:t>КВ-5: Внедрение решений по защите от природных катастроф, повышение безопасности и устойчивости инфраструктуры</w:t>
            </w:r>
          </w:p>
        </w:tc>
        <w:tc>
          <w:tcPr>
            <w:tcW w:w="1793" w:type="pct"/>
          </w:tcPr>
          <w:p w:rsidR="00E618FE" w:rsidRPr="00535A4B" w:rsidRDefault="00800098">
            <w:pPr>
              <w:spacing w:after="160"/>
              <w:cnfStyle w:val="000000000000" w:firstRow="0" w:lastRow="0" w:firstColumn="0" w:lastColumn="0" w:oddVBand="0" w:evenVBand="0" w:oddHBand="0" w:evenHBand="0" w:firstRowFirstColumn="0" w:firstRowLastColumn="0" w:lastRowFirstColumn="0" w:lastRowLastColumn="0"/>
            </w:pPr>
            <w:r w:rsidRPr="00535A4B">
              <w:t>КУ-1: Увеличение числа и масштабов опасных природных явлений (лесные и торфяные пожары, паводки, заморозки и пр.).</w:t>
            </w:r>
            <w:r w:rsidRPr="00535A4B">
              <w:br/>
              <w:t>КУ-2: Сокращение урожайности и ухудшение условий для традиционного сельского хозяйства.</w:t>
            </w:r>
            <w:r w:rsidRPr="00535A4B">
              <w:br/>
              <w:t>КУ-3: Ущерб от частых температурных колебаний.</w:t>
            </w:r>
            <w:r w:rsidRPr="00535A4B">
              <w:br/>
              <w:t>КУ-4: Рост стоимости содержания и обновления инфраструктуры; необходимость регулярных инвестиций в защиту окружающей среды</w:t>
            </w:r>
          </w:p>
        </w:tc>
      </w:tr>
    </w:tbl>
    <w:p w:rsidR="00E618FE" w:rsidRPr="00535A4B" w:rsidRDefault="00E618FE">
      <w:pPr>
        <w:jc w:val="both"/>
        <w:rPr>
          <w:sz w:val="28"/>
          <w:szCs w:val="28"/>
        </w:rPr>
        <w:sectPr w:rsidR="00E618FE" w:rsidRPr="00535A4B">
          <w:pgSz w:w="16838" w:h="11906" w:orient="landscape"/>
          <w:pgMar w:top="1701" w:right="1134" w:bottom="850" w:left="1134" w:header="708" w:footer="708" w:gutter="0"/>
          <w:cols w:space="708"/>
          <w:docGrid w:linePitch="360"/>
        </w:sectPr>
      </w:pPr>
    </w:p>
    <w:p w:rsidR="00E618FE" w:rsidRPr="006739D7" w:rsidRDefault="00800098">
      <w:pPr>
        <w:pStyle w:val="a4"/>
        <w:rPr>
          <w:rFonts w:ascii="Times New Roman" w:hAnsi="Times New Roman"/>
          <w:color w:val="auto"/>
          <w:sz w:val="26"/>
          <w:szCs w:val="26"/>
        </w:rPr>
      </w:pPr>
      <w:r w:rsidRPr="00535A4B">
        <w:rPr>
          <w:rFonts w:ascii="Times New Roman" w:hAnsi="Times New Roman"/>
          <w:b/>
          <w:color w:val="auto"/>
        </w:rPr>
        <w:lastRenderedPageBreak/>
        <w:t xml:space="preserve">Общий вывод. </w:t>
      </w:r>
      <w:r w:rsidRPr="006739D7">
        <w:rPr>
          <w:rFonts w:ascii="Times New Roman" w:hAnsi="Times New Roman"/>
          <w:color w:val="auto"/>
          <w:sz w:val="26"/>
          <w:szCs w:val="26"/>
        </w:rPr>
        <w:t xml:space="preserve">PEST-анализ показывает, что внешняя среда Томской области сочетает заметные риски с широким спектром возможностей, </w:t>
      </w:r>
      <w:r w:rsidR="006739D7">
        <w:rPr>
          <w:rFonts w:ascii="Times New Roman" w:hAnsi="Times New Roman"/>
          <w:color w:val="auto"/>
          <w:sz w:val="26"/>
          <w:szCs w:val="26"/>
        </w:rPr>
        <w:br/>
      </w:r>
      <w:r w:rsidRPr="006739D7">
        <w:rPr>
          <w:rFonts w:ascii="Times New Roman" w:hAnsi="Times New Roman"/>
          <w:color w:val="auto"/>
          <w:sz w:val="26"/>
          <w:szCs w:val="26"/>
        </w:rPr>
        <w:t xml:space="preserve">при этом наибольший «резерв роста» сосредоточен на субнациональном уровне. Глобальные и национальные факторы (санкции, волатильность сырьевых рынков, демографические тренды, климатические изменения) усиливают неопределенность, но одновременно создают стимулы для структурной перестройки экономики </w:t>
      </w:r>
      <w:r w:rsidR="006739D7">
        <w:rPr>
          <w:rFonts w:ascii="Times New Roman" w:hAnsi="Times New Roman"/>
          <w:color w:val="auto"/>
          <w:sz w:val="26"/>
          <w:szCs w:val="26"/>
        </w:rPr>
        <w:br/>
      </w:r>
      <w:r w:rsidRPr="006739D7">
        <w:rPr>
          <w:rFonts w:ascii="Times New Roman" w:hAnsi="Times New Roman"/>
          <w:color w:val="auto"/>
          <w:sz w:val="26"/>
          <w:szCs w:val="26"/>
        </w:rPr>
        <w:t>и усиления технологического суверенитета.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Ключевыми стратегическими преимуществами региона выступают мощная научно-образовательная инфраструктура, богатые природные ресурсы, </w:t>
      </w:r>
      <w:r w:rsidR="006739D7">
        <w:rPr>
          <w:rFonts w:ascii="Times New Roman" w:hAnsi="Times New Roman"/>
          <w:color w:val="auto"/>
          <w:sz w:val="26"/>
          <w:szCs w:val="26"/>
        </w:rPr>
        <w:br/>
      </w:r>
      <w:r w:rsidRPr="006739D7">
        <w:rPr>
          <w:rFonts w:ascii="Times New Roman" w:hAnsi="Times New Roman"/>
          <w:color w:val="auto"/>
          <w:sz w:val="26"/>
          <w:szCs w:val="26"/>
        </w:rPr>
        <w:t>а также потенциал для развития экологического и зимнего туризма и «зеленых» проектов. Эти факторы открывают окно возможностей для перехода от сырьевой зависимости к модели экономики знаний, углубленной переработки сырья и роста малого и среднего бизнеса на основе инноваций и цифровизации.</w:t>
      </w:r>
    </w:p>
    <w:p w:rsidR="00E618FE" w:rsidRPr="00535A4B" w:rsidRDefault="00800098">
      <w:pPr>
        <w:pStyle w:val="a4"/>
        <w:rPr>
          <w:rFonts w:ascii="Times New Roman" w:hAnsi="Times New Roman"/>
          <w:color w:val="auto"/>
        </w:rPr>
      </w:pPr>
      <w:r w:rsidRPr="006739D7">
        <w:rPr>
          <w:rFonts w:ascii="Times New Roman" w:hAnsi="Times New Roman"/>
          <w:color w:val="auto"/>
          <w:sz w:val="26"/>
          <w:szCs w:val="26"/>
        </w:rPr>
        <w:t xml:space="preserve">Основные угрозы связаны с ресурсной и технологической уязвимостью (истощение месторождений, отставание технологической базы, санкционные ограничения), климатическими рисками и демографическими вызовами (отток молодежи, старение населения, социальная дифференциация). Поэтому стратегический вывод из PEST-анализa состоит в необходимости активной региональной политики, которая опирается на федеральную поддержку, но делает акцент на развитие человеческого капитала, инноваций, инфраструктуры </w:t>
      </w:r>
      <w:r w:rsidR="006739D7">
        <w:rPr>
          <w:rFonts w:ascii="Times New Roman" w:hAnsi="Times New Roman"/>
          <w:color w:val="auto"/>
          <w:sz w:val="26"/>
          <w:szCs w:val="26"/>
        </w:rPr>
        <w:br/>
      </w:r>
      <w:r w:rsidRPr="006739D7">
        <w:rPr>
          <w:rFonts w:ascii="Times New Roman" w:hAnsi="Times New Roman"/>
          <w:color w:val="auto"/>
          <w:sz w:val="26"/>
          <w:szCs w:val="26"/>
        </w:rPr>
        <w:t xml:space="preserve">и экологической устойчивости, используя внешние возможности </w:t>
      </w:r>
      <w:r w:rsidR="006739D7">
        <w:rPr>
          <w:rFonts w:ascii="Times New Roman" w:hAnsi="Times New Roman"/>
          <w:color w:val="auto"/>
          <w:sz w:val="26"/>
          <w:szCs w:val="26"/>
        </w:rPr>
        <w:br/>
      </w:r>
      <w:r w:rsidRPr="006739D7">
        <w:rPr>
          <w:rFonts w:ascii="Times New Roman" w:hAnsi="Times New Roman"/>
          <w:color w:val="auto"/>
          <w:sz w:val="26"/>
          <w:szCs w:val="26"/>
        </w:rPr>
        <w:t>для целенаправленной нейтрализации выявленных угроз.</w:t>
      </w:r>
    </w:p>
    <w:p w:rsidR="00E618FE" w:rsidRPr="00535A4B" w:rsidRDefault="00E618FE">
      <w:pPr>
        <w:pStyle w:val="a4"/>
        <w:rPr>
          <w:rFonts w:ascii="Times New Roman" w:hAnsi="Times New Roman"/>
          <w:color w:val="auto"/>
        </w:rPr>
      </w:pPr>
    </w:p>
    <w:p w:rsidR="00E618FE" w:rsidRPr="00535A4B" w:rsidRDefault="00800098">
      <w:pPr>
        <w:pStyle w:val="41"/>
        <w:rPr>
          <w:rFonts w:ascii="Times New Roman" w:hAnsi="Times New Roman"/>
          <w:lang w:val="ru-RU"/>
        </w:rPr>
      </w:pPr>
      <w:bookmarkStart w:id="303" w:name="_Toc228496338"/>
      <w:bookmarkStart w:id="304" w:name="_Toc228735165"/>
      <w:bookmarkStart w:id="305" w:name="_Toc229125321"/>
      <w:bookmarkStart w:id="306" w:name="_Toc229138013"/>
      <w:bookmarkStart w:id="307" w:name="_Toc229962311"/>
      <w:bookmarkStart w:id="308" w:name="_Toc231449481"/>
      <w:bookmarkStart w:id="309" w:name="_Toc231551994"/>
      <w:bookmarkStart w:id="310" w:name="_Toc231767537"/>
      <w:bookmarkStart w:id="311" w:name="_Toc231832717"/>
      <w:bookmarkStart w:id="312" w:name="_Toc235810190"/>
      <w:bookmarkStart w:id="313" w:name="_Toc235810328"/>
      <w:r w:rsidRPr="00535A4B">
        <w:rPr>
          <w:rFonts w:ascii="Times New Roman" w:hAnsi="Times New Roman"/>
          <w:lang w:val="ru-RU"/>
        </w:rPr>
        <w:t xml:space="preserve">Г.2 </w:t>
      </w:r>
      <w:r w:rsidRPr="00535A4B">
        <w:rPr>
          <w:rFonts w:ascii="Times New Roman" w:hAnsi="Times New Roman"/>
        </w:rPr>
        <w:t>SWOT</w:t>
      </w:r>
      <w:r w:rsidRPr="00535A4B">
        <w:rPr>
          <w:rFonts w:ascii="Times New Roman" w:hAnsi="Times New Roman"/>
          <w:lang w:val="ru-RU"/>
        </w:rPr>
        <w:t>-анализ</w:t>
      </w:r>
      <w:bookmarkEnd w:id="301"/>
      <w:bookmarkEnd w:id="302"/>
      <w:bookmarkEnd w:id="303"/>
      <w:bookmarkEnd w:id="304"/>
      <w:bookmarkEnd w:id="305"/>
      <w:bookmarkEnd w:id="306"/>
      <w:bookmarkEnd w:id="307"/>
      <w:bookmarkEnd w:id="308"/>
      <w:bookmarkEnd w:id="309"/>
      <w:bookmarkEnd w:id="310"/>
      <w:bookmarkEnd w:id="311"/>
      <w:bookmarkEnd w:id="312"/>
      <w:bookmarkEnd w:id="313"/>
    </w:p>
    <w:p w:rsidR="00E618FE" w:rsidRPr="00535A4B" w:rsidRDefault="00800098">
      <w:pPr>
        <w:pStyle w:val="a4"/>
        <w:rPr>
          <w:rFonts w:ascii="Times New Roman" w:hAnsi="Times New Roman"/>
          <w:b/>
          <w:bCs/>
          <w:color w:val="auto"/>
          <w:spacing w:val="-2"/>
        </w:rPr>
      </w:pPr>
      <w:r w:rsidRPr="00535A4B">
        <w:rPr>
          <w:rFonts w:ascii="Times New Roman" w:hAnsi="Times New Roman"/>
          <w:b/>
          <w:bCs/>
          <w:color w:val="auto"/>
        </w:rPr>
        <w:t>Краткая</w:t>
      </w:r>
      <w:r w:rsidRPr="00535A4B">
        <w:rPr>
          <w:rFonts w:ascii="Times New Roman" w:hAnsi="Times New Roman"/>
          <w:b/>
          <w:bCs/>
          <w:color w:val="auto"/>
          <w:spacing w:val="9"/>
        </w:rPr>
        <w:t xml:space="preserve"> </w:t>
      </w:r>
      <w:r w:rsidRPr="00535A4B">
        <w:rPr>
          <w:rFonts w:ascii="Times New Roman" w:hAnsi="Times New Roman"/>
          <w:b/>
          <w:bCs/>
          <w:color w:val="auto"/>
        </w:rPr>
        <w:t>характеристика</w:t>
      </w:r>
      <w:r w:rsidRPr="00535A4B">
        <w:rPr>
          <w:rFonts w:ascii="Times New Roman" w:hAnsi="Times New Roman"/>
          <w:b/>
          <w:bCs/>
          <w:color w:val="auto"/>
          <w:spacing w:val="10"/>
        </w:rPr>
        <w:t xml:space="preserve"> </w:t>
      </w:r>
      <w:r w:rsidRPr="00535A4B">
        <w:rPr>
          <w:rFonts w:ascii="Times New Roman" w:hAnsi="Times New Roman"/>
          <w:b/>
          <w:bCs/>
          <w:color w:val="auto"/>
        </w:rPr>
        <w:t>текущего</w:t>
      </w:r>
      <w:r w:rsidRPr="00535A4B">
        <w:rPr>
          <w:rFonts w:ascii="Times New Roman" w:hAnsi="Times New Roman"/>
          <w:b/>
          <w:bCs/>
          <w:color w:val="auto"/>
          <w:spacing w:val="10"/>
        </w:rPr>
        <w:t xml:space="preserve"> </w:t>
      </w:r>
      <w:r w:rsidRPr="00535A4B">
        <w:rPr>
          <w:rFonts w:ascii="Times New Roman" w:hAnsi="Times New Roman"/>
          <w:b/>
          <w:bCs/>
          <w:color w:val="auto"/>
          <w:spacing w:val="-2"/>
        </w:rPr>
        <w:t>положения</w:t>
      </w:r>
    </w:p>
    <w:p w:rsidR="00E618FE" w:rsidRPr="006739D7" w:rsidRDefault="00800098">
      <w:pPr>
        <w:pStyle w:val="a4"/>
        <w:rPr>
          <w:rFonts w:ascii="Times New Roman" w:hAnsi="Times New Roman"/>
          <w:color w:val="auto"/>
          <w:spacing w:val="-2"/>
          <w:sz w:val="26"/>
          <w:szCs w:val="26"/>
        </w:rPr>
      </w:pPr>
      <w:r w:rsidRPr="006739D7">
        <w:rPr>
          <w:rFonts w:ascii="Times New Roman" w:hAnsi="Times New Roman"/>
          <w:color w:val="auto"/>
          <w:sz w:val="26"/>
          <w:szCs w:val="26"/>
        </w:rPr>
        <w:t>Томская область демонстрирует устойчивую положительную динамику основных макроэкономических показателей</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при</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сохранении</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ряда</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структурных</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ограничений</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развития.</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 xml:space="preserve">Наблюдается качественное изменение структуры экономики в направлении диверсификации и развития обрабатывающих </w:t>
      </w:r>
      <w:r w:rsidRPr="006739D7">
        <w:rPr>
          <w:rFonts w:ascii="Times New Roman" w:hAnsi="Times New Roman"/>
          <w:color w:val="auto"/>
          <w:spacing w:val="-2"/>
          <w:sz w:val="26"/>
          <w:szCs w:val="26"/>
        </w:rPr>
        <w:t>производств.</w:t>
      </w:r>
    </w:p>
    <w:p w:rsidR="00E618FE" w:rsidRPr="006739D7" w:rsidRDefault="00800098">
      <w:pPr>
        <w:pStyle w:val="a4"/>
        <w:rPr>
          <w:rFonts w:ascii="Times New Roman" w:hAnsi="Times New Roman"/>
          <w:color w:val="auto"/>
          <w:spacing w:val="-2"/>
          <w:sz w:val="26"/>
          <w:szCs w:val="26"/>
        </w:rPr>
      </w:pPr>
      <w:r w:rsidRPr="006739D7">
        <w:rPr>
          <w:rFonts w:ascii="Times New Roman" w:hAnsi="Times New Roman"/>
          <w:color w:val="auto"/>
          <w:sz w:val="26"/>
          <w:szCs w:val="26"/>
        </w:rPr>
        <w:t>Вместе с тем регион сталкивается с демографическими вызовами, снижением добычи углеводородов и ограничениями,</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связанными</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внешнеэкономической</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ситуацией.</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Сохраняется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зависимость</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бюджета</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от</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доходов нефтегазового</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сектора.</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Наблюдается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дефицит</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трудовых</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ресурсов</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на</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фоне</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устойчивого</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сокращения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 xml:space="preserve">численности </w:t>
      </w:r>
      <w:r w:rsidRPr="006739D7">
        <w:rPr>
          <w:rFonts w:ascii="Times New Roman" w:hAnsi="Times New Roman"/>
          <w:color w:val="auto"/>
          <w:spacing w:val="-2"/>
          <w:sz w:val="26"/>
          <w:szCs w:val="26"/>
        </w:rPr>
        <w:t>населения.</w:t>
      </w:r>
    </w:p>
    <w:p w:rsidR="00E618FE" w:rsidRPr="00535A4B" w:rsidRDefault="00E618FE">
      <w:pPr>
        <w:pStyle w:val="a4"/>
        <w:rPr>
          <w:rFonts w:ascii="Times New Roman" w:hAnsi="Times New Roman"/>
          <w:color w:val="auto"/>
          <w:spacing w:val="-2"/>
        </w:rPr>
      </w:pP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Характеристика ключевых изменений за период 2020 – 2024 годов</w:t>
      </w:r>
    </w:p>
    <w:p w:rsidR="00E618FE" w:rsidRPr="006739D7" w:rsidRDefault="00800098">
      <w:pPr>
        <w:pStyle w:val="a4"/>
        <w:rPr>
          <w:rFonts w:ascii="Times New Roman" w:hAnsi="Times New Roman"/>
          <w:color w:val="auto"/>
          <w:sz w:val="26"/>
          <w:szCs w:val="26"/>
        </w:rPr>
      </w:pPr>
      <w:r w:rsidRPr="00535A4B">
        <w:rPr>
          <w:rFonts w:ascii="Times New Roman" w:hAnsi="Times New Roman"/>
          <w:b/>
          <w:color w:val="auto"/>
        </w:rPr>
        <w:t>Экономическая</w:t>
      </w:r>
      <w:r w:rsidRPr="00535A4B">
        <w:rPr>
          <w:rFonts w:ascii="Times New Roman" w:hAnsi="Times New Roman"/>
          <w:b/>
          <w:color w:val="auto"/>
          <w:spacing w:val="6"/>
        </w:rPr>
        <w:t xml:space="preserve"> </w:t>
      </w:r>
      <w:r w:rsidRPr="00535A4B">
        <w:rPr>
          <w:rFonts w:ascii="Times New Roman" w:hAnsi="Times New Roman"/>
          <w:b/>
          <w:color w:val="auto"/>
          <w:spacing w:val="-4"/>
        </w:rPr>
        <w:t xml:space="preserve">сфера. </w:t>
      </w:r>
      <w:r w:rsidRPr="006739D7">
        <w:rPr>
          <w:rFonts w:ascii="Times New Roman" w:hAnsi="Times New Roman"/>
          <w:color w:val="auto"/>
          <w:sz w:val="26"/>
          <w:szCs w:val="26"/>
        </w:rPr>
        <w:t>В</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2020 – 2024</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годах</w:t>
      </w:r>
      <w:r w:rsidRPr="006739D7">
        <w:rPr>
          <w:rFonts w:ascii="Times New Roman" w:hAnsi="Times New Roman"/>
          <w:color w:val="auto"/>
          <w:spacing w:val="-7"/>
          <w:sz w:val="26"/>
          <w:szCs w:val="26"/>
        </w:rPr>
        <w:t xml:space="preserve"> </w:t>
      </w:r>
      <w:r w:rsidRPr="006739D7">
        <w:rPr>
          <w:rFonts w:ascii="Times New Roman" w:hAnsi="Times New Roman"/>
          <w:color w:val="auto"/>
          <w:sz w:val="26"/>
          <w:szCs w:val="26"/>
        </w:rPr>
        <w:t>произошла</w:t>
      </w:r>
      <w:r w:rsidRPr="006739D7">
        <w:rPr>
          <w:rFonts w:ascii="Times New Roman" w:hAnsi="Times New Roman"/>
          <w:color w:val="auto"/>
          <w:spacing w:val="-7"/>
          <w:sz w:val="26"/>
          <w:szCs w:val="26"/>
        </w:rPr>
        <w:t xml:space="preserve"> </w:t>
      </w:r>
      <w:r w:rsidRPr="006739D7">
        <w:rPr>
          <w:rFonts w:ascii="Times New Roman" w:hAnsi="Times New Roman"/>
          <w:color w:val="auto"/>
          <w:sz w:val="26"/>
          <w:szCs w:val="26"/>
        </w:rPr>
        <w:t>структурная</w:t>
      </w:r>
      <w:r w:rsidRPr="006739D7">
        <w:rPr>
          <w:rFonts w:ascii="Times New Roman" w:hAnsi="Times New Roman"/>
          <w:color w:val="auto"/>
          <w:spacing w:val="-10"/>
          <w:sz w:val="26"/>
          <w:szCs w:val="26"/>
        </w:rPr>
        <w:t xml:space="preserve"> </w:t>
      </w:r>
      <w:r w:rsidRPr="006739D7">
        <w:rPr>
          <w:rFonts w:ascii="Times New Roman" w:hAnsi="Times New Roman"/>
          <w:color w:val="auto"/>
          <w:sz w:val="26"/>
          <w:szCs w:val="26"/>
        </w:rPr>
        <w:t>трансформация</w:t>
      </w:r>
      <w:r w:rsidRPr="006739D7">
        <w:rPr>
          <w:rFonts w:ascii="Times New Roman" w:hAnsi="Times New Roman"/>
          <w:color w:val="auto"/>
          <w:spacing w:val="-9"/>
          <w:sz w:val="26"/>
          <w:szCs w:val="26"/>
        </w:rPr>
        <w:t xml:space="preserve"> </w:t>
      </w:r>
      <w:r w:rsidRPr="006739D7">
        <w:rPr>
          <w:rFonts w:ascii="Times New Roman" w:hAnsi="Times New Roman"/>
          <w:color w:val="auto"/>
          <w:sz w:val="26"/>
          <w:szCs w:val="26"/>
        </w:rPr>
        <w:t>экономики</w:t>
      </w:r>
      <w:r w:rsidRPr="006739D7">
        <w:rPr>
          <w:rFonts w:ascii="Times New Roman" w:hAnsi="Times New Roman"/>
          <w:color w:val="auto"/>
          <w:spacing w:val="-10"/>
          <w:sz w:val="26"/>
          <w:szCs w:val="26"/>
        </w:rPr>
        <w:t xml:space="preserve"> </w:t>
      </w:r>
      <w:r w:rsidRPr="006739D7">
        <w:rPr>
          <w:rFonts w:ascii="Times New Roman" w:hAnsi="Times New Roman"/>
          <w:color w:val="auto"/>
          <w:sz w:val="26"/>
          <w:szCs w:val="26"/>
        </w:rPr>
        <w:t>региона.</w:t>
      </w:r>
      <w:r w:rsidRPr="006739D7">
        <w:rPr>
          <w:rFonts w:ascii="Times New Roman" w:hAnsi="Times New Roman"/>
          <w:color w:val="auto"/>
          <w:spacing w:val="-7"/>
          <w:sz w:val="26"/>
          <w:szCs w:val="26"/>
        </w:rPr>
        <w:t xml:space="preserve"> </w:t>
      </w:r>
      <w:r w:rsidRPr="006739D7">
        <w:rPr>
          <w:rFonts w:ascii="Times New Roman" w:hAnsi="Times New Roman"/>
          <w:color w:val="auto"/>
          <w:sz w:val="26"/>
          <w:szCs w:val="26"/>
        </w:rPr>
        <w:t>Доля</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инвестиций</w:t>
      </w:r>
      <w:r w:rsidRPr="006739D7">
        <w:rPr>
          <w:rFonts w:ascii="Times New Roman" w:hAnsi="Times New Roman"/>
          <w:color w:val="auto"/>
          <w:spacing w:val="-7"/>
          <w:sz w:val="26"/>
          <w:szCs w:val="26"/>
        </w:rPr>
        <w:t xml:space="preserve"> </w:t>
      </w:r>
      <w:r w:rsidRPr="006739D7">
        <w:rPr>
          <w:rFonts w:ascii="Times New Roman" w:hAnsi="Times New Roman"/>
          <w:color w:val="auto"/>
          <w:spacing w:val="-10"/>
          <w:sz w:val="26"/>
          <w:szCs w:val="26"/>
        </w:rPr>
        <w:t xml:space="preserve">в </w:t>
      </w:r>
      <w:r w:rsidRPr="006739D7">
        <w:rPr>
          <w:rFonts w:ascii="Times New Roman" w:hAnsi="Times New Roman"/>
          <w:color w:val="auto"/>
          <w:sz w:val="26"/>
          <w:szCs w:val="26"/>
        </w:rPr>
        <w:t>обрабатывающие</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производства</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увеличилась</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и</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превысила</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долю</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инвестиций</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в</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добычу</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полезных</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ископаемых.</w:t>
      </w:r>
      <w:r w:rsidRPr="006739D7">
        <w:rPr>
          <w:rFonts w:ascii="Times New Roman" w:hAnsi="Times New Roman"/>
          <w:color w:val="auto"/>
          <w:spacing w:val="-8"/>
          <w:sz w:val="26"/>
          <w:szCs w:val="26"/>
        </w:rPr>
        <w:t xml:space="preserve"> </w:t>
      </w:r>
      <w:r w:rsidRPr="006739D7">
        <w:rPr>
          <w:rFonts w:ascii="Times New Roman" w:hAnsi="Times New Roman"/>
          <w:color w:val="auto"/>
          <w:sz w:val="26"/>
          <w:szCs w:val="26"/>
        </w:rPr>
        <w:t xml:space="preserve">Это свидетельствует о качественном изменении экономической модели в направлении снижения сырьевой </w:t>
      </w:r>
      <w:r w:rsidRPr="006739D7">
        <w:rPr>
          <w:rFonts w:ascii="Times New Roman" w:hAnsi="Times New Roman"/>
          <w:color w:val="auto"/>
          <w:spacing w:val="-2"/>
          <w:sz w:val="26"/>
          <w:szCs w:val="26"/>
        </w:rPr>
        <w:t xml:space="preserve">зависимости. </w:t>
      </w:r>
      <w:r w:rsidRPr="006739D7">
        <w:rPr>
          <w:rFonts w:ascii="Times New Roman" w:hAnsi="Times New Roman"/>
          <w:color w:val="auto"/>
          <w:sz w:val="26"/>
          <w:szCs w:val="26"/>
        </w:rPr>
        <w:t>Инвестиционная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активность</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демонстрирует</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положительную</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динамику</w:t>
      </w:r>
      <w:r w:rsidRPr="006739D7">
        <w:rPr>
          <w:rFonts w:ascii="Times New Roman" w:hAnsi="Times New Roman"/>
          <w:color w:val="auto"/>
          <w:spacing w:val="-2"/>
          <w:sz w:val="26"/>
          <w:szCs w:val="26"/>
        </w:rPr>
        <w:t xml:space="preserve">. Реализуется значительное количество инвестиционных </w:t>
      </w:r>
      <w:r w:rsidRPr="006739D7">
        <w:rPr>
          <w:rFonts w:ascii="Times New Roman" w:hAnsi="Times New Roman"/>
          <w:color w:val="auto"/>
          <w:sz w:val="26"/>
          <w:szCs w:val="26"/>
        </w:rPr>
        <w:t>проектов в различных отраслях экономики. Наблюдается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рост</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производства</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в</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высокотехнологичных</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секторах</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обрабатывающей</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 xml:space="preserve">промышленности: электронике, машиностроении, металлургии. Данная динамика обусловлена </w:t>
      </w:r>
      <w:r w:rsidRPr="006739D7">
        <w:rPr>
          <w:rFonts w:ascii="Times New Roman" w:hAnsi="Times New Roman"/>
          <w:color w:val="auto"/>
          <w:sz w:val="26"/>
          <w:szCs w:val="26"/>
        </w:rPr>
        <w:lastRenderedPageBreak/>
        <w:t>эффектом политики импортозамещения и государственной поддержки технологического развития.</w:t>
      </w:r>
    </w:p>
    <w:p w:rsidR="00E618FE" w:rsidRPr="006739D7" w:rsidRDefault="00800098">
      <w:pPr>
        <w:pStyle w:val="a4"/>
        <w:rPr>
          <w:rFonts w:ascii="Times New Roman" w:hAnsi="Times New Roman"/>
          <w:b/>
          <w:bCs/>
          <w:color w:val="auto"/>
          <w:sz w:val="26"/>
          <w:szCs w:val="26"/>
        </w:rPr>
      </w:pPr>
      <w:r w:rsidRPr="00535A4B">
        <w:rPr>
          <w:rFonts w:ascii="Times New Roman" w:hAnsi="Times New Roman"/>
          <w:b/>
          <w:bCs/>
          <w:color w:val="auto"/>
        </w:rPr>
        <w:t>Нефтегазовый</w:t>
      </w:r>
      <w:r w:rsidRPr="00535A4B">
        <w:rPr>
          <w:rFonts w:ascii="Times New Roman" w:hAnsi="Times New Roman"/>
          <w:b/>
          <w:bCs/>
          <w:color w:val="auto"/>
          <w:spacing w:val="7"/>
        </w:rPr>
        <w:t xml:space="preserve"> </w:t>
      </w:r>
      <w:r w:rsidRPr="00535A4B">
        <w:rPr>
          <w:rFonts w:ascii="Times New Roman" w:hAnsi="Times New Roman"/>
          <w:b/>
          <w:bCs/>
          <w:color w:val="auto"/>
          <w:spacing w:val="-2"/>
        </w:rPr>
        <w:t>сектор.</w:t>
      </w:r>
      <w:r w:rsidRPr="00535A4B">
        <w:rPr>
          <w:rFonts w:ascii="Times New Roman" w:hAnsi="Times New Roman"/>
          <w:color w:val="auto"/>
          <w:spacing w:val="-2"/>
        </w:rPr>
        <w:t xml:space="preserve"> </w:t>
      </w:r>
      <w:r w:rsidRPr="006739D7">
        <w:rPr>
          <w:rFonts w:ascii="Times New Roman" w:hAnsi="Times New Roman"/>
          <w:color w:val="auto"/>
          <w:sz w:val="26"/>
          <w:szCs w:val="26"/>
        </w:rPr>
        <w:t>Добыча углеводородов демонстрирует устойчивую отрицательную динамику. Объемы добычи нефти сокращаются</w:t>
      </w:r>
      <w:r w:rsidRPr="006739D7">
        <w:rPr>
          <w:rFonts w:ascii="Times New Roman" w:hAnsi="Times New Roman"/>
          <w:color w:val="auto"/>
          <w:spacing w:val="-11"/>
          <w:sz w:val="26"/>
          <w:szCs w:val="26"/>
        </w:rPr>
        <w:t xml:space="preserve"> </w:t>
      </w:r>
      <w:r w:rsidRPr="006739D7">
        <w:rPr>
          <w:rFonts w:ascii="Times New Roman" w:hAnsi="Times New Roman"/>
          <w:color w:val="auto"/>
          <w:spacing w:val="-11"/>
          <w:sz w:val="26"/>
          <w:szCs w:val="26"/>
        </w:rPr>
        <w:br/>
      </w:r>
      <w:r w:rsidRPr="006739D7">
        <w:rPr>
          <w:rFonts w:ascii="Times New Roman" w:hAnsi="Times New Roman"/>
          <w:color w:val="auto"/>
          <w:sz w:val="26"/>
          <w:szCs w:val="26"/>
        </w:rPr>
        <w:t>в</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связи</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с</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выработанностью</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традиционных</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месторождений</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и</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обводненностью</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скважин.</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 xml:space="preserve">Доля добывающего сектора в структуре валового регионального продукта снижается. </w:t>
      </w:r>
      <w:r w:rsidRPr="006739D7">
        <w:rPr>
          <w:rFonts w:ascii="Times New Roman" w:hAnsi="Times New Roman"/>
          <w:color w:val="auto"/>
          <w:spacing w:val="-2"/>
          <w:sz w:val="26"/>
          <w:szCs w:val="26"/>
        </w:rPr>
        <w:t xml:space="preserve">Для компенсации снижения добычи активизированы геологоразведочные работы с привлечением федерального </w:t>
      </w:r>
      <w:r w:rsidRPr="006739D7">
        <w:rPr>
          <w:rFonts w:ascii="Times New Roman" w:hAnsi="Times New Roman"/>
          <w:color w:val="auto"/>
          <w:sz w:val="26"/>
          <w:szCs w:val="26"/>
        </w:rPr>
        <w:t xml:space="preserve">финансирования. Реализуются проекты </w:t>
      </w:r>
      <w:r w:rsidR="006739D7">
        <w:rPr>
          <w:rFonts w:ascii="Times New Roman" w:hAnsi="Times New Roman"/>
          <w:color w:val="auto"/>
          <w:sz w:val="26"/>
          <w:szCs w:val="26"/>
        </w:rPr>
        <w:br/>
      </w:r>
      <w:r w:rsidRPr="006739D7">
        <w:rPr>
          <w:rFonts w:ascii="Times New Roman" w:hAnsi="Times New Roman"/>
          <w:color w:val="auto"/>
          <w:sz w:val="26"/>
          <w:szCs w:val="26"/>
        </w:rPr>
        <w:t xml:space="preserve">по освоению новых месторождений и оптимизации налоговой нагрузки </w:t>
      </w:r>
      <w:r w:rsidR="006739D7">
        <w:rPr>
          <w:rFonts w:ascii="Times New Roman" w:hAnsi="Times New Roman"/>
          <w:color w:val="auto"/>
          <w:sz w:val="26"/>
          <w:szCs w:val="26"/>
        </w:rPr>
        <w:br/>
      </w:r>
      <w:r w:rsidRPr="006739D7">
        <w:rPr>
          <w:rFonts w:ascii="Times New Roman" w:hAnsi="Times New Roman"/>
          <w:color w:val="auto"/>
          <w:sz w:val="26"/>
          <w:szCs w:val="26"/>
        </w:rPr>
        <w:t>для стимулирования инвестиций в отрасль.</w:t>
      </w:r>
    </w:p>
    <w:p w:rsidR="00E618FE" w:rsidRPr="006739D7" w:rsidRDefault="00800098">
      <w:pPr>
        <w:pStyle w:val="a4"/>
        <w:rPr>
          <w:rFonts w:ascii="Times New Roman" w:hAnsi="Times New Roman"/>
          <w:b/>
          <w:bCs/>
          <w:color w:val="auto"/>
          <w:sz w:val="26"/>
          <w:szCs w:val="26"/>
        </w:rPr>
      </w:pPr>
      <w:r w:rsidRPr="00535A4B">
        <w:rPr>
          <w:rFonts w:ascii="Times New Roman" w:hAnsi="Times New Roman"/>
          <w:b/>
          <w:bCs/>
          <w:color w:val="auto"/>
        </w:rPr>
        <w:t>Внешнеэкономическая</w:t>
      </w:r>
      <w:r w:rsidRPr="00535A4B">
        <w:rPr>
          <w:rFonts w:ascii="Times New Roman" w:hAnsi="Times New Roman"/>
          <w:b/>
          <w:bCs/>
          <w:color w:val="auto"/>
          <w:spacing w:val="13"/>
        </w:rPr>
        <w:t xml:space="preserve"> </w:t>
      </w:r>
      <w:r w:rsidRPr="00535A4B">
        <w:rPr>
          <w:rFonts w:ascii="Times New Roman" w:hAnsi="Times New Roman"/>
          <w:b/>
          <w:bCs/>
          <w:color w:val="auto"/>
          <w:spacing w:val="-2"/>
        </w:rPr>
        <w:t>деятельность</w:t>
      </w:r>
      <w:r w:rsidRPr="00535A4B">
        <w:rPr>
          <w:rFonts w:ascii="Times New Roman" w:hAnsi="Times New Roman"/>
          <w:color w:val="auto"/>
          <w:spacing w:val="-2"/>
        </w:rPr>
        <w:t xml:space="preserve">. </w:t>
      </w:r>
      <w:r w:rsidRPr="006739D7">
        <w:rPr>
          <w:rFonts w:ascii="Times New Roman" w:hAnsi="Times New Roman"/>
          <w:color w:val="auto"/>
          <w:sz w:val="26"/>
          <w:szCs w:val="26"/>
        </w:rPr>
        <w:t>В условиях санкционного давления произошла переориентация внешнеторговых связей на восточные рынки. Значительно</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возросла</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доля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стран</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СНГ,</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Китая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и</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Юго-Восточной</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Азии</w:t>
      </w:r>
      <w:r w:rsidRPr="006739D7">
        <w:rPr>
          <w:rFonts w:ascii="Times New Roman" w:hAnsi="Times New Roman"/>
          <w:color w:val="auto"/>
          <w:spacing w:val="-12"/>
          <w:sz w:val="26"/>
          <w:szCs w:val="26"/>
        </w:rPr>
        <w:t xml:space="preserve"> </w:t>
      </w:r>
      <w:r w:rsidR="006739D7">
        <w:rPr>
          <w:rFonts w:ascii="Times New Roman" w:hAnsi="Times New Roman"/>
          <w:color w:val="auto"/>
          <w:spacing w:val="-12"/>
          <w:sz w:val="26"/>
          <w:szCs w:val="26"/>
        </w:rPr>
        <w:br/>
      </w:r>
      <w:r w:rsidRPr="006739D7">
        <w:rPr>
          <w:rFonts w:ascii="Times New Roman" w:hAnsi="Times New Roman"/>
          <w:color w:val="auto"/>
          <w:sz w:val="26"/>
          <w:szCs w:val="26"/>
        </w:rPr>
        <w:t>во</w:t>
      </w:r>
      <w:r w:rsidRPr="006739D7">
        <w:rPr>
          <w:rFonts w:ascii="Times New Roman" w:hAnsi="Times New Roman"/>
          <w:color w:val="auto"/>
          <w:spacing w:val="-11"/>
          <w:sz w:val="26"/>
          <w:szCs w:val="26"/>
        </w:rPr>
        <w:t xml:space="preserve"> </w:t>
      </w:r>
      <w:r w:rsidRPr="006739D7">
        <w:rPr>
          <w:rFonts w:ascii="Times New Roman" w:hAnsi="Times New Roman"/>
          <w:color w:val="auto"/>
          <w:sz w:val="26"/>
          <w:szCs w:val="26"/>
        </w:rPr>
        <w:t>внешнеторговом</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обороте</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при</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 xml:space="preserve">снижении доли европейских стран и США. Данная трансформация позволила компенсировать ограничения доступа к западным рынкам. Предприятия региона столкнулись с логистическими ограничениями, сложностями взаиморасчетов и </w:t>
      </w:r>
      <w:r w:rsidRPr="006739D7">
        <w:rPr>
          <w:rFonts w:ascii="Times New Roman" w:hAnsi="Times New Roman"/>
          <w:color w:val="auto"/>
          <w:spacing w:val="-2"/>
          <w:sz w:val="26"/>
          <w:szCs w:val="26"/>
        </w:rPr>
        <w:t xml:space="preserve">ограничениями доступа к импортному оборудованию. Политика импортозамещения открыла новые возможности </w:t>
      </w:r>
      <w:r w:rsidR="006739D7">
        <w:rPr>
          <w:rFonts w:ascii="Times New Roman" w:hAnsi="Times New Roman"/>
          <w:color w:val="auto"/>
          <w:spacing w:val="-2"/>
          <w:sz w:val="26"/>
          <w:szCs w:val="26"/>
        </w:rPr>
        <w:br/>
      </w:r>
      <w:r w:rsidRPr="006739D7">
        <w:rPr>
          <w:rFonts w:ascii="Times New Roman" w:hAnsi="Times New Roman"/>
          <w:color w:val="auto"/>
          <w:sz w:val="26"/>
          <w:szCs w:val="26"/>
        </w:rPr>
        <w:t>для томских производителей на внутреннем рынке.</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Демографическая</w:t>
      </w:r>
      <w:r w:rsidRPr="00535A4B">
        <w:rPr>
          <w:rFonts w:ascii="Times New Roman" w:hAnsi="Times New Roman"/>
          <w:b/>
          <w:bCs/>
          <w:color w:val="auto"/>
          <w:spacing w:val="11"/>
        </w:rPr>
        <w:t xml:space="preserve"> </w:t>
      </w:r>
      <w:r w:rsidRPr="00535A4B">
        <w:rPr>
          <w:rFonts w:ascii="Times New Roman" w:hAnsi="Times New Roman"/>
          <w:b/>
          <w:bCs/>
          <w:color w:val="auto"/>
          <w:spacing w:val="-2"/>
        </w:rPr>
        <w:t>ситуация</w:t>
      </w:r>
      <w:r w:rsidRPr="00535A4B">
        <w:rPr>
          <w:rFonts w:ascii="Times New Roman" w:hAnsi="Times New Roman"/>
          <w:color w:val="auto"/>
          <w:spacing w:val="-2"/>
        </w:rPr>
        <w:t xml:space="preserve">. </w:t>
      </w:r>
      <w:r w:rsidRPr="006739D7">
        <w:rPr>
          <w:rFonts w:ascii="Times New Roman" w:hAnsi="Times New Roman"/>
          <w:color w:val="auto"/>
          <w:sz w:val="26"/>
          <w:szCs w:val="26"/>
        </w:rPr>
        <w:t>Зафиксирована устойчивая отрицательная динамика численности населения. Сокращение происходит за счет естественной</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убыли</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и</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миграционного</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оттока.</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Коэффициент</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рождаемости</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снижается,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прогнозируется</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 xml:space="preserve">дальнейшее сокращение численности населения. Демографические ограничения усиливают дефицит кадров на рынке труда. При рекордно низком уровне </w:t>
      </w:r>
      <w:r w:rsidRPr="006739D7">
        <w:rPr>
          <w:rFonts w:ascii="Times New Roman" w:hAnsi="Times New Roman"/>
          <w:color w:val="auto"/>
          <w:spacing w:val="-2"/>
          <w:sz w:val="26"/>
          <w:szCs w:val="26"/>
        </w:rPr>
        <w:t xml:space="preserve">безработицы наблюдается значительное количество незаполненных вакансий, что создает ограничения для </w:t>
      </w:r>
      <w:r w:rsidRPr="006739D7">
        <w:rPr>
          <w:rFonts w:ascii="Times New Roman" w:hAnsi="Times New Roman"/>
          <w:color w:val="auto"/>
          <w:sz w:val="26"/>
          <w:szCs w:val="26"/>
        </w:rPr>
        <w:t>развития производств.</w:t>
      </w:r>
    </w:p>
    <w:p w:rsidR="00E618FE" w:rsidRPr="006739D7" w:rsidRDefault="00800098">
      <w:pPr>
        <w:pStyle w:val="a4"/>
        <w:rPr>
          <w:rFonts w:ascii="Times New Roman" w:hAnsi="Times New Roman"/>
          <w:color w:val="auto"/>
          <w:sz w:val="26"/>
          <w:szCs w:val="26"/>
        </w:rPr>
      </w:pPr>
      <w:r w:rsidRPr="00535A4B">
        <w:rPr>
          <w:rFonts w:ascii="Times New Roman" w:hAnsi="Times New Roman"/>
          <w:b/>
          <w:bCs/>
          <w:color w:val="auto"/>
        </w:rPr>
        <w:t>Научно-образовательный</w:t>
      </w:r>
      <w:r w:rsidRPr="00535A4B">
        <w:rPr>
          <w:rFonts w:ascii="Times New Roman" w:hAnsi="Times New Roman"/>
          <w:b/>
          <w:bCs/>
          <w:color w:val="auto"/>
          <w:spacing w:val="19"/>
        </w:rPr>
        <w:t xml:space="preserve"> </w:t>
      </w:r>
      <w:r w:rsidRPr="00535A4B">
        <w:rPr>
          <w:rFonts w:ascii="Times New Roman" w:hAnsi="Times New Roman"/>
          <w:b/>
          <w:bCs/>
          <w:color w:val="auto"/>
          <w:spacing w:val="-2"/>
        </w:rPr>
        <w:t>комплекс</w:t>
      </w:r>
      <w:r w:rsidRPr="00535A4B">
        <w:rPr>
          <w:rFonts w:ascii="Times New Roman" w:hAnsi="Times New Roman"/>
          <w:color w:val="auto"/>
          <w:spacing w:val="-2"/>
        </w:rPr>
        <w:t xml:space="preserve">. </w:t>
      </w:r>
      <w:r w:rsidRPr="006739D7">
        <w:rPr>
          <w:rFonts w:ascii="Times New Roman" w:hAnsi="Times New Roman"/>
          <w:color w:val="auto"/>
          <w:sz w:val="26"/>
          <w:szCs w:val="26"/>
        </w:rPr>
        <w:t>Научно-образовательный комплекс региона сохраняет позиции и получает дополнительную поддержку. Утверждена комплексная программа научно-технологического развития региона с федеральным финансированием.</w:t>
      </w:r>
      <w:r w:rsidRPr="006739D7">
        <w:rPr>
          <w:rFonts w:ascii="Times New Roman" w:hAnsi="Times New Roman"/>
          <w:color w:val="auto"/>
          <w:spacing w:val="-12"/>
          <w:sz w:val="26"/>
          <w:szCs w:val="26"/>
        </w:rPr>
        <w:t xml:space="preserve"> </w:t>
      </w:r>
      <w:r w:rsidRPr="006739D7">
        <w:rPr>
          <w:rFonts w:ascii="Times New Roman" w:hAnsi="Times New Roman"/>
          <w:color w:val="auto"/>
          <w:sz w:val="26"/>
          <w:szCs w:val="26"/>
        </w:rPr>
        <w:t xml:space="preserve">Томская область включена в число пилотных регионов </w:t>
      </w:r>
      <w:r w:rsidR="006739D7">
        <w:rPr>
          <w:rFonts w:ascii="Times New Roman" w:hAnsi="Times New Roman"/>
          <w:color w:val="auto"/>
          <w:sz w:val="26"/>
          <w:szCs w:val="26"/>
        </w:rPr>
        <w:br/>
      </w:r>
      <w:r w:rsidRPr="006739D7">
        <w:rPr>
          <w:rFonts w:ascii="Times New Roman" w:hAnsi="Times New Roman"/>
          <w:color w:val="auto"/>
          <w:sz w:val="26"/>
          <w:szCs w:val="26"/>
        </w:rPr>
        <w:t xml:space="preserve">по разработке и внедрению комплексных региональных государственных программ научно-технологического развития. Приоритетными направлениями определены химия и новые материалы, радиоэлектроника, энергетика, биотехнологии. Реализуются крупные проекты по развитию образовательной и научной инфраструктуры. </w:t>
      </w:r>
    </w:p>
    <w:p w:rsidR="00E618FE" w:rsidRPr="00535A4B" w:rsidRDefault="00800098">
      <w:pPr>
        <w:pStyle w:val="a4"/>
        <w:rPr>
          <w:rFonts w:ascii="Times New Roman" w:hAnsi="Times New Roman"/>
          <w:color w:val="auto"/>
        </w:rPr>
      </w:pPr>
      <w:r w:rsidRPr="006739D7">
        <w:rPr>
          <w:rFonts w:ascii="Times New Roman" w:hAnsi="Times New Roman"/>
          <w:color w:val="auto"/>
          <w:sz w:val="26"/>
          <w:szCs w:val="26"/>
        </w:rPr>
        <w:t xml:space="preserve">Анализ сочетания сильных, слабых сторон Томской области </w:t>
      </w:r>
      <w:r w:rsidRPr="006739D7">
        <w:rPr>
          <w:rFonts w:ascii="Times New Roman" w:hAnsi="Times New Roman"/>
          <w:color w:val="auto"/>
          <w:sz w:val="26"/>
          <w:szCs w:val="26"/>
        </w:rPr>
        <w:br/>
        <w:t xml:space="preserve">с возможностями и угрозами внешней среды представлен в виде матриц </w:t>
      </w:r>
      <w:r w:rsidRPr="006739D7">
        <w:rPr>
          <w:rFonts w:ascii="Times New Roman" w:hAnsi="Times New Roman"/>
          <w:color w:val="auto"/>
          <w:sz w:val="26"/>
          <w:szCs w:val="26"/>
        </w:rPr>
        <w:br/>
        <w:t>в таблицах Г.2, Г.3.</w:t>
      </w:r>
    </w:p>
    <w:p w:rsidR="00E618FE" w:rsidRPr="00535A4B" w:rsidRDefault="00E618FE">
      <w:pPr>
        <w:pStyle w:val="aff"/>
        <w:rPr>
          <w:rFonts w:ascii="Times New Roman" w:hAnsi="Times New Roman"/>
          <w:lang w:val="ru-RU"/>
        </w:rPr>
        <w:sectPr w:rsidR="00E618FE" w:rsidRPr="00535A4B">
          <w:pgSz w:w="11906" w:h="16838"/>
          <w:pgMar w:top="1134" w:right="850" w:bottom="1134" w:left="1701" w:header="708" w:footer="708" w:gutter="0"/>
          <w:cols w:space="708"/>
          <w:docGrid w:linePitch="360"/>
        </w:sectPr>
      </w:pPr>
    </w:p>
    <w:p w:rsidR="00E618FE" w:rsidRPr="00535A4B" w:rsidRDefault="00800098">
      <w:pPr>
        <w:pStyle w:val="aff"/>
        <w:rPr>
          <w:rFonts w:ascii="Times New Roman" w:hAnsi="Times New Roman"/>
          <w:lang w:val="ru-RU"/>
        </w:rPr>
      </w:pPr>
      <w:r w:rsidRPr="00535A4B">
        <w:rPr>
          <w:rFonts w:ascii="Times New Roman" w:hAnsi="Times New Roman"/>
          <w:lang w:val="ru-RU"/>
        </w:rPr>
        <w:lastRenderedPageBreak/>
        <w:t>Таблица Г.2. SWOT-МАТРИЦА</w:t>
      </w:r>
    </w:p>
    <w:tbl>
      <w:tblPr>
        <w:tblStyle w:val="-18"/>
        <w:tblW w:w="14454" w:type="dxa"/>
        <w:tblLayout w:type="fixed"/>
        <w:tblCellMar>
          <w:top w:w="57" w:type="dxa"/>
          <w:bottom w:w="57" w:type="dxa"/>
        </w:tblCellMar>
        <w:tblLook w:val="04A0" w:firstRow="1" w:lastRow="0" w:firstColumn="1" w:lastColumn="0" w:noHBand="0" w:noVBand="1"/>
      </w:tblPr>
      <w:tblGrid>
        <w:gridCol w:w="7650"/>
        <w:gridCol w:w="6804"/>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rPr>
                <w:sz w:val="22"/>
                <w:szCs w:val="22"/>
              </w:rPr>
            </w:pPr>
            <w:r w:rsidRPr="00535A4B">
              <w:rPr>
                <w:b w:val="0"/>
                <w:bCs w:val="0"/>
                <w:sz w:val="22"/>
                <w:szCs w:val="22"/>
              </w:rPr>
              <w:t>СИЛЬНЫЕ СТОРОНЫ РАЗВИТИЯ ТОМСКОЙ ОБЛАСТИ</w:t>
            </w:r>
          </w:p>
        </w:tc>
        <w:tc>
          <w:tcPr>
            <w:tcW w:w="68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35A4B">
              <w:rPr>
                <w:b w:val="0"/>
                <w:bCs w:val="0"/>
                <w:sz w:val="22"/>
                <w:szCs w:val="22"/>
              </w:rPr>
              <w:t>СЛАБЫЕ СТОРОНЫ РАЗВИТИЯ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 xml:space="preserve">Устойчивая динамика роста валового регионального </w:t>
            </w:r>
            <w:r w:rsidRPr="00535A4B">
              <w:rPr>
                <w:rFonts w:ascii="Times New Roman" w:hAnsi="Times New Roman" w:cs="Times New Roman"/>
                <w:b w:val="0"/>
                <w:spacing w:val="-2"/>
              </w:rPr>
              <w:t>продукта;</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Опережающий</w:t>
            </w:r>
            <w:r w:rsidRPr="00535A4B">
              <w:rPr>
                <w:rFonts w:ascii="Times New Roman" w:hAnsi="Times New Roman" w:cs="Times New Roman"/>
                <w:b w:val="0"/>
                <w:spacing w:val="16"/>
              </w:rPr>
              <w:t xml:space="preserve"> </w:t>
            </w:r>
            <w:r w:rsidRPr="00535A4B">
              <w:rPr>
                <w:rFonts w:ascii="Times New Roman" w:hAnsi="Times New Roman" w:cs="Times New Roman"/>
                <w:b w:val="0"/>
              </w:rPr>
              <w:t>рост</w:t>
            </w:r>
            <w:r w:rsidRPr="00535A4B">
              <w:rPr>
                <w:rFonts w:ascii="Times New Roman" w:hAnsi="Times New Roman" w:cs="Times New Roman"/>
                <w:b w:val="0"/>
                <w:spacing w:val="17"/>
              </w:rPr>
              <w:t xml:space="preserve"> </w:t>
            </w:r>
            <w:r w:rsidRPr="00535A4B">
              <w:rPr>
                <w:rFonts w:ascii="Times New Roman" w:hAnsi="Times New Roman" w:cs="Times New Roman"/>
                <w:b w:val="0"/>
              </w:rPr>
              <w:t>инвестиций</w:t>
            </w:r>
            <w:r w:rsidRPr="00535A4B">
              <w:rPr>
                <w:rFonts w:ascii="Times New Roman" w:hAnsi="Times New Roman" w:cs="Times New Roman"/>
                <w:b w:val="0"/>
                <w:spacing w:val="16"/>
              </w:rPr>
              <w:t xml:space="preserve"> </w:t>
            </w:r>
            <w:r w:rsidRPr="00535A4B">
              <w:rPr>
                <w:rFonts w:ascii="Times New Roman" w:hAnsi="Times New Roman" w:cs="Times New Roman"/>
                <w:b w:val="0"/>
              </w:rPr>
              <w:t>в</w:t>
            </w:r>
            <w:r w:rsidRPr="00535A4B">
              <w:rPr>
                <w:rFonts w:ascii="Times New Roman" w:hAnsi="Times New Roman" w:cs="Times New Roman"/>
                <w:b w:val="0"/>
                <w:spacing w:val="17"/>
              </w:rPr>
              <w:t xml:space="preserve"> </w:t>
            </w:r>
            <w:r w:rsidRPr="00535A4B">
              <w:rPr>
                <w:rFonts w:ascii="Times New Roman" w:hAnsi="Times New Roman" w:cs="Times New Roman"/>
                <w:b w:val="0"/>
              </w:rPr>
              <w:t>основной</w:t>
            </w:r>
            <w:r w:rsidRPr="00535A4B">
              <w:rPr>
                <w:rFonts w:ascii="Times New Roman" w:hAnsi="Times New Roman" w:cs="Times New Roman"/>
                <w:b w:val="0"/>
                <w:spacing w:val="17"/>
              </w:rPr>
              <w:t xml:space="preserve"> </w:t>
            </w:r>
            <w:r w:rsidRPr="00535A4B">
              <w:rPr>
                <w:rFonts w:ascii="Times New Roman" w:hAnsi="Times New Roman" w:cs="Times New Roman"/>
                <w:b w:val="0"/>
                <w:spacing w:val="-2"/>
              </w:rPr>
              <w:t>капитал;</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 xml:space="preserve">Реализация масштабных инфраструктурных проектов в атомной энергетике и научно-образовательной сфере; </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Структурная трансформация экономики в пользу обрабатывающих производств;</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Положительная динамика развития высокотехнологичных производств;</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Высокая концентрация ведущих университетов и научных организаций;</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 xml:space="preserve">Реализация комплексной программы научно-технологического развития </w:t>
            </w:r>
            <w:r w:rsidRPr="00535A4B">
              <w:rPr>
                <w:rFonts w:ascii="Times New Roman" w:hAnsi="Times New Roman" w:cs="Times New Roman"/>
                <w:b w:val="0"/>
              </w:rPr>
              <w:br/>
              <w:t>с федеральной поддержкой;</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Развитая инновационная инфраструктура;</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Низкий уровень безработицы;</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Высокий уровень занятости населения;</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Стратегическое географическое положение в центре Сибири;</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Развитая транспортная инфраструктура;</w:t>
            </w:r>
          </w:p>
          <w:p w:rsidR="00E618FE" w:rsidRPr="00535A4B" w:rsidRDefault="00800098">
            <w:pPr>
              <w:pStyle w:val="TableParagraph"/>
              <w:numPr>
                <w:ilvl w:val="0"/>
                <w:numId w:val="22"/>
              </w:numPr>
              <w:spacing w:before="0"/>
              <w:rPr>
                <w:rFonts w:ascii="Times New Roman" w:hAnsi="Times New Roman" w:cs="Times New Roman"/>
              </w:rPr>
            </w:pPr>
            <w:r w:rsidRPr="00535A4B">
              <w:rPr>
                <w:rFonts w:ascii="Times New Roman" w:hAnsi="Times New Roman" w:cs="Times New Roman"/>
                <w:b w:val="0"/>
              </w:rPr>
              <w:t>Значительные разведанные запасы природных ресурсов</w:t>
            </w:r>
          </w:p>
        </w:tc>
        <w:tc>
          <w:tcPr>
            <w:tcW w:w="6804"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Снижение добычи углеводородов на традиционных месторождениях при сохраняющейся бюджетной зависимости от нефтегазовых доходов;</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Замедление темпов промышленного роста;</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Отрицательная динамика численности населения;</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Устойчивый естественный и миграционный отток населения;</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Снижение рождаемости и численности населения трудоспособного возраста;</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Дефицит квалифицированных кадров на рынке труда;</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Значительный износ промышленной и коммунальной инфраструктуры;</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Ограниченный доступ к кредитным ресурсам в условиях высоких процентных ставок;</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Риск формирования «инвестиционной ямы» после завершения крупных проектов (БРЕСТ - 300) при отсутствии новых инициатив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rPr>
                <w:sz w:val="22"/>
                <w:szCs w:val="22"/>
              </w:rPr>
            </w:pPr>
            <w:r w:rsidRPr="00535A4B">
              <w:rPr>
                <w:b w:val="0"/>
                <w:bCs w:val="0"/>
                <w:sz w:val="22"/>
                <w:szCs w:val="22"/>
              </w:rPr>
              <w:t>ВОЗМОЖНОСТИ ВНЕШНЕЙ СРЕДЫ</w:t>
            </w:r>
          </w:p>
        </w:tc>
        <w:tc>
          <w:tcPr>
            <w:tcW w:w="68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sz w:val="22"/>
                <w:szCs w:val="22"/>
              </w:rPr>
            </w:pPr>
            <w:r w:rsidRPr="00535A4B">
              <w:rPr>
                <w:sz w:val="22"/>
                <w:szCs w:val="22"/>
              </w:rPr>
              <w:t>УГРОЗЫ ВНЕШНЕЙ СРЕДЫ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Политика импортозамещения и развитие технологического суверенитета;</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Формирование территориальных промышленных кластеров;</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Переориентация внешнеторговых связей на восточные рынки;</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Реализация крупных инфраструктурных проектов;</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Развитие особой экономической зоны и промышленных площадок;</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Цифровизация экономики и внедрение передовых технологий;</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Активизация геологоразведочных работ с федеральной поддержкой;</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Оптимизация налоговой нагрузки для недропользователей;</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Совершенствование системы подготовки кадров;</w:t>
            </w:r>
          </w:p>
          <w:p w:rsidR="00E618FE" w:rsidRPr="00535A4B" w:rsidRDefault="00800098">
            <w:pPr>
              <w:pStyle w:val="TableParagraph"/>
              <w:numPr>
                <w:ilvl w:val="0"/>
                <w:numId w:val="22"/>
              </w:numPr>
              <w:spacing w:before="0"/>
              <w:ind w:right="312"/>
              <w:rPr>
                <w:rFonts w:ascii="Times New Roman" w:hAnsi="Times New Roman" w:cs="Times New Roman"/>
              </w:rPr>
            </w:pPr>
            <w:r w:rsidRPr="00535A4B">
              <w:rPr>
                <w:rFonts w:ascii="Times New Roman" w:hAnsi="Times New Roman" w:cs="Times New Roman"/>
                <w:b w:val="0"/>
              </w:rPr>
              <w:t>Привлечение молодых исследователей и специалистов</w:t>
            </w:r>
          </w:p>
        </w:tc>
        <w:tc>
          <w:tcPr>
            <w:tcW w:w="6804"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Санкционное давление и логистические ограничения;</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 xml:space="preserve">Ограниченный доступ к импортному оборудованию </w:t>
            </w:r>
            <w:r w:rsidRPr="00535A4B">
              <w:rPr>
                <w:rFonts w:ascii="Times New Roman" w:hAnsi="Times New Roman" w:cs="Times New Roman"/>
              </w:rPr>
              <w:br/>
              <w:t>и технологиям;</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Волатильность мировых цен на энергоносители;</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Сокращение объемов федерального софинансирования;</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Высокая ключевая ставка и инфляционное давление;</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Укрепление рубля и снижение конкурентоспособности экспорта;</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Усиление конкуренции на азиатских рынках сбыта;</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Истощение действующих месторождений углеводородов;</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Прогнозируемое сокращение численности населения;</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5A4B">
              <w:rPr>
                <w:rFonts w:ascii="Times New Roman" w:hAnsi="Times New Roman" w:cs="Times New Roman"/>
              </w:rPr>
              <w:t>Усиление оттока квалифицированных специалистов</w:t>
            </w:r>
          </w:p>
        </w:tc>
      </w:tr>
    </w:tbl>
    <w:p w:rsidR="00E618FE" w:rsidRPr="00535A4B" w:rsidRDefault="00800098">
      <w:pPr>
        <w:pStyle w:val="aff"/>
        <w:rPr>
          <w:rFonts w:ascii="Times New Roman" w:hAnsi="Times New Roman"/>
          <w:lang w:val="ru-RU"/>
        </w:rPr>
      </w:pPr>
      <w:r w:rsidRPr="00535A4B">
        <w:rPr>
          <w:rFonts w:ascii="Times New Roman" w:hAnsi="Times New Roman"/>
          <w:lang w:val="ru-RU"/>
        </w:rPr>
        <w:lastRenderedPageBreak/>
        <w:t>Таблица Г.3. Возможности и угрозы внешней среды</w:t>
      </w:r>
    </w:p>
    <w:tbl>
      <w:tblPr>
        <w:tblStyle w:val="-18"/>
        <w:tblW w:w="5000" w:type="pct"/>
        <w:tblLook w:val="04A0" w:firstRow="1" w:lastRow="0" w:firstColumn="1" w:lastColumn="0" w:noHBand="0" w:noVBand="1"/>
      </w:tblPr>
      <w:tblGrid>
        <w:gridCol w:w="1270"/>
        <w:gridCol w:w="6380"/>
        <w:gridCol w:w="6910"/>
      </w:tblGrid>
      <w:tr w:rsidR="00E618FE" w:rsidRPr="00535A4B" w:rsidTr="00E61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E618FE">
            <w:pPr>
              <w:jc w:val="center"/>
              <w:rPr>
                <w:sz w:val="22"/>
              </w:rPr>
            </w:pPr>
          </w:p>
        </w:tc>
        <w:tc>
          <w:tcPr>
            <w:tcW w:w="219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sz w:val="22"/>
              </w:rPr>
            </w:pPr>
            <w:r w:rsidRPr="00535A4B">
              <w:rPr>
                <w:b w:val="0"/>
                <w:sz w:val="22"/>
              </w:rPr>
              <w:t>ВОЗМОЖНОСТИ (O)</w:t>
            </w:r>
          </w:p>
        </w:tc>
        <w:tc>
          <w:tcPr>
            <w:tcW w:w="237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sz w:val="22"/>
              </w:rPr>
            </w:pPr>
            <w:r w:rsidRPr="00535A4B">
              <w:rPr>
                <w:b w:val="0"/>
                <w:sz w:val="22"/>
              </w:rPr>
              <w:t>УГРОЗЫ (T)</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36" w:type="pct"/>
            <w:tcBorders>
              <w:top w:val="single" w:sz="4" w:space="0" w:color="000000"/>
              <w:left w:val="single" w:sz="4" w:space="0" w:color="000000"/>
              <w:bottom w:val="single" w:sz="4" w:space="0" w:color="000000"/>
              <w:right w:val="single" w:sz="4" w:space="0" w:color="000000"/>
            </w:tcBorders>
          </w:tcPr>
          <w:p w:rsidR="00E618FE" w:rsidRPr="00535A4B" w:rsidRDefault="00800098">
            <w:pPr>
              <w:rPr>
                <w:sz w:val="22"/>
              </w:rPr>
            </w:pPr>
            <w:r w:rsidRPr="00535A4B">
              <w:rPr>
                <w:b w:val="0"/>
                <w:bCs w:val="0"/>
                <w:sz w:val="22"/>
              </w:rPr>
              <w:t>Сильные стороны (S)</w:t>
            </w:r>
          </w:p>
        </w:tc>
        <w:tc>
          <w:tcPr>
            <w:tcW w:w="2191" w:type="pct"/>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Использовать высокий уровень ВРП, рост инвестиций </w:t>
            </w:r>
            <w:r w:rsidRPr="00535A4B">
              <w:rPr>
                <w:rFonts w:ascii="Times New Roman" w:hAnsi="Times New Roman" w:cs="Times New Roman"/>
                <w:bCs/>
              </w:rPr>
              <w:br/>
              <w:t xml:space="preserve">и структурный сдвиг к обрабатывающим отраслям </w:t>
            </w:r>
            <w:r w:rsidRPr="00535A4B">
              <w:rPr>
                <w:rFonts w:ascii="Times New Roman" w:hAnsi="Times New Roman" w:cs="Times New Roman"/>
                <w:bCs/>
              </w:rPr>
              <w:br/>
              <w:t xml:space="preserve">для участия в политике импортозамещения </w:t>
            </w:r>
            <w:r w:rsidRPr="00535A4B">
              <w:rPr>
                <w:rFonts w:ascii="Times New Roman" w:hAnsi="Times New Roman" w:cs="Times New Roman"/>
                <w:bCs/>
              </w:rPr>
              <w:br/>
              <w:t>и формировании территориальных промышленных кластеров.</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Опираясь на развитый научно-образовательный комплекс, значительное финансирование науки и инновационную инфраструктуру, развивать цифровизацию экономики, передовые технологии и привлекать молодых исследователей и специалистов.</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Использовать стратегическое положение в центре Сибири, развитую транспортную инфраструктуру и значительные природные ресурсы для переориентации внешнеторговых связей на восточные рынки и реализации крупных инфраструктурных проектов, включая особую экономическую зону и промплощадки</w:t>
            </w:r>
          </w:p>
        </w:tc>
        <w:tc>
          <w:tcPr>
            <w:tcW w:w="2373" w:type="pct"/>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Задействовать высокотехнологичные и обрабатывающие производства, а также научно-технологический потенциал </w:t>
            </w:r>
            <w:r w:rsidRPr="00535A4B">
              <w:rPr>
                <w:rFonts w:ascii="Times New Roman" w:hAnsi="Times New Roman" w:cs="Times New Roman"/>
                <w:bCs/>
              </w:rPr>
              <w:br/>
              <w:t xml:space="preserve">для снижения зависимости от импортного оборудования </w:t>
            </w:r>
            <w:r w:rsidRPr="00535A4B">
              <w:rPr>
                <w:rFonts w:ascii="Times New Roman" w:hAnsi="Times New Roman" w:cs="Times New Roman"/>
                <w:bCs/>
              </w:rPr>
              <w:br/>
              <w:t>и технологий и смягчения санкционного и логистического давления.</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Использовать развитую инновационную инфраструктуру </w:t>
            </w:r>
            <w:r w:rsidRPr="00535A4B">
              <w:rPr>
                <w:rFonts w:ascii="Times New Roman" w:hAnsi="Times New Roman" w:cs="Times New Roman"/>
                <w:bCs/>
              </w:rPr>
              <w:br/>
              <w:t xml:space="preserve">для повышения устойчивости к волатильности мировых цен </w:t>
            </w:r>
            <w:r w:rsidRPr="00535A4B">
              <w:rPr>
                <w:rFonts w:ascii="Times New Roman" w:hAnsi="Times New Roman" w:cs="Times New Roman"/>
                <w:bCs/>
              </w:rPr>
              <w:br/>
              <w:t>на энергоносители, укреплению рубля и усилению конкуренции на азиатских рынках.</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Использовать стратегическое положение, транспортную инфраструктуру и программы научно-технологического развития для ускорения геологоразведки и перехода к новым месторождениям, снижая риски истощения действующих запасов углеводородов и несвоевременной реализации проектов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436" w:type="pct"/>
            <w:tcBorders>
              <w:top w:val="single" w:sz="4" w:space="0" w:color="000000"/>
              <w:left w:val="single" w:sz="4" w:space="0" w:color="000000"/>
              <w:bottom w:val="single" w:sz="4" w:space="0" w:color="000000"/>
              <w:right w:val="single" w:sz="4" w:space="0" w:color="000000"/>
            </w:tcBorders>
          </w:tcPr>
          <w:p w:rsidR="00E618FE" w:rsidRPr="00535A4B" w:rsidRDefault="00800098">
            <w:pPr>
              <w:rPr>
                <w:sz w:val="22"/>
              </w:rPr>
            </w:pPr>
            <w:r w:rsidRPr="00535A4B">
              <w:rPr>
                <w:b w:val="0"/>
                <w:bCs w:val="0"/>
                <w:sz w:val="22"/>
              </w:rPr>
              <w:t>Слабые стороны (W)</w:t>
            </w:r>
          </w:p>
        </w:tc>
        <w:tc>
          <w:tcPr>
            <w:tcW w:w="2191" w:type="pct"/>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Использовать политику импортозамещения, развитие кластеров и крупных инфраструктурных проектов </w:t>
            </w:r>
            <w:r w:rsidRPr="00535A4B">
              <w:rPr>
                <w:rFonts w:ascii="Times New Roman" w:hAnsi="Times New Roman" w:cs="Times New Roman"/>
                <w:bCs/>
              </w:rPr>
              <w:br/>
              <w:t>для преодоления замедления промышленного роста, снижения добычи углеводородов и высокой бюджетной зависимости от нефтегазового сектора.</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Задействовать совершенствование системы подготовки кадров и программы привлечения молодых специалистов для компенсации дефицита квалифицированных кадров, снижения рождаемости и оттока населения.</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Использовать цифровизацию экономики, развитие ОЭЗ, промышленных площадок и оптимизацию налоговой нагрузки для модернизации изношенной промышленной </w:t>
            </w:r>
            <w:r w:rsidRPr="00535A4B">
              <w:rPr>
                <w:rFonts w:ascii="Times New Roman" w:hAnsi="Times New Roman" w:cs="Times New Roman"/>
                <w:bCs/>
              </w:rPr>
              <w:br/>
              <w:t>и коммунальной инфраструктуры и смягчения ограниченного доступа к кредитным ресурсам</w:t>
            </w:r>
          </w:p>
        </w:tc>
        <w:tc>
          <w:tcPr>
            <w:tcW w:w="2373" w:type="pct"/>
            <w:tcBorders>
              <w:top w:val="single" w:sz="4" w:space="0" w:color="000000"/>
              <w:left w:val="single" w:sz="4" w:space="0" w:color="000000"/>
              <w:bottom w:val="single" w:sz="4" w:space="0" w:color="000000"/>
              <w:right w:val="single" w:sz="4" w:space="0" w:color="000000"/>
            </w:tcBorders>
          </w:tcPr>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Разрабатывать консервативную бюджетную и инвестиционную политику с учетом высокой зависимости от нефтегазовых доходов, волатильности цен на энергоносители, высокой ключевой ставки и инфляции, чтобы снизить фискальные </w:t>
            </w:r>
            <w:r w:rsidRPr="00535A4B">
              <w:rPr>
                <w:rFonts w:ascii="Times New Roman" w:hAnsi="Times New Roman" w:cs="Times New Roman"/>
                <w:bCs/>
              </w:rPr>
              <w:br/>
              <w:t>и долговые риски.</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Формировать программы удержания и замещения кадров (жилье, социальная инфраструктура, повышение производительности) для противодействия прогнозируемому сокращению населения, усилению оттока специалистов </w:t>
            </w:r>
            <w:r w:rsidRPr="00535A4B">
              <w:rPr>
                <w:rFonts w:ascii="Times New Roman" w:hAnsi="Times New Roman" w:cs="Times New Roman"/>
                <w:bCs/>
              </w:rPr>
              <w:br/>
              <w:t>и уже имеющемуся дефициту кадров.</w:t>
            </w:r>
          </w:p>
          <w:p w:rsidR="00E618FE" w:rsidRPr="00535A4B" w:rsidRDefault="00800098">
            <w:pPr>
              <w:pStyle w:val="TableParagraph"/>
              <w:numPr>
                <w:ilvl w:val="0"/>
                <w:numId w:val="22"/>
              </w:numPr>
              <w:spacing w:before="0"/>
              <w:ind w:right="31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535A4B">
              <w:rPr>
                <w:rFonts w:ascii="Times New Roman" w:hAnsi="Times New Roman" w:cs="Times New Roman"/>
                <w:bCs/>
              </w:rPr>
              <w:t xml:space="preserve">Планировать поэтапную модернизацию инфраструктуры </w:t>
            </w:r>
            <w:r w:rsidRPr="00535A4B">
              <w:rPr>
                <w:rFonts w:ascii="Times New Roman" w:hAnsi="Times New Roman" w:cs="Times New Roman"/>
                <w:bCs/>
              </w:rPr>
              <w:br/>
              <w:t>и диверсификацию экономики с учетом ограниченного доступа к кредитам, высокой капиталоемкости геологоразведки и рисков несвоевременной реализации проектов, чтобы минимизировать совокупный инфраструктурный и инвестиционный риск</w:t>
            </w:r>
          </w:p>
        </w:tc>
      </w:tr>
    </w:tbl>
    <w:p w:rsidR="00E618FE" w:rsidRPr="00535A4B" w:rsidRDefault="00E618FE">
      <w:pPr>
        <w:pStyle w:val="a4"/>
        <w:rPr>
          <w:rFonts w:ascii="Times New Roman" w:hAnsi="Times New Roman"/>
          <w:b/>
          <w:bCs/>
          <w:color w:val="auto"/>
        </w:rPr>
        <w:sectPr w:rsidR="00E618FE" w:rsidRPr="00535A4B">
          <w:pgSz w:w="16838" w:h="11906" w:orient="landscape"/>
          <w:pgMar w:top="1701" w:right="1134" w:bottom="851" w:left="1134" w:header="709" w:footer="709" w:gutter="0"/>
          <w:cols w:space="708"/>
          <w:docGrid w:linePitch="360"/>
        </w:sectPr>
      </w:pPr>
    </w:p>
    <w:p w:rsidR="00E618FE" w:rsidRPr="00535A4B" w:rsidRDefault="00800098">
      <w:pPr>
        <w:pStyle w:val="a4"/>
        <w:rPr>
          <w:rFonts w:ascii="Times New Roman" w:hAnsi="Times New Roman"/>
          <w:color w:val="auto"/>
        </w:rPr>
      </w:pPr>
      <w:r w:rsidRPr="00535A4B">
        <w:rPr>
          <w:rFonts w:ascii="Times New Roman" w:hAnsi="Times New Roman"/>
          <w:b/>
          <w:bCs/>
          <w:color w:val="auto"/>
        </w:rPr>
        <w:lastRenderedPageBreak/>
        <w:t xml:space="preserve">Общий вывод. </w:t>
      </w:r>
      <w:r w:rsidRPr="006739D7">
        <w:rPr>
          <w:rFonts w:ascii="Times New Roman" w:hAnsi="Times New Roman"/>
          <w:color w:val="auto"/>
          <w:sz w:val="26"/>
          <w:szCs w:val="26"/>
        </w:rPr>
        <w:t xml:space="preserve">SWOT-анализ показывает, что Томская область обладает значительным экономическим, научно-образовательным и инфраструктурным потенциалом, который позволяет использовать повестку импортозамещения, цифровизации и развития «восточного направления» как ключевое окно возможностей для роста. Вместе с тем сохраняются структурные уязвимости: высокая зависимость от нефтегазового сектора, демографический спад, дефицит кадров и изношенность инфраструктуры на фоне внешних санкционных, финансовых и ресурсных рисков, что требует активной диверсификации экономики, ускоренной модернизации и целевой кадровой политики. </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Ключевые возможности:</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1. Научно-технологическое лидерство: статус пилотного региона </w:t>
      </w:r>
      <w:r w:rsidRPr="006739D7">
        <w:rPr>
          <w:rFonts w:ascii="Times New Roman" w:hAnsi="Times New Roman"/>
          <w:color w:val="auto"/>
          <w:sz w:val="26"/>
          <w:szCs w:val="26"/>
        </w:rPr>
        <w:br/>
        <w:t>по разработке и внедрению комплексных региональных государственных программ научно-технологического развития, концентрация ведущих университетов и НИИ, высокое финансирование науки.</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2. Структурная трансформация: переход от сырьевой экономики </w:t>
      </w:r>
      <w:r w:rsidRPr="006739D7">
        <w:rPr>
          <w:rFonts w:ascii="Times New Roman" w:hAnsi="Times New Roman"/>
          <w:color w:val="auto"/>
          <w:sz w:val="26"/>
          <w:szCs w:val="26"/>
        </w:rPr>
        <w:br/>
        <w:t>к диверсифицированной с преобладанием обрабатывающих производств.</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3. Инвестиционная активность: рост инвестиций в высокотехнологичные производства при поддержке государства и использовании льготного режима ОЭЗ.</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4. Ресурсный потенциал: значительные запасы разнообразных природных ресурсов (лес, торф, руды) для долгосрочного развития.</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5. Географические преимущества: стратегическое положение в центре Сибири с растущей транспортной доступностью и близость к восточным рынкам.</w:t>
      </w:r>
    </w:p>
    <w:p w:rsidR="00E618FE" w:rsidRPr="00535A4B" w:rsidRDefault="00800098">
      <w:pPr>
        <w:pStyle w:val="a4"/>
        <w:rPr>
          <w:rFonts w:ascii="Times New Roman" w:hAnsi="Times New Roman"/>
          <w:b/>
          <w:bCs/>
          <w:color w:val="auto"/>
        </w:rPr>
      </w:pPr>
      <w:r w:rsidRPr="00535A4B">
        <w:rPr>
          <w:rFonts w:ascii="Times New Roman" w:hAnsi="Times New Roman"/>
          <w:b/>
          <w:bCs/>
          <w:color w:val="auto"/>
        </w:rPr>
        <w:t>Критические угрозы:</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1. Демографический кризис: устойчивая убыль населения, снижение рождаемости, миграционный отток.</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2. Истощение ресурсной базы: снижение добычи нефти и газа при высокой бюджетной зависимости от доходов углеводородного сектора.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 xml:space="preserve">3. Кадровый дефицит: острая нехватка квалифицированных специалистов </w:t>
      </w:r>
      <w:r w:rsidR="006739D7">
        <w:rPr>
          <w:rFonts w:ascii="Times New Roman" w:hAnsi="Times New Roman"/>
          <w:color w:val="auto"/>
          <w:sz w:val="26"/>
          <w:szCs w:val="26"/>
        </w:rPr>
        <w:br/>
      </w:r>
      <w:r w:rsidRPr="006739D7">
        <w:rPr>
          <w:rFonts w:ascii="Times New Roman" w:hAnsi="Times New Roman"/>
          <w:color w:val="auto"/>
          <w:sz w:val="26"/>
          <w:szCs w:val="26"/>
        </w:rPr>
        <w:t>на фоне структурных диспропорций на рынке труда.</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4. Межрегиональная конкуренция: усиление борьбы за федеральные ресурсы и частные инвестиции.</w:t>
      </w:r>
    </w:p>
    <w:p w:rsidR="00E618FE" w:rsidRPr="006739D7" w:rsidRDefault="00800098">
      <w:pPr>
        <w:pStyle w:val="a4"/>
        <w:rPr>
          <w:rFonts w:ascii="Times New Roman" w:hAnsi="Times New Roman"/>
          <w:b/>
          <w:bCs/>
          <w:color w:val="auto"/>
          <w:sz w:val="26"/>
          <w:szCs w:val="26"/>
        </w:rPr>
      </w:pPr>
      <w:r w:rsidRPr="006739D7">
        <w:rPr>
          <w:rFonts w:ascii="Times New Roman" w:hAnsi="Times New Roman"/>
          <w:color w:val="auto"/>
          <w:sz w:val="26"/>
          <w:szCs w:val="26"/>
        </w:rPr>
        <w:t>5. Климатические риски: угроза масштабных пожаров, опасные метеоявления, необходимость адаптации инфраструктуры</w:t>
      </w:r>
      <w:r w:rsidRPr="006739D7">
        <w:rPr>
          <w:rFonts w:ascii="Times New Roman" w:hAnsi="Times New Roman"/>
          <w:b/>
          <w:bCs/>
          <w:color w:val="auto"/>
          <w:sz w:val="26"/>
          <w:szCs w:val="26"/>
        </w:rPr>
        <w:t>.</w:t>
      </w:r>
    </w:p>
    <w:p w:rsidR="00E618FE" w:rsidRPr="006739D7" w:rsidRDefault="00800098">
      <w:pPr>
        <w:pStyle w:val="a4"/>
        <w:rPr>
          <w:rFonts w:ascii="Times New Roman" w:hAnsi="Times New Roman"/>
          <w:color w:val="auto"/>
          <w:sz w:val="26"/>
          <w:szCs w:val="26"/>
        </w:rPr>
      </w:pPr>
      <w:r w:rsidRPr="006739D7">
        <w:rPr>
          <w:rFonts w:ascii="Times New Roman" w:hAnsi="Times New Roman"/>
          <w:color w:val="auto"/>
          <w:sz w:val="26"/>
          <w:szCs w:val="26"/>
        </w:rPr>
        <w:t>Данные выводы положены в основу обновления приоритетов Стратегии социально-экономического развития Томской области.</w:t>
      </w:r>
      <w:bookmarkEnd w:id="287"/>
    </w:p>
    <w:p w:rsidR="00E618FE" w:rsidRPr="006739D7" w:rsidRDefault="00E618FE">
      <w:pPr>
        <w:rPr>
          <w:sz w:val="26"/>
          <w:szCs w:val="26"/>
        </w:rPr>
      </w:pPr>
    </w:p>
    <w:p w:rsidR="00E618FE" w:rsidRPr="00535A4B" w:rsidRDefault="00800098">
      <w:pPr>
        <w:spacing w:after="160" w:line="259" w:lineRule="auto"/>
        <w:rPr>
          <w:rFonts w:eastAsia="PT Astra Serif"/>
          <w:sz w:val="28"/>
          <w:szCs w:val="28"/>
          <w:lang w:eastAsia="en-US" w:bidi="en-US"/>
        </w:rPr>
      </w:pPr>
      <w:r w:rsidRPr="00535A4B">
        <w:rPr>
          <w:rFonts w:eastAsia="PT Astra Serif"/>
          <w:lang w:eastAsia="en-US" w:bidi="en-US"/>
        </w:rPr>
        <w:br w:type="page" w:clear="all"/>
      </w:r>
    </w:p>
    <w:p w:rsidR="00E618FE" w:rsidRPr="00535A4B" w:rsidRDefault="00800098">
      <w:pPr>
        <w:pStyle w:val="1f8"/>
        <w:rPr>
          <w:rFonts w:ascii="Times New Roman" w:hAnsi="Times New Roman" w:cs="Times New Roman"/>
          <w:lang w:val="ru-RU"/>
        </w:rPr>
      </w:pPr>
      <w:bookmarkStart w:id="314" w:name="_Toc228212212"/>
      <w:bookmarkStart w:id="315" w:name="_Toc235810191"/>
      <w:bookmarkStart w:id="316" w:name="_Toc238554576"/>
      <w:bookmarkStart w:id="317" w:name="_Hlk228534910"/>
      <w:bookmarkStart w:id="318" w:name="_Hlk231182121"/>
      <w:bookmarkEnd w:id="263"/>
      <w:r w:rsidRPr="00535A4B">
        <w:rPr>
          <w:rFonts w:ascii="Times New Roman" w:hAnsi="Times New Roman" w:cs="Times New Roman"/>
          <w:lang w:val="ru-RU"/>
        </w:rPr>
        <w:lastRenderedPageBreak/>
        <w:t xml:space="preserve">Приложение </w:t>
      </w:r>
      <w:bookmarkEnd w:id="314"/>
      <w:r w:rsidRPr="00535A4B">
        <w:rPr>
          <w:rFonts w:ascii="Times New Roman" w:hAnsi="Times New Roman" w:cs="Times New Roman"/>
          <w:lang w:val="ru-RU"/>
        </w:rPr>
        <w:t>Д</w:t>
      </w:r>
      <w:bookmarkEnd w:id="315"/>
      <w:bookmarkEnd w:id="316"/>
    </w:p>
    <w:p w:rsidR="00E618FE" w:rsidRPr="00535A4B" w:rsidRDefault="00800098">
      <w:pPr>
        <w:pStyle w:val="2f"/>
        <w:rPr>
          <w:rFonts w:ascii="Times New Roman" w:hAnsi="Times New Roman" w:cs="Times New Roman"/>
        </w:rPr>
      </w:pPr>
      <w:bookmarkStart w:id="319" w:name="_Toc235810192"/>
      <w:bookmarkStart w:id="320" w:name="_Toc238554577"/>
      <w:bookmarkStart w:id="321" w:name="_Toc228212213"/>
      <w:r w:rsidRPr="00535A4B">
        <w:rPr>
          <w:rFonts w:ascii="Times New Roman" w:hAnsi="Times New Roman" w:cs="Times New Roman"/>
        </w:rPr>
        <w:t>Флагманские инициативы и проекты</w:t>
      </w:r>
      <w:bookmarkEnd w:id="319"/>
      <w:bookmarkEnd w:id="320"/>
      <w:r w:rsidRPr="00535A4B">
        <w:rPr>
          <w:rFonts w:ascii="Times New Roman" w:hAnsi="Times New Roman" w:cs="Times New Roman"/>
        </w:rPr>
        <w:t xml:space="preserve"> </w:t>
      </w:r>
      <w:bookmarkEnd w:id="317"/>
      <w:bookmarkEnd w:id="318"/>
      <w:bookmarkEnd w:id="321"/>
    </w:p>
    <w:p w:rsidR="00E618FE" w:rsidRPr="00535A4B" w:rsidRDefault="00800098">
      <w:pPr>
        <w:pStyle w:val="aff"/>
        <w:rPr>
          <w:rFonts w:ascii="Times New Roman" w:hAnsi="Times New Roman"/>
          <w:lang w:val="ru-RU"/>
        </w:rPr>
      </w:pPr>
      <w:r w:rsidRPr="00535A4B">
        <w:rPr>
          <w:rFonts w:ascii="Times New Roman" w:hAnsi="Times New Roman"/>
          <w:lang w:val="ru-RU"/>
        </w:rPr>
        <w:t>Таблица Д.1. Перечень флагманских инициатив</w:t>
      </w:r>
    </w:p>
    <w:tbl>
      <w:tblPr>
        <w:tblStyle w:val="af0"/>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7"/>
        <w:gridCol w:w="2977"/>
        <w:gridCol w:w="3821"/>
      </w:tblGrid>
      <w:tr w:rsidR="00E618FE" w:rsidRPr="00535A4B">
        <w:tc>
          <w:tcPr>
            <w:tcW w:w="254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rPr>
                <w:b/>
                <w:bCs/>
              </w:rPr>
            </w:pPr>
            <w:r w:rsidRPr="00535A4B">
              <w:rPr>
                <w:b/>
                <w:bCs/>
              </w:rPr>
              <w:t>Региональная цель (РЦ)</w:t>
            </w:r>
          </w:p>
        </w:tc>
        <w:tc>
          <w:tcPr>
            <w:tcW w:w="297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rPr>
                <w:b/>
                <w:bCs/>
              </w:rPr>
            </w:pPr>
            <w:r w:rsidRPr="00535A4B">
              <w:rPr>
                <w:b/>
                <w:bCs/>
              </w:rPr>
              <w:t>Комплексная флагманская инициатива (КФИ)</w:t>
            </w:r>
          </w:p>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rPr>
                <w:b/>
                <w:bCs/>
              </w:rPr>
            </w:pPr>
            <w:r w:rsidRPr="00535A4B">
              <w:rPr>
                <w:b/>
                <w:bCs/>
              </w:rPr>
              <w:t>Флагманская инициатива (ФИ)</w:t>
            </w:r>
          </w:p>
        </w:tc>
      </w:tr>
      <w:tr w:rsidR="00E618FE" w:rsidRPr="00535A4B">
        <w:tc>
          <w:tcPr>
            <w:tcW w:w="2547"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РЦ1. «Сохранение населения, укрепление здоровья и повышение благополучия людей, поддержка семьи»</w:t>
            </w:r>
          </w:p>
        </w:tc>
        <w:tc>
          <w:tcPr>
            <w:tcW w:w="2977"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КФИ1. «Линия жизни: регион возможностей, благополучия и заботы»</w:t>
            </w:r>
          </w:p>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E618FE"/>
        </w:tc>
      </w:tr>
      <w:tr w:rsidR="00E618FE" w:rsidRPr="00535A4B">
        <w:tc>
          <w:tcPr>
            <w:tcW w:w="2547"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РЦ2. «Человеческий капитал и развитие талантов»</w:t>
            </w:r>
          </w:p>
        </w:tc>
        <w:tc>
          <w:tcPr>
            <w:tcW w:w="2977"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КФИ2. «Культурный код томича»</w:t>
            </w:r>
          </w:p>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E618FE"/>
        </w:tc>
      </w:tr>
      <w:tr w:rsidR="00E618FE" w:rsidRPr="00535A4B">
        <w:tc>
          <w:tcPr>
            <w:tcW w:w="2547" w:type="dxa"/>
            <w:vMerge w:val="restart"/>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РЦ3. «Устойчивое экономическое и технологическое развитие»</w:t>
            </w:r>
          </w:p>
        </w:tc>
        <w:tc>
          <w:tcPr>
            <w:tcW w:w="2977" w:type="dxa"/>
            <w:vMerge w:val="restart"/>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КФИ3. «Технологическое лидерство»</w:t>
            </w:r>
          </w:p>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rFonts w:eastAsia="Calibri"/>
              </w:rPr>
              <w:t xml:space="preserve">ФИ3.1. «Прорыв в энергетике </w:t>
            </w:r>
            <w:r w:rsidRPr="00535A4B">
              <w:rPr>
                <w:rFonts w:eastAsia="Calibri"/>
              </w:rPr>
              <w:br/>
              <w:t>и атомных технологиях»</w:t>
            </w:r>
          </w:p>
        </w:tc>
      </w:tr>
      <w:tr w:rsidR="00E618FE" w:rsidRPr="00535A4B">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left w:val="single" w:sz="4" w:space="0" w:color="000000"/>
            </w:tcBorders>
          </w:tcPr>
          <w:p w:rsidR="00E618FE" w:rsidRPr="00535A4B" w:rsidRDefault="00800098">
            <w:r w:rsidRPr="00535A4B">
              <w:rPr>
                <w:rFonts w:eastAsia="Calibri"/>
              </w:rPr>
              <w:t xml:space="preserve">ФИ3.2. «Современный межвузовский кампус </w:t>
            </w:r>
            <w:r w:rsidRPr="00535A4B">
              <w:rPr>
                <w:rFonts w:eastAsia="Calibri"/>
              </w:rPr>
              <w:br/>
              <w:t xml:space="preserve">в г. Томске—платформа технологического лидерства </w:t>
            </w:r>
            <w:r w:rsidRPr="00535A4B">
              <w:rPr>
                <w:rFonts w:eastAsia="Calibri"/>
              </w:rPr>
              <w:br/>
              <w:t>и среда самореализации молодежи»</w:t>
            </w:r>
          </w:p>
        </w:tc>
      </w:tr>
      <w:tr w:rsidR="00E618FE" w:rsidRPr="00535A4B">
        <w:trPr>
          <w:trHeight w:val="276"/>
        </w:trPr>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val="restart"/>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КФИ4. «Технологический суверенитет»</w:t>
            </w:r>
          </w:p>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rFonts w:eastAsia="Calibri"/>
              </w:rPr>
              <w:t xml:space="preserve">ФИ4.1. «Промышленный кластер «Кластер электроники </w:t>
            </w:r>
            <w:r w:rsidRPr="00535A4B">
              <w:rPr>
                <w:rFonts w:eastAsia="Calibri"/>
              </w:rPr>
              <w:br/>
              <w:t xml:space="preserve">и беспилотных технологий </w:t>
            </w:r>
            <w:r w:rsidRPr="00535A4B">
              <w:rPr>
                <w:rFonts w:eastAsia="Calibri"/>
              </w:rPr>
              <w:br/>
              <w:t>на территории Томской области»</w:t>
            </w:r>
          </w:p>
        </w:tc>
      </w:tr>
      <w:tr w:rsidR="00E618FE" w:rsidRPr="00535A4B">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rPr>
                <w:rFonts w:eastAsia="Calibri"/>
              </w:rPr>
              <w:t>ФИ4.2. «Промышленный кластер «Цветные и редкоземельные металлы»</w:t>
            </w:r>
          </w:p>
        </w:tc>
      </w:tr>
      <w:tr w:rsidR="00E618FE" w:rsidRPr="00535A4B">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ФИ4.3. «Химический кластер»</w:t>
            </w:r>
          </w:p>
        </w:tc>
      </w:tr>
      <w:tr w:rsidR="00E618FE" w:rsidRPr="00535A4B">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 xml:space="preserve">ФИ4.4. «Промышленный кластер «Лес, лесопереработка </w:t>
            </w:r>
            <w:r w:rsidRPr="00535A4B">
              <w:rPr>
                <w:rFonts w:eastAsia="Calibri"/>
              </w:rPr>
              <w:br/>
              <w:t>и лесохимия»</w:t>
            </w:r>
          </w:p>
        </w:tc>
      </w:tr>
      <w:tr w:rsidR="00E618FE" w:rsidRPr="00535A4B">
        <w:trPr>
          <w:trHeight w:val="643"/>
        </w:trPr>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ФИ4.5. «Томская область — территория доверия инвесторов»</w:t>
            </w:r>
          </w:p>
        </w:tc>
      </w:tr>
      <w:tr w:rsidR="00E618FE" w:rsidRPr="00535A4B">
        <w:trPr>
          <w:trHeight w:val="276"/>
        </w:trPr>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val="restart"/>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КФИ5. «Индустрия творчества и туризм»</w:t>
            </w:r>
          </w:p>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ФИ5.1 «</w:t>
            </w:r>
            <w:r w:rsidRPr="00535A4B">
              <w:t>Креативная экономика Томской области — формула роста»</w:t>
            </w:r>
          </w:p>
        </w:tc>
      </w:tr>
      <w:tr w:rsidR="00E618FE" w:rsidRPr="00535A4B">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 xml:space="preserve">ФИ5.2 «Инфраструктура гостеприимной Сибири </w:t>
            </w:r>
            <w:r w:rsidRPr="00535A4B">
              <w:rPr>
                <w:rFonts w:eastAsia="Calibri"/>
              </w:rPr>
              <w:br/>
              <w:t>для путешествий и экономики впечатлений»</w:t>
            </w:r>
          </w:p>
        </w:tc>
      </w:tr>
      <w:tr w:rsidR="00E618FE" w:rsidRPr="00535A4B">
        <w:tc>
          <w:tcPr>
            <w:tcW w:w="2547" w:type="dxa"/>
            <w:vMerge w:val="restart"/>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РЦ4. «Сбалансированное пространственное развитие, улучшение качества инфраструктуры»</w:t>
            </w:r>
          </w:p>
        </w:tc>
        <w:tc>
          <w:tcPr>
            <w:tcW w:w="2977" w:type="dxa"/>
            <w:vMerge w:val="restart"/>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 xml:space="preserve">КФИ6. «Пространство </w:t>
            </w:r>
            <w:r w:rsidRPr="00535A4B">
              <w:br/>
              <w:t>для жизни»</w:t>
            </w:r>
          </w:p>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ФИ 6.1.«Стратегический пространственный каркас Томской области»</w:t>
            </w:r>
            <w:r w:rsidRPr="00535A4B">
              <w:t xml:space="preserve"> </w:t>
            </w:r>
          </w:p>
        </w:tc>
      </w:tr>
      <w:tr w:rsidR="00E618FE" w:rsidRPr="00535A4B">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t>ФИ 6.2. «Градостроительное развитие территории «Большой Томск»</w:t>
            </w:r>
          </w:p>
        </w:tc>
      </w:tr>
      <w:tr w:rsidR="00E618FE" w:rsidRPr="00535A4B">
        <w:trPr>
          <w:trHeight w:val="557"/>
        </w:trPr>
        <w:tc>
          <w:tcPr>
            <w:tcW w:w="254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2977" w:type="dxa"/>
            <w:vMerge/>
            <w:tcBorders>
              <w:top w:val="single" w:sz="4" w:space="0" w:color="000000"/>
              <w:left w:val="single" w:sz="4" w:space="0" w:color="000000"/>
              <w:bottom w:val="single" w:sz="4" w:space="0" w:color="000000"/>
              <w:right w:val="single" w:sz="4" w:space="0" w:color="000000"/>
            </w:tcBorders>
          </w:tcPr>
          <w:p w:rsidR="00E618FE" w:rsidRPr="00535A4B" w:rsidRDefault="00E618FE"/>
        </w:tc>
        <w:tc>
          <w:tcPr>
            <w:tcW w:w="3821"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t>ФИ 6.3. «Томск исторический: наследие как ресурс развития»</w:t>
            </w:r>
          </w:p>
        </w:tc>
      </w:tr>
    </w:tbl>
    <w:p w:rsidR="00E618FE" w:rsidRPr="00535A4B" w:rsidRDefault="00E618FE"/>
    <w:p w:rsidR="00E618FE" w:rsidRPr="00535A4B" w:rsidRDefault="00800098">
      <w:pPr>
        <w:pStyle w:val="aff"/>
        <w:rPr>
          <w:rFonts w:ascii="Times New Roman" w:hAnsi="Times New Roman"/>
          <w:lang w:val="ru-RU"/>
        </w:rPr>
      </w:pPr>
      <w:r w:rsidRPr="00535A4B">
        <w:rPr>
          <w:rFonts w:ascii="Times New Roman" w:hAnsi="Times New Roman"/>
          <w:lang w:val="ru-RU"/>
        </w:rPr>
        <w:t>Таблица Д.2. Описание флагманских инициатив</w:t>
      </w:r>
    </w:p>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pPr>
            <w:bookmarkStart w:id="322" w:name="_Hlk230966100"/>
            <w:r w:rsidRPr="00535A4B">
              <w:t>КФИ1. «Линия жизни: регион возможностей, благополучия и заботы»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Создание инклюзивной среды и</w:t>
            </w:r>
            <w:r w:rsidRPr="00535A4B">
              <w:rPr>
                <w:sz w:val="28"/>
                <w:szCs w:val="28"/>
              </w:rPr>
              <w:t xml:space="preserve"> </w:t>
            </w:r>
            <w:r w:rsidRPr="00535A4B">
              <w:t xml:space="preserve">обеспечение к 2036 году устойчивого повышения качества жизни, культуры здоровья, взаимной поддержки и доступности среды в Томской области, </w:t>
            </w:r>
            <w:r w:rsidRPr="00535A4B">
              <w:br/>
              <w:t xml:space="preserve">при котором сохранение населения, укрепление семейных отношений, снижение миграционного оттока молодежи </w:t>
            </w:r>
            <w:r w:rsidRPr="00535A4B">
              <w:br/>
              <w:t>и повышение благополучия жителей становятся результатом согласованных действий населения, медицинского сообщества, бизнеса, институтов гражданского общества и органов государственной власти и местного самоуправления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Связь </w:t>
            </w:r>
            <w:r w:rsidRPr="00535A4B">
              <w:br/>
              <w:t>со Стратегией:</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Флагманская инициатива направлена на реализацию национальной цели по сохранению населения, укреплению здоровья и повышению благополучия людей, поддержке семьи </w:t>
            </w:r>
            <w:r w:rsidRPr="00535A4B">
              <w:br/>
              <w:t>и активного долголетия и обеспечивает достижение целевых ориентиров Стратегии социально</w:t>
            </w:r>
            <w:r w:rsidRPr="00535A4B">
              <w:noBreakHyphen/>
              <w:t xml:space="preserve">экономического развития Томской области на период до 2036 года. Инициатива формирует сквозной контур работы с человеческим капиталом региона, объединяя меры в сфере здравоохранения, семейной и социальной политики, развития городской и сельской среды, занятости </w:t>
            </w:r>
            <w:r w:rsidRPr="00535A4B">
              <w:br/>
              <w:t xml:space="preserve">и удержания молодежи, поддержки людей старшего возраста </w:t>
            </w:r>
            <w:r w:rsidRPr="00535A4B">
              <w:br/>
              <w:t xml:space="preserve">и лиц с особыми потребностями. «Линия жизни» — </w:t>
            </w:r>
            <w:r w:rsidRPr="00535A4B">
              <w:br/>
              <w:t xml:space="preserve">это двухуровневая система сопровождения человека на всем жизненном пути. Первый уровень — </w:t>
            </w:r>
            <w:r w:rsidRPr="00535A4B">
              <w:rPr>
                <w:bCs/>
              </w:rPr>
              <w:t>персонализированная медицина и профилактика</w:t>
            </w:r>
            <w:r w:rsidRPr="00535A4B">
              <w:t xml:space="preserve"> (от рождения до активного долголетия). Второй уровень — </w:t>
            </w:r>
            <w:r w:rsidRPr="00535A4B">
              <w:rPr>
                <w:bCs/>
              </w:rPr>
              <w:t>среда и партнерство</w:t>
            </w:r>
            <w:r w:rsidRPr="00535A4B">
              <w:t>, создающие условия, при которых здоровый выбор становится естественным</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Жители Томской области;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медицинские организации и профессиональные объединения; организации, осуществляющие образовательную деятельность;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sz w:val="28"/>
                <w:szCs w:val="28"/>
              </w:rPr>
            </w:pPr>
            <w:r w:rsidRPr="00535A4B">
              <w:t>— работодатели и предпринимательские объединения;</w:t>
            </w:r>
            <w:r w:rsidRPr="00535A4B">
              <w:rPr>
                <w:sz w:val="28"/>
                <w:szCs w:val="28"/>
              </w:rPr>
              <w:t xml:space="preserve">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sz w:val="28"/>
                <w:szCs w:val="28"/>
              </w:rPr>
              <w:t>— </w:t>
            </w:r>
            <w:r w:rsidRPr="00535A4B">
              <w:t>ФГБОУ ВО «Сибирский государственный медицинский университет» Министерства здравоохранения Российской Федерации;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ФГАОУ ВО «Национальный исследовательский Томский государственный университет»;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ФГБОУ ВО «Томский государственный педагогический университет»,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ФГБНУ Томский национальный исследовательский медицинский центр Российской академии наук;</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Федеральное медико-биологическое агентство;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некоммерческие, волонтерские и религиозные организации;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органы государственной власти Томской области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органы местного самоуправления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Основные задачи: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Формирование культуры ответственного отношения </w:t>
            </w:r>
            <w:r w:rsidRPr="00535A4B">
              <w:br/>
              <w:t xml:space="preserve">к здоровью и благополучию, проектирование и поддержка долгосрочных индивидуальных стратегий здоровьесбережения, </w:t>
            </w:r>
            <w:r w:rsidRPr="00535A4B">
              <w:lastRenderedPageBreak/>
              <w:t xml:space="preserve">включающих развитие практик медицинской профилактики </w:t>
            </w:r>
            <w:r w:rsidRPr="00535A4B">
              <w:br/>
              <w:t>и принципов здорового образа жизни (правильное питание, поддержание физической активности, психологического благополучия баланса в работе и личной жизни, укрепление социального капитала).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Развитие модели непрерывного (долгосрочного)</w:t>
            </w:r>
            <w:r w:rsidRPr="00535A4B">
              <w:rPr>
                <w:sz w:val="28"/>
                <w:szCs w:val="28"/>
              </w:rPr>
              <w:t xml:space="preserve"> </w:t>
            </w:r>
            <w:r w:rsidRPr="00535A4B">
              <w:t xml:space="preserve">партнерства государства, общества и бизнеса в системе здравоохранения </w:t>
            </w:r>
            <w:r w:rsidRPr="00535A4B">
              <w:br/>
              <w:t>на протяжении жизненного цикла человека (профилактика, лечение, реабилитация, долговременный уход).</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Повышение качества и доступности социальной, транспортной и общественной инфраструктуры в городах и сельской местности для семей с детьми, молодежи, людей старшего возраста и лиц </w:t>
            </w:r>
            <w:r w:rsidRPr="00535A4B">
              <w:br/>
              <w:t xml:space="preserve">с особыми потребностями, в том числе за счет роста удобства </w:t>
            </w:r>
            <w:r w:rsidRPr="00535A4B">
              <w:br/>
              <w:t>и сокращения физических и институциональных барьеров доступа.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Создание условий для удержания и привлечения молодежи, включая развитие актуальных и востребованных образовательных продуктов, регионального рынка труда, качественной </w:t>
            </w:r>
            <w:r w:rsidRPr="00535A4B">
              <w:br/>
              <w:t xml:space="preserve">и современной городской и сельской среды и возможностей </w:t>
            </w:r>
            <w:r w:rsidRPr="00535A4B">
              <w:br/>
              <w:t>для креативной самореализации.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Развитие механизмов социального партнерства, волонтерства </w:t>
            </w:r>
            <w:r w:rsidRPr="00535A4B">
              <w:br/>
              <w:t>и общественного участия для поддержки семей, людей старшего возраста и лиц с особыми потребностями.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Расширение механизмов привлечения бизнеса в формирование семейно</w:t>
            </w:r>
            <w:r w:rsidRPr="00535A4B">
              <w:noBreakHyphen/>
              <w:t>ориентированной и здоровьесберегающей среды, развитии услуг в сфере здоровья, ухода и реабилитации.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Реализация принципов активного долголетия для снижения нагрузки на систему социального обслуживания населения региона в связи с ростом количества лиц старшего возраста, особенно в сельской местности, и дефицитом финансовых </w:t>
            </w:r>
            <w:r w:rsidRPr="00535A4B">
              <w:br/>
              <w:t xml:space="preserve">и трудовых ресурсов системы социального обслуживания </w:t>
            </w:r>
            <w:r w:rsidRPr="00535A4B">
              <w:br/>
              <w:t>в регионе.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Использование цифровых технологий (персонализированная медицина, удаленное диспансерное наблюдение, телемедицина, цифровой профиль здоровья) как сквозного инструмента реализации всех задач инициативы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Направления реализации: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Культура здоровья и личной ответственности.</w:t>
            </w:r>
            <w:r w:rsidRPr="00535A4B">
              <w:t xml:space="preserve"> </w:t>
            </w:r>
            <w:r w:rsidRPr="00535A4B">
              <w:br/>
              <w:t xml:space="preserve">Развитие просветительских и оздоровительных программ </w:t>
            </w:r>
            <w:r w:rsidRPr="00535A4B">
              <w:br/>
              <w:t xml:space="preserve">и инфраструктуры для ведения здорового образа жизни, профилактики заболеваний, формирования у жителей устойчивых практик заботы о собственном здоровье и здоровье членов семьи (магазины и кафе здорового питания, программы повышения физической активности на рабочем месте и в быту, семейные программы физической культуры и спорта, профилактика вредных привычек, диспансеризация, производство органической продукции в ЛПХ). Организация бесплатных площадок </w:t>
            </w:r>
            <w:r w:rsidRPr="00535A4B">
              <w:br/>
              <w:t xml:space="preserve">для проведения оздоровительных мероприятий в утреннее </w:t>
            </w:r>
            <w:r w:rsidRPr="00535A4B">
              <w:br/>
              <w:t xml:space="preserve">и вечернее время с сопровождением специализированных работников (тренеров или медработников). </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Партнерство «человек — семья — система социальной поддержки».</w:t>
            </w:r>
            <w:r w:rsidRPr="00535A4B">
              <w:t xml:space="preserve"> </w:t>
            </w:r>
            <w:r w:rsidRPr="00535A4B">
              <w:br/>
              <w:t xml:space="preserve">Переход к модели медицинского и социального обслуживания, ориентированной на сопровождение человека </w:t>
            </w:r>
            <w:r w:rsidRPr="00535A4B">
              <w:br/>
            </w:r>
            <w:r w:rsidRPr="00535A4B">
              <w:lastRenderedPageBreak/>
              <w:t xml:space="preserve">и семьи в течение жизненного цикла: развитие семейной медицины, профилактических программ, телемедицины, сервисов навигации по направлениям медицинской помощи </w:t>
            </w:r>
            <w:r w:rsidRPr="00535A4B">
              <w:br/>
              <w:t>и реабилитации, системам долговременного ухода и поддержки для лиц с особыми потребностями.</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Доступная и комфортная среда для жизни.</w:t>
            </w:r>
            <w:r w:rsidRPr="00535A4B">
              <w:t xml:space="preserve"> </w:t>
            </w:r>
            <w:r w:rsidRPr="00535A4B">
              <w:br/>
              <w:t xml:space="preserve">Повышение качества городской и сельской среды, в том числе уровня безопасности, безбарьерности, удобства и комфортности объектов социальной, транспортной и культурной инфраструктуры </w:t>
            </w:r>
            <w:r w:rsidRPr="00535A4B">
              <w:br/>
              <w:t xml:space="preserve">для семей с детьми, молодежи, людей старшего возраста и лиц </w:t>
            </w:r>
            <w:r w:rsidRPr="00535A4B">
              <w:br/>
              <w:t>с особыми потребностями.</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Удержание и привлечение молодежи.</w:t>
            </w:r>
            <w:r w:rsidRPr="00535A4B">
              <w:t xml:space="preserve"> </w:t>
            </w:r>
            <w:r w:rsidRPr="00535A4B">
              <w:br/>
              <w:t xml:space="preserve">Создание условий для закрепления и привлечения молодежи </w:t>
            </w:r>
            <w:r w:rsidRPr="00535A4B">
              <w:br/>
              <w:t xml:space="preserve">и квалифицированных кадров: развитие системы высшего, среднего профессионального и среднего общего образования, студенческой инфраструктуры, рынка труда </w:t>
            </w:r>
            <w:r w:rsidRPr="00535A4B">
              <w:br/>
              <w:t xml:space="preserve">с конкурентоспособными условиями гибкой занятости, современной городской среды и инструментов поддержки креативности и молодежных (социальных) инициатив в сфере повышения качества среды, экологического </w:t>
            </w:r>
            <w:r w:rsidRPr="00535A4B">
              <w:br/>
              <w:t>и социального благополучия.</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 xml:space="preserve">Взаимопомощь и участие институтов гражданского общества. </w:t>
            </w:r>
            <w:r w:rsidRPr="00535A4B">
              <w:rPr>
                <w:b/>
                <w:bCs/>
              </w:rPr>
              <w:br/>
            </w:r>
            <w:r w:rsidRPr="00535A4B">
              <w:t>Поддержка и развитие практик волонтерства, взаимопомощи, деятельности некоммерческих организаций и сообществ, направленных на поддержку семей, людей старшего возраста, лиц с особыми потребностями и иных социально уязвимых групп.</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Участие бизнеса в формировании благополучия.</w:t>
            </w:r>
            <w:r w:rsidRPr="00535A4B">
              <w:rPr>
                <w:b/>
                <w:bCs/>
              </w:rPr>
              <w:br/>
            </w:r>
            <w:r w:rsidRPr="00535A4B">
              <w:t>Стимулирование участия работодателей и предпринимательского сообщества в реализации программ, ориентированных на здоровье работников и их семей, развитие семейно</w:t>
            </w:r>
            <w:r w:rsidRPr="00535A4B">
              <w:noBreakHyphen/>
              <w:t xml:space="preserve">ориентированной корпоративной политики (корпоративного социального стандарта), создание и развитие услуг в сфере ухода, реабилитации и семейной инфраструктуры. </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 xml:space="preserve">Развитие механизмов активного долголетия </w:t>
            </w:r>
            <w:r w:rsidRPr="00535A4B">
              <w:rPr>
                <w:b/>
                <w:bCs/>
              </w:rPr>
              <w:br/>
              <w:t xml:space="preserve">в систематические практики здоровьесбережения </w:t>
            </w:r>
            <w:r w:rsidRPr="00535A4B">
              <w:rPr>
                <w:b/>
                <w:bCs/>
              </w:rPr>
              <w:br/>
              <w:t>и социальной активности</w:t>
            </w:r>
            <w:r w:rsidRPr="00535A4B">
              <w:t xml:space="preserve"> (физическая культура и спорт, программы укрепления ментального здоровья, поддержка практик самообслуживания и адаптации привычной повседневной среды, волонтерство).</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w:t>
            </w:r>
            <w:r w:rsidRPr="00535A4B">
              <w:rPr>
                <w:b/>
                <w:bCs/>
              </w:rPr>
              <w:t>Формирование индивидуального профиля здоровья</w:t>
            </w:r>
            <w:r w:rsidRPr="00535A4B">
              <w:t xml:space="preserve"> — цифрового паспорта здоровья с учетом генетических и средовых факторов риска, медицинских данных и образа жизни, интеграция с медицинскими информационными системами </w:t>
            </w:r>
            <w:r w:rsidRPr="00535A4B">
              <w:br/>
              <w:t>и телемедицинскими технологиями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 xml:space="preserve">Привязка </w:t>
            </w:r>
            <w:r w:rsidRPr="00535A4B">
              <w:br/>
              <w:t>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НП «Продолжительная и активная жизнь», НП «Семья»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Рост ожидаемой продолжительности жизни при рождении: целевой ориентир — 75,69 лет к 2030 году и 78,69 лет к 2036 году и ожидаемой продолжительности здоровой жизни.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Снижение суммарной продолжительности временной нетрудоспособности по заболеванию работающих граждан </w:t>
            </w:r>
            <w:r w:rsidRPr="00535A4B">
              <w:br/>
              <w:t>и сокращение предотвратимой смертности в трудоспособном возрасте.</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Повышение уровня культуры здоровья и ответственного отношения к благополучию семьи и сообщества.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sz w:val="28"/>
                <w:szCs w:val="28"/>
              </w:rPr>
            </w:pPr>
            <w:r w:rsidRPr="00535A4B">
              <w:t xml:space="preserve">— Повышение доступности качественной медицинской помощи для жителей городских агломераций, районных центров </w:t>
            </w:r>
            <w:r w:rsidRPr="00535A4B">
              <w:br/>
              <w:t xml:space="preserve">и удаленных населенных пунктов, в том числе через цифровые </w:t>
            </w:r>
            <w:r w:rsidRPr="00535A4B">
              <w:br/>
              <w:t>и мобильные форматы.</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xml:space="preserve">— Укрепление доверия населения к системе здравоохранения </w:t>
            </w:r>
            <w:r w:rsidRPr="00535A4B">
              <w:br/>
              <w:t>и расширение практик партнерства «человек–семья–врач».</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xml:space="preserve">— Улучшение доступности и качества городской и сельской среды для семей с детьми, молодежи, людей старшего возраста </w:t>
            </w:r>
            <w:r w:rsidRPr="00535A4B">
              <w:br/>
              <w:t>и людей с ограниченными возможностями здоровья.</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xml:space="preserve">— Постепенное преодоление демографического тренда устойчивой убыли населения: стабилизация численности жителей Томской области и формирование условий для перехода </w:t>
            </w:r>
            <w:r w:rsidRPr="00535A4B">
              <w:br/>
              <w:t>к умеренному росту за счет сочетания улучшения демографических показателей и сокращения миграционного оттока.</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Снижение миграционного оттока молодежи и повышение доли молодых людей, связывающих свое образование, трудовую деятельность и создание семьи с Томской областью, за счет развития системы образования, рынка труда и среды, привлекательной для жизни.</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xml:space="preserve">— Увеличение объема и устойчивости участия бизнеса </w:t>
            </w:r>
            <w:r w:rsidRPr="00535A4B">
              <w:br/>
              <w:t xml:space="preserve">и институтов гражданского общества в проектах, направленных на укрепление здоровья, поддержку семьи, развитие ухода </w:t>
            </w:r>
            <w:r w:rsidRPr="00535A4B">
              <w:br/>
              <w:t>и реабилитации.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Снижение прямых затрат системы здравоохранения за счет переноса акцента на профилактику и раннюю диагностику, сокращения числа дорогостоящих госпитализаций и случаев поздней или экстренной госпитализации.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Создание рабочих мест в сфере медицинских технологий, телемедицины, разработки цифровых платформ и медицинского оборудования, реабилитации и долговременного ухода.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Создание единой цифровой экосистемы персонализированного управления здоровьем, охватывающей все население Томской области вне зависимости от места проживания.</w:t>
            </w:r>
          </w:p>
          <w:p w:rsidR="00E618FE" w:rsidRPr="00535A4B" w:rsidRDefault="00800098">
            <w:pPr>
              <w:tabs>
                <w:tab w:val="num" w:pos="720"/>
              </w:tabs>
              <w:jc w:val="both"/>
              <w:cnfStyle w:val="000000000000" w:firstRow="0" w:lastRow="0" w:firstColumn="0" w:lastColumn="0" w:oddVBand="0" w:evenVBand="0" w:oddHBand="0" w:evenHBand="0" w:firstRowFirstColumn="0" w:firstRowLastColumn="0" w:lastRowFirstColumn="0" w:lastRowLastColumn="0"/>
            </w:pPr>
            <w:r w:rsidRPr="00535A4B">
              <w:t xml:space="preserve">— Закрепление за Томской областью статуса регионального лидера в области медицинских технологий, телемедицины </w:t>
            </w:r>
            <w:r w:rsidRPr="00535A4B">
              <w:br/>
              <w:t xml:space="preserve">и трансфера научных разработок в клиническую практику на базе: ФГБОУ ВО «Сибирский государственный медицинский университет» Министерства здравоохранения Российской Федерации, ФГАОУ ВО «Национальный исследовательский Томский государственный университет», ФГБОУ ВО «Томский государственный педагогический университет», ФГАОУ ВО «Томский государственный университет систем управления </w:t>
            </w:r>
            <w:r w:rsidRPr="00535A4B">
              <w:br/>
            </w:r>
            <w:r w:rsidRPr="00535A4B">
              <w:lastRenderedPageBreak/>
              <w:t>и радиоэлектроники», ФГБНУ Томский национальный исследовательский медицинский центр Российской академии наук и НИИ Томска</w:t>
            </w:r>
          </w:p>
        </w:tc>
      </w:tr>
    </w:tbl>
    <w:p w:rsidR="00E618FE" w:rsidRPr="00535A4B" w:rsidRDefault="00E618FE"/>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center"/>
            </w:pPr>
            <w:r w:rsidRPr="00535A4B">
              <w:t>КФИ2. «Культурный код томича»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К 2036 году создать и закрепить </w:t>
            </w:r>
            <w:r w:rsidRPr="00535A4B">
              <w:rPr>
                <w:b/>
                <w:bCs/>
              </w:rPr>
              <w:t xml:space="preserve">культурный, гражданский </w:t>
            </w:r>
            <w:r w:rsidRPr="00535A4B">
              <w:rPr>
                <w:b/>
                <w:bCs/>
              </w:rPr>
              <w:br/>
              <w:t>и цифровой код жителя Томской области всех возрастов</w:t>
            </w:r>
            <w:r w:rsidRPr="00535A4B">
              <w:t>, который формирует гордость за регион и устойчивую локальную идентичность, высокую вовлеченность в жизнь территории, устойчивость к внешним вызовам и готовность реализовывать свой талант именно в Томской области, тем самым усиливая человеческий капитал как ключевое конкурентное преимущество региона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Внедрение сквозного курса «Культурный код томича» от детсада до вуза, поддержка локальной истории, этнокультурных центров, цифровой архив наследия. Образовательный и карьерный трек: траектории от детского сада до профессиональной карьеры в регионе, молодежные стартапы, профориентация. Социальный </w:t>
            </w:r>
            <w:r w:rsidRPr="00535A4B">
              <w:br/>
              <w:t xml:space="preserve">и волонтерский трек: единая система волонтерства для всех возрастов, поддержка семей участников СВО, дворовые </w:t>
            </w:r>
            <w:r w:rsidRPr="00535A4B">
              <w:br/>
              <w:t>и сельские центры притяжения. Цифровой трек: программы цифровой и медиаграмотности, региональные ИИ</w:t>
            </w:r>
            <w:r w:rsidRPr="00535A4B">
              <w:noBreakHyphen/>
              <w:t>сервисы, мониторинг и противодействие фейкам. Брендинговый трек: сообщество амбассадоров, единая цифровая платформа «Культурный код томича», позитивная медиа повестка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 экосистемы:</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Правительство Томской области (Департамент информационной политики)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Департамент образования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Департамент по культуре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Департамент по молодежной политике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Департамент труда и занятости населения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органы местного самоуправления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ФГАОУ ВО «Национальный исследовательский Томский государственный университет» и другие образовательные организации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учреждения культуры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некоммерческие организации, волонтерские центры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бизнес-сообщество, ИТ-компании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жители всех возрастов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Эффекты:</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Социальные — устойчивая идентичность «я — томич» (≥70% гордятся регионом), снижение миграционного оттока молодежи (≥60% выпускников остаются), массовое волонтерство (≥40% населения), повсеместная цифровая и медиаграмотность (≥80% охвачены, 90% педагогов используют ИИ). Экономические — укрепление человеческого капитала, развитие креативной экономики и событийного туризма, повышение инвестиционной привлекательности. К 2036 году Томская область — признанный лидер в Сибири по формированию человеческого капитала, «столица естественного интеллекта» и регион, где комфортно жить, учиться и работать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Привязка 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Инициатива обеспечивает комплексный вклад в достижение целей национальных проектов, а также реализуется через региональные программы по образованию, культуре, молодежной политике, развитию человеческого капитала и цифровой трансформации, выступая связующим каркасом их согласования между собой</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Томская область — признанный лидер в Сибири </w:t>
            </w:r>
            <w:r w:rsidRPr="00535A4B">
              <w:br/>
              <w:t xml:space="preserve">по формированию человеческого капитала и локальной идентичности.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Не менее 70% жителей гордятся своим регионом; курс «Культурный код томича» встроен во все уровни образования </w:t>
            </w:r>
            <w:r w:rsidRPr="00535A4B">
              <w:br/>
              <w:t xml:space="preserve">и обновляется каждые 3–5 лет.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Снижается миграционный отток молодежи и растет доля молодых людей, планирующих связать жизнь и карьеру </w:t>
            </w:r>
            <w:r w:rsidRPr="00535A4B">
              <w:br/>
              <w:t xml:space="preserve">с Томской областью: доля выпускников вузов, остающихся </w:t>
            </w:r>
            <w:r w:rsidRPr="00535A4B">
              <w:br/>
              <w:t xml:space="preserve">в регионе, превышает 60%, доля приезжих студентов </w:t>
            </w:r>
            <w:r w:rsidRPr="00535A4B">
              <w:br/>
              <w:t xml:space="preserve">и специалистов, планирующих остаться, – не менее 50%.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Не менее 40% населения системно вовлечены в волонтерство </w:t>
            </w:r>
            <w:r w:rsidRPr="00535A4B">
              <w:br/>
              <w:t xml:space="preserve">и локальные инициативы;  100% ветеранов СВО и их семей получают адресную поддержку через систему наставничества и программные проекты.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Не менее 80% школьников, студентов и пожилых людей прошли программы по цифровой гигиене; 90% педагогов используют ИИ</w:t>
            </w:r>
            <w:r w:rsidRPr="00535A4B">
              <w:noBreakHyphen/>
              <w:t xml:space="preserve">инструменты в образовательном процессе; распространение фейковой информации о регионе сокращено </w:t>
            </w:r>
            <w:r w:rsidRPr="00535A4B">
              <w:br/>
              <w:t xml:space="preserve">на 50%.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Растет число и масштаб культурных и креативных проектов, выросших внутри региона (включая проекты, поддержанные через инициативное бюджетирование и гранты).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Томская область закрепляет статус «столицы естественного интеллекта» и первой студенческой столицы России, где комфортно жить, учиться, творить и работать, где ценятся знания, взаимная поддержка и ответственность за свою землю, </w:t>
            </w:r>
            <w:r w:rsidRPr="00535A4B">
              <w:br/>
              <w:t>а стремление быть первыми в науке, технологиях и культуре становится естественной частью «культурного кода томича»</w:t>
            </w:r>
          </w:p>
        </w:tc>
      </w:tr>
    </w:tbl>
    <w:p w:rsidR="00E618FE" w:rsidRPr="00535A4B" w:rsidRDefault="00E618FE"/>
    <w:p w:rsidR="00E618FE" w:rsidRPr="00535A4B" w:rsidRDefault="00800098">
      <w:pPr>
        <w:jc w:val="center"/>
        <w:rPr>
          <w:rFonts w:eastAsia="Calibri"/>
          <w:b/>
          <w:bCs/>
        </w:rPr>
      </w:pPr>
      <w:r w:rsidRPr="00535A4B">
        <w:rPr>
          <w:rFonts w:eastAsia="Calibri"/>
          <w:b/>
          <w:bCs/>
        </w:rPr>
        <w:t>КФИ3. Технологическое лидерство</w:t>
      </w:r>
    </w:p>
    <w:p w:rsidR="00E618FE" w:rsidRPr="00535A4B" w:rsidRDefault="00E618FE">
      <w:pPr>
        <w:jc w:val="center"/>
      </w:pPr>
    </w:p>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r w:rsidRPr="00535A4B">
              <w:rPr>
                <w:rFonts w:eastAsia="Calibri"/>
              </w:rPr>
              <w:t>ФИ3.1. «Прорыв в энергетике и атомных технологиях»</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Обеспечить ключевой вклад Томской области в новые атомные </w:t>
            </w:r>
            <w:r w:rsidRPr="00535A4B">
              <w:rPr>
                <w:rFonts w:eastAsia="Calibri"/>
                <w:szCs w:val="28"/>
              </w:rPr>
              <w:br/>
              <w:t xml:space="preserve">и энергетические технологии России через реализацию стратегических проектов Госкорпорации «Росатом», превращая регион из энергодефицитного в энергоизбыточный и закрепляя статус опорной территории развития «энергетики будущего» </w:t>
            </w:r>
            <w:r w:rsidRPr="00535A4B">
              <w:rPr>
                <w:rFonts w:eastAsia="Calibri"/>
                <w:szCs w:val="28"/>
              </w:rPr>
              <w:br/>
              <w:t>с технологическим суверенитетом</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Развитие центров компетенций и лабораторий в ФГАОУ ВО «Национальный исследовательский Томский политехнический университет» и партнерских организациях;</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участие в стратегических проектах Росатома и его дивизионов, реализация проекта «Прорыв» Госкорпорации «Росатом» </w:t>
            </w:r>
            <w:r w:rsidRPr="00535A4B">
              <w:rPr>
                <w:rFonts w:eastAsia="Calibri"/>
                <w:szCs w:val="28"/>
              </w:rPr>
              <w:br/>
              <w:t xml:space="preserve">по строительству опытно-демонстрационного энергокомплекса </w:t>
            </w:r>
            <w:r w:rsidRPr="00535A4B">
              <w:rPr>
                <w:rFonts w:eastAsia="Calibri"/>
                <w:szCs w:val="28"/>
              </w:rPr>
              <w:br/>
              <w:t xml:space="preserve">с реактором на быстрых нейтронах «БРЕСТ-ОД-300»;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lastRenderedPageBreak/>
              <w:t xml:space="preserve">— подготовка кадров полного цикла для отрасли;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использование площадок региона как внедренческой зоны </w:t>
            </w:r>
            <w:r w:rsidRPr="00535A4B">
              <w:rPr>
                <w:rFonts w:eastAsia="Calibri"/>
                <w:szCs w:val="28"/>
              </w:rPr>
              <w:br/>
              <w:t>для новых решений;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развитие распределенной энергетики и создание энергокомплексов для производства электричества, тепла </w:t>
            </w:r>
            <w:r w:rsidRPr="00535A4B">
              <w:rPr>
                <w:rFonts w:eastAsia="Calibri"/>
                <w:szCs w:val="28"/>
              </w:rPr>
              <w:br/>
              <w:t>и чистой воды в удаленных населенных пунктах Томской области и труднодоступных регионах России и мира на основе геотермальных электростанций бинарного цикла;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создание мобильных энергонезависимых установок / комплексов переработки и утилизации низкосортного сырья и отходов в композитные топлива и маржинальные продукты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tcPr>
          <w:p w:rsidR="00E618FE" w:rsidRPr="00535A4B" w:rsidRDefault="00800098">
            <w:pPr>
              <w:rPr>
                <w:rFonts w:eastAsia="Calibri"/>
              </w:rPr>
            </w:pPr>
            <w:r w:rsidRPr="00535A4B">
              <w:rPr>
                <w:rFonts w:eastAsia="Calibri"/>
              </w:rPr>
              <w:lastRenderedPageBreak/>
              <w:t>Проект «Прорыв» Госкорпорации «Росатом»</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Масштаб:</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Группа компаний Росатома в регионе представляет замкнутый производственный цикл (экология, производство, строительство, сервис, проектирование). Общий объем инвестиций в проект «Прорыв» превышает 300 млрд рублей.</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Направления реализации: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Создание новой технологической платформы атомной энергетики с замкнутым топливным циклом; ввод опытно-промышленного энергоблока БРЕСТ-ОД-300 (2028 год); строительство промышленного энергокомплекса «Северский ПЭК» мощностью 2500 МВт.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Модернизация и расширение мощностей существующих производств (конверсионное и разделительное).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Шесть направлений кооперации с региональными организациями: автоматизация и роботизация, реакторные </w:t>
            </w:r>
            <w:r w:rsidRPr="00535A4B">
              <w:rPr>
                <w:rFonts w:eastAsia="Calibri"/>
                <w:szCs w:val="28"/>
              </w:rPr>
              <w:br/>
              <w:t xml:space="preserve">и топливные технологии, инновационное оборудование </w:t>
            </w:r>
            <w:r w:rsidRPr="00535A4B">
              <w:rPr>
                <w:rFonts w:eastAsia="Calibri"/>
                <w:szCs w:val="28"/>
              </w:rPr>
              <w:br/>
              <w:t xml:space="preserve">и радиоэлектроника, математическое моделирование </w:t>
            </w:r>
            <w:r w:rsidRPr="00535A4B">
              <w:rPr>
                <w:rFonts w:eastAsia="Calibri"/>
                <w:szCs w:val="28"/>
              </w:rPr>
              <w:br/>
              <w:t>и материаловедение, переработка отработавшего ядерного топлива, радиоэкология.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Подготовка кадров полного цикла для атомной энергетики.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Развитие инфраструктуры для перехода региона </w:t>
            </w:r>
            <w:r w:rsidRPr="00535A4B">
              <w:rPr>
                <w:rFonts w:eastAsia="Calibri"/>
                <w:szCs w:val="28"/>
              </w:rPr>
              <w:br/>
              <w:t>в энергоизбыточный статус (электросети, логистика)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Госкорпорация «Росатом» (дивизионы ТВЭЛ, СХК, строительные и сервисные организации)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ФГАОУ ВО «Национальный исследовательский Томский политехнический университет»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АНО «Томский консорциум научно-образовательных </w:t>
            </w:r>
            <w:r w:rsidRPr="00535A4B">
              <w:rPr>
                <w:rFonts w:eastAsia="Calibri"/>
                <w:szCs w:val="28"/>
              </w:rPr>
              <w:br/>
              <w:t>и научных организаций»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предприятия энергетического и машиностроительного профиля, региональные строительные организации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Координаторы: Департамент инвестиционной и промышленной политики Томской области и Департамент по научно-технологическому развитию и инновационной деятельности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Переход региона в энергоизбыточный статус с устойчивым </w:t>
            </w:r>
            <w:r w:rsidRPr="00535A4B">
              <w:rPr>
                <w:rFonts w:eastAsia="Calibri"/>
                <w:szCs w:val="28"/>
              </w:rPr>
              <w:br/>
              <w:t>и технологически передовым энергоснабжением, создание привлекательных карьерных траекторий в наукоемкой энергетике, формирование высокотехнологичных компетенций в критически важной отрасли, повышение энергетической безопасности Сибири и России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Вклад в бюджет и рабочие места: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Инвестиции свыше 300 млрд рублей в проект «Прорыв», создание тысяч высокопроизводительных рабочих мест в энергетике, строительстве, инженерии и НИОКР, рост налоговых поступлений от предприятий Росатома, развитие смежных отраслей (строительство, логистика, машиностроение), экспортный потенциал энергетических технологий </w:t>
            </w:r>
            <w:r w:rsidRPr="00535A4B">
              <w:rPr>
                <w:rFonts w:eastAsia="Calibri"/>
                <w:szCs w:val="28"/>
              </w:rPr>
              <w:br/>
              <w:t>и оборудования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Привязка 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НП технологического лидерства «Новые атомные </w:t>
            </w:r>
            <w:r w:rsidRPr="00535A4B">
              <w:rPr>
                <w:rFonts w:eastAsia="Calibri"/>
                <w:szCs w:val="28"/>
              </w:rPr>
              <w:br/>
              <w:t>и энергетические технологии»; Стратегия развития атомной отрасли Российской Федерации, проект «Прорыв» Госкорпорации «Росатом»; федеральные программы по технологическому суверенитету и энергетической безопасности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Ввод в эксплуатацию опытно-промышленного энергоблока БРЕСТ-ОД-300 (2028 год) и промышленного энергокомплекса «Северский ПЭК» мощностью 2500 МВт, переход Томской области из энергодефицитного в энергоизбыточный регион, закрепление статуса пилотной территории новой атомной энергетики с замкнутым топливным циклом, создание шести центров кооперации науки и промышленности, подготовка кадров для атомной отрасли России, экспорт технологий распределенной энергетики</w:t>
            </w:r>
          </w:p>
        </w:tc>
      </w:tr>
    </w:tbl>
    <w:p w:rsidR="00E618FE" w:rsidRPr="00535A4B" w:rsidRDefault="00E618FE"/>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r w:rsidRPr="00535A4B">
              <w:rPr>
                <w:rFonts w:eastAsia="Calibri"/>
              </w:rPr>
              <w:t>ФИ3.2. «Современный межвузовский кампус в г. Томске — платформа технологического лидерства и среда самореализации молодежи»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Создать к 2030 – 2036 годам единое кампусное и внедренческое пространство как физическое ядро научно-образовательной экосистемы Томска и главную точку притяжения молодежи, </w:t>
            </w:r>
            <w:r w:rsidRPr="00535A4B">
              <w:br/>
              <w:t xml:space="preserve">где студенты, молодые ученые и предприниматели получают доступ к передовым технологиям, современной городской среде, промышленным партнерам и полному циклу поддержки </w:t>
            </w:r>
            <w:r w:rsidRPr="00535A4B">
              <w:br/>
              <w:t>для реализации прорывных проектов — от идеи до акселерации молодых компаний-единорогов и достижения технологического лидерства региона.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Общие кампусы и лабораторные корпуса (площадь </w:t>
            </w:r>
            <w:r w:rsidRPr="00535A4B">
              <w:br/>
              <w:t>106 243 кв. м рядом с ОЭЗ «Томск»).</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Инженерно-технологические «фабрики» и прототип-центры.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Совместные тестовые полигоны и «живые лаборатории» (энергетика, БАС, химия, биоэкономика, медтехнологии).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20 представительств компаний-партнеров и совместные центры НИОКР.</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Плотная кооперация с промышленными кластерами: химический (1 500 студентов), агробиотехнологический (800), электроника и БАС (700).</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Технологический фокус: ИИ, большие данные, цифровые технологии в химии, материалах, биотехнологии, микроэлектронике, робототехнике, БАС</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 экосистемы:</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Координаторы: Департамент градостроительного развития Томской области, Департамент строительства Томской области, АНО «Томский консорциум».</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Университеты и НИИ: ФГАОУ ВО «Национальный исследовательский Томский государственный университет», </w:t>
            </w:r>
            <w:r w:rsidRPr="00535A4B">
              <w:lastRenderedPageBreak/>
              <w:t xml:space="preserve">ФГАОУ ВО «Национальный исследовательский Томский политехнический университет», ФГАОУ ВО «Томский государственный университет систем управления </w:t>
            </w:r>
            <w:r w:rsidRPr="00535A4B">
              <w:br/>
              <w:t>и радиоэлектроники», ФГБОУ ВО «Сибирский государственный медицинский университет» Министерства здравоохранения Российской Федерации, ФГБОУ ВО «Томский государственный архитектурно-строительный университет», ФГБОУ ВО «Томский государственный педагогический университет».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Промышленные партнеры: ГК «Росатом», </w:t>
            </w:r>
            <w:r w:rsidRPr="00535A4B">
              <w:rPr>
                <w:rFonts w:eastAsia="Calibri"/>
              </w:rPr>
              <w:t>ПАО «Газпром»</w:t>
            </w:r>
            <w:r w:rsidRPr="00535A4B">
              <w:t xml:space="preserve">, ПАО «Газпромнефть», </w:t>
            </w:r>
            <w:r w:rsidRPr="00535A4B">
              <w:rPr>
                <w:rFonts w:eastAsia="Calibri"/>
              </w:rPr>
              <w:t>ПАО «СИБУР Холдинг»</w:t>
            </w:r>
            <w:r w:rsidRPr="00535A4B">
              <w:t>, группа компаний «Элемент», АО «НПФ «Микран», АО «Радар ММС», АО «НИИПП», ГК «Когнитивные технологии», АО «ПроКванТ», АО «Курганмашзавод» и другие (20+ компаний)</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Молодежь как главный актив.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Привлекательность Томска для российских и иностранных абитуриентов, аспирантов, молодых исследователей </w:t>
            </w:r>
            <w:r w:rsidRPr="00535A4B">
              <w:br/>
              <w:t xml:space="preserve">и предпринимателей (не менее 1/3 мест); модель «город – университет – стартап» с современной комфортной средой, где молодежь учится, живет, работает и создает бизнес; снижение утечки талантов через высокооплачиваемые рабочие места </w:t>
            </w:r>
            <w:r w:rsidRPr="00535A4B">
              <w:br/>
              <w:t xml:space="preserve">в науке, увеличение объема НИОКР молодых команд </w:t>
            </w:r>
            <w:r w:rsidRPr="00535A4B">
              <w:br/>
              <w:t>для промышленных партнеров; появление томских компаний-единорогов, основанных молодыми командами.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Приток молодежи в регион благодаря современной городской среде, доступу к возможностям мирового уровня и перспективам самореализации; удержание выпускников через карьерные траектории в кластерах и стартапах; создание семей и рост рождаемости среди молодых специалистов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Вклад в бюджет и рабочие места: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Косвенный, но значимый рост налогооблагаемой базы через создание человеческого капитала и технопредпринимательства; увеличение числа высокооплачиваемых рабочих мест в сфере науки, образования, разработок и сервисов вокруг кампуса.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Привязка 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Программа стратегического академического лидерства «Приоритет</w:t>
            </w:r>
            <w:r w:rsidRPr="00535A4B">
              <w:noBreakHyphen/>
              <w:t>2030»; национальные проекты в области образования и науки; федеральные инициативы по технологическому лидерству и поддержке университетов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Укрепление Томска как ведущего университетского центра России, рост числа технологических проектов и кадрового обеспечения для приоритетных направлений развития региона</w:t>
            </w:r>
          </w:p>
        </w:tc>
      </w:tr>
    </w:tbl>
    <w:p w:rsidR="00E618FE" w:rsidRPr="00535A4B" w:rsidRDefault="00E618FE"/>
    <w:p w:rsidR="00E618FE" w:rsidRPr="00535A4B" w:rsidRDefault="00E618FE">
      <w:pPr>
        <w:jc w:val="center"/>
        <w:rPr>
          <w:b/>
          <w:bCs/>
        </w:rPr>
      </w:pPr>
    </w:p>
    <w:p w:rsidR="00E618FE" w:rsidRPr="00535A4B" w:rsidRDefault="00800098">
      <w:pPr>
        <w:jc w:val="center"/>
        <w:rPr>
          <w:b/>
          <w:bCs/>
        </w:rPr>
      </w:pPr>
      <w:r w:rsidRPr="00535A4B">
        <w:rPr>
          <w:b/>
          <w:bCs/>
        </w:rPr>
        <w:t>КФИ4. «Технологический суверенитет»</w:t>
      </w:r>
    </w:p>
    <w:p w:rsidR="00E618FE" w:rsidRPr="00535A4B" w:rsidRDefault="00E618FE"/>
    <w:tbl>
      <w:tblPr>
        <w:tblStyle w:val="-14"/>
        <w:tblW w:w="9351" w:type="dxa"/>
        <w:jc w:val="center"/>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rPr>
                <w:rFonts w:eastAsia="Calibri"/>
              </w:rPr>
            </w:pPr>
            <w:r w:rsidRPr="00535A4B">
              <w:rPr>
                <w:rFonts w:eastAsia="Calibri"/>
              </w:rPr>
              <w:t>ФИ4.1. «Промышленный кластер «Кластер электроники и беспилотных технологий на территории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Статус:</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Включен в Реестр промышленных кластеров </w:t>
            </w:r>
            <w:r w:rsidRPr="00535A4B">
              <w:br/>
              <w:t xml:space="preserve">и специализированных организаций промышленных кластеров (приказ Минпромторга России от 29 августа 2025 года № 4221). Первый межрегиональный промышленный кластер, </w:t>
            </w:r>
            <w:r w:rsidRPr="00535A4B">
              <w:lastRenderedPageBreak/>
              <w:t>объединивший три субъекта Российской Федерации: Томскую область, Москву и Санкт-Петербург</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Формирование в Томской области одного из ведущих центров разработки, испытаний и внедрения беспилотных авиационных систем и других видов беспилотной техники на основе создания полного технологического цикла разработки, производства </w:t>
            </w:r>
            <w:r w:rsidRPr="00535A4B">
              <w:br/>
              <w:t xml:space="preserve">и применения радиоэлектронной аппаратуры и беспилотных систем для обеспечения технологического суверенитета </w:t>
            </w:r>
            <w:r w:rsidRPr="00535A4B">
              <w:br/>
              <w:t>в критически важных секторах (ТЭК, транспорт, мониторинг инфраструктуры, оборона)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Производство беспилотных систем и автономных платформ (беспилотный минитрактор «Когнитив» для аэропортов </w:t>
            </w:r>
            <w:r w:rsidRPr="00535A4B">
              <w:br/>
              <w:t>и промышленности).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Системы спутниковой связи нового поколения («Мини МСП» для удаленных районов и магистральных газопроводов).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Радиосвязь для беспилотных воздушных судов (системы связи БАС и бортовые терминалы со скоростью до 1 Мбит/с).</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Производство модулей воздушно-лазерного сканирования (лидаров) — первое в России серийное производство </w:t>
            </w:r>
            <w:r w:rsidRPr="00535A4B">
              <w:br/>
              <w:t>для автомобилей, спецтехники и БАС.</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Интеграция вуза (ФГАОУ ВО «Томский государственный университет систем управления и радиоэлектроники») </w:t>
            </w:r>
            <w:r w:rsidRPr="00535A4B">
              <w:br/>
              <w:t>в промышленный кластер для обеспечения цепочки «наука — образование — производство»</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Производители конечной продукции: АО «НПФ «Микран», </w:t>
            </w:r>
            <w:r w:rsidRPr="00535A4B">
              <w:br/>
              <w:t xml:space="preserve">АО «НПП Радар ммс», ООО «ЛЭМЗ-Т», АО «Когнитив»;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участники кооперации: АО «НИИПП», ООО «СТК», АНО «НПЦ БАС ТО», ПАО «Элемент», АО «НПЦ «Полюс», ООО «Мехатроника-Томск», ООО НПК «Тесарт»;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Образовательный партнер: ФГАОУ ВО «Томский государственный университет систем управления </w:t>
            </w:r>
            <w:r w:rsidRPr="00535A4B">
              <w:br/>
            </w:r>
            <w:r w:rsidRPr="00535A4B">
              <w:rPr>
                <w:rFonts w:eastAsia="PT Astra Serif"/>
              </w:rPr>
              <w:t>и радиоэлектроники» (первый вуз в составе промышленно</w:t>
            </w:r>
            <w:r w:rsidRPr="00535A4B">
              <w:t xml:space="preserve">го кластера России);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Якорный заказчик: ООО «Газпром трансгаз Томск»</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Создание высокотехнологичных рабочих мест для инженеров-радиоэлектронщиков, программистов и специалистов </w:t>
            </w:r>
            <w:r w:rsidRPr="00535A4B">
              <w:br/>
              <w:t>по беспилотным системам;</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формирование устойчивых компетенций в критических технологиях;</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развитие межрегиональной кооперации между Томской областью, Москвой и Санкт-Петербургом</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Экономический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Объем произведенной продукции к 2030 году — 6 млрд рублей, общий объем инвестиций — 1 млрд рублей.</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Привязка 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НП технологического лидерства «Средства производства </w:t>
            </w:r>
            <w:r w:rsidRPr="00535A4B">
              <w:br/>
              <w:t xml:space="preserve">и автоматизации»; НП «Промышленное обеспечение транспортной мобильности»; региональный проект «Разработка, стандартизация и серийное производство БАС </w:t>
            </w:r>
            <w:r w:rsidRPr="00535A4B">
              <w:br/>
              <w:t>и комплектующих»; Стратегия развития радиоэлектронной промышленности Российской Федерации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Выход на серийное производство лидаров (первое в России), обеспечение потребностей ТЭК в системах связи для удаленных объектов, создание линейки беспилотных платформ </w:t>
            </w:r>
            <w:r w:rsidRPr="00535A4B">
              <w:br/>
              <w:t>для гражданского применения, закрепление за Томской областью статуса ведущего центра радиоэлектроники и беспилотных технологий в Сибири</w:t>
            </w:r>
          </w:p>
        </w:tc>
      </w:tr>
    </w:tbl>
    <w:p w:rsidR="00E618FE" w:rsidRPr="00535A4B" w:rsidRDefault="00E618FE"/>
    <w:p w:rsidR="00E618FE" w:rsidRPr="00535A4B" w:rsidRDefault="00E618FE"/>
    <w:tbl>
      <w:tblPr>
        <w:tblStyle w:val="-14"/>
        <w:tblW w:w="9351" w:type="dxa"/>
        <w:jc w:val="center"/>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rPr>
                <w:rFonts w:eastAsia="Calibri"/>
              </w:rPr>
            </w:pPr>
            <w:r w:rsidRPr="00535A4B">
              <w:rPr>
                <w:rFonts w:eastAsia="Calibri"/>
              </w:rPr>
              <w:t>ФИ4.2. «Промышленный кластер «Цветные и редкоземельные металлы»</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rPr>
              <w:t xml:space="preserve">Формирование в Томской области полной технологической цепочки по добыче, обогащению и переработке титана, циркония и других редкоземельных металлов, обеспечивающей потребности высокотехнологичных отраслей России </w:t>
            </w:r>
            <w:r w:rsidRPr="00535A4B">
              <w:rPr>
                <w:rFonts w:eastAsia="Calibri"/>
              </w:rPr>
              <w:br/>
              <w:t>и экспортный потенциал региона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Масштабирование производственной мощности АО «ТГОК «Ильменит» в рамках промышленной разработки Туганского месторождения.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Реализация проектов по созданию производств пигментного диоксида титана, алюминиевого порошка для газобетона, специальных красок (ООО «Сибирский титан», ООО «Интергласс», ООО «ЗКПД ТДСК», ООО «Энгра»).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Разработка и внедрение технологий глубокой переработки концентратов для получения продукции с высокой добавленной стоимостью.</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Кооперация с предприятиями атомной отрасли (ГК «Росатом») для использования фторидных технологий</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xml:space="preserve">— Участники промышленного кластера «Цветные </w:t>
            </w:r>
            <w:r w:rsidRPr="00535A4B">
              <w:rPr>
                <w:rFonts w:eastAsia="Calibri"/>
              </w:rPr>
              <w:br/>
              <w:t xml:space="preserve">и редкоземельные металлы» (АО «ТГОК «Ильменит», </w:t>
            </w:r>
            <w:r w:rsidRPr="00535A4B">
              <w:rPr>
                <w:rFonts w:eastAsia="Calibri"/>
              </w:rPr>
              <w:br/>
              <w:t>ООО «Сибирский титан», ООО «Интергласс», ООО «ЗКПД ТДСК», ООО «Энгра»), Госкорпорация «Росатом»;</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xml:space="preserve">— Координаторы: </w:t>
            </w:r>
            <w:r w:rsidRPr="00535A4B">
              <w:rPr>
                <w:rFonts w:eastAsia="Calibri"/>
                <w:szCs w:val="28"/>
              </w:rPr>
              <w:t>Департамент инвестиционной и промышленной политики Томской области и Департамент по научно-технологическому развитию и инновационной деятельности Томской области</w:t>
            </w:r>
            <w:r w:rsidRPr="00535A4B">
              <w:rPr>
                <w:rFonts w:eastAsia="Calibri"/>
              </w:rPr>
              <w:t>;</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xml:space="preserve">— Совет по вопросам науки и технологического развития </w:t>
            </w:r>
            <w:r w:rsidRPr="00535A4B">
              <w:rPr>
                <w:rFonts w:eastAsia="Calibri"/>
              </w:rPr>
              <w:br/>
              <w:t>при Губернаторе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xml:space="preserve">Формирование устойчивого спроса на высококвалифицированные инженерные и рабочие кадры в моногородах и районах размещения производств; повышение уровня жизни населения </w:t>
            </w:r>
            <w:r w:rsidRPr="00535A4B">
              <w:rPr>
                <w:rFonts w:eastAsia="Calibri"/>
              </w:rPr>
              <w:br/>
              <w:t>за счет создания высокооплачиваемых рабочих мест; развитие промышленной и транспортной инфраструктуры в районах присутствия предприятий кластера</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Вклад </w:t>
            </w:r>
            <w:r w:rsidRPr="00535A4B">
              <w:br/>
              <w:t xml:space="preserve">в бюджет </w:t>
            </w:r>
            <w:r w:rsidRPr="00535A4B">
              <w:br/>
              <w:t>и рабочие места: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Кратный рост налоговых отчислений от высокомаржинальных перерабатывающих производств; создание новых рабочих мест; привлечение внебюджетных инвестиций</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Привязка к национальным проектам / </w:t>
            </w:r>
            <w:r w:rsidRPr="00535A4B">
              <w:lastRenderedPageBreak/>
              <w:t>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lastRenderedPageBreak/>
              <w:t xml:space="preserve">НП технологического лидерства «Новые материалы и химия»; Стратегия развития металлургической промышленности Российской Федерации на период до 2030 года; региональный проект «Развитие промышленности в Томской области» в рамках </w:t>
            </w:r>
            <w:r w:rsidRPr="00535A4B">
              <w:rPr>
                <w:rFonts w:eastAsia="Calibri"/>
              </w:rPr>
              <w:lastRenderedPageBreak/>
              <w:t>ГП «Развитие предпринимательства и повышение эффективности государственного управления социально-экономическим развитием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rPr>
            </w:pPr>
            <w:r w:rsidRPr="00535A4B">
              <w:rPr>
                <w:rFonts w:eastAsia="Calibri"/>
              </w:rPr>
              <w:t xml:space="preserve">Увеличение объема выпуска продукции кластера в 5 и более раз; снижение импортной зависимости Российской Федерации </w:t>
            </w:r>
            <w:r w:rsidRPr="00535A4B">
              <w:rPr>
                <w:rFonts w:eastAsia="Calibri"/>
              </w:rPr>
              <w:br/>
              <w:t xml:space="preserve">по критически важным видам сырья и материалов (титановые </w:t>
            </w:r>
            <w:r w:rsidRPr="00535A4B">
              <w:rPr>
                <w:rFonts w:eastAsia="Calibri"/>
              </w:rPr>
              <w:br/>
              <w:t xml:space="preserve">и циркониевые продукты); выход на внешние рынки </w:t>
            </w:r>
            <w:r w:rsidRPr="00535A4B">
              <w:rPr>
                <w:rFonts w:eastAsia="Calibri"/>
              </w:rPr>
              <w:br/>
              <w:t>с конкурентоспособной продукцией высоких переделов</w:t>
            </w:r>
          </w:p>
        </w:tc>
      </w:tr>
    </w:tbl>
    <w:p w:rsidR="00E618FE" w:rsidRPr="00535A4B" w:rsidRDefault="00E618FE"/>
    <w:p w:rsidR="00E618FE" w:rsidRPr="00535A4B" w:rsidRDefault="00E618FE"/>
    <w:tbl>
      <w:tblPr>
        <w:tblStyle w:val="-14"/>
        <w:tblW w:w="9351" w:type="dxa"/>
        <w:jc w:val="center"/>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rPr>
                <w:rFonts w:eastAsia="Calibri"/>
                <w:sz w:val="28"/>
                <w:szCs w:val="28"/>
                <w:lang w:eastAsia="ar-SA"/>
              </w:rPr>
            </w:pPr>
            <w:r w:rsidRPr="00535A4B">
              <w:rPr>
                <w:rFonts w:eastAsia="Calibri"/>
              </w:rPr>
              <w:t>ФИ4.3. «Химический кластер»</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Формирование устойчиво действующего химического кластера, обеспечивающего рост объема производства и экспорта высокотехнологичной химической продукции, запуск производств химии и новых материалов и закрепление за Томской областью статуса ведущего центра химических технологий в Сибири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Основное содержание:</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Разработка и серийный выпуск высокотехнологичных химических продуктов, развитие химии, внедрение новых технологий </w:t>
            </w:r>
            <w:r w:rsidRPr="00535A4B">
              <w:rPr>
                <w:rFonts w:eastAsia="Calibri"/>
                <w:szCs w:val="28"/>
              </w:rPr>
              <w:br/>
              <w:t>и материалов в промышленности. Масштаб: с 2022 по 2025 год запущено более 20 производств (к 2030 году планируется запуск еще 20 производств; объем инвестиций — 5 – 10 млрд рублей, увеличение ВРП региона — 15 – 20 млрд рублей к 2035 году)</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Материалы медицинского назначения (биоразлагаемые полимеры PLGA, поливинилпирролидоны, парабены);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суперконструкционные полимеры (ПЭЭК, ПЭИ, ПС);</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продукты органического синтеза (органические пероксиды, гидрохинон, надуксусная кислота, эфиры канифоли);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химические продукты для микроэлектроники (фреоны, трифторид азота, электролиты);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лесохимия и биохимия на основе региональных биоресурсов;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ускоренное масштабирование технологий: 2 – 4 года </w:t>
            </w:r>
            <w:r w:rsidRPr="00535A4B">
              <w:rPr>
                <w:rFonts w:eastAsia="Calibri"/>
                <w:szCs w:val="28"/>
              </w:rPr>
              <w:br/>
              <w:t>от лаборатории до промышленного уровня (в 2 раза быстрее среднероссийских сроков);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конкурентные преимущества: независимость от иностранных поставщиков оборудования и сырья, наличие отечественного сырья, готовность российских потребителей, безопасность </w:t>
            </w:r>
            <w:r w:rsidRPr="00535A4B">
              <w:rPr>
                <w:rFonts w:eastAsia="Calibri"/>
                <w:szCs w:val="28"/>
              </w:rPr>
              <w:br/>
              <w:t>и высокая маржинальность производств, ускоренное масштабирование за счет внутрикластерной кооперации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Научно-образовательный блок: ФГАОУ ВО «Национальный исследовательский Томский государственный университет», ФГАОУ ВО «Национальный исследовательский Томский политехнический университет», Институт физики прочности </w:t>
            </w:r>
            <w:r w:rsidRPr="00535A4B">
              <w:rPr>
                <w:rFonts w:eastAsia="Calibri"/>
                <w:szCs w:val="28"/>
              </w:rPr>
              <w:br/>
              <w:t xml:space="preserve">и материаловедения, Институт химии нефти;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Промышленный блок: ООО «Инжиниринговый химико-технологический центр» (ООО «ИХТЦ»), ООО «Полипласт Инжиниринг», ООО «Новохим», ООО «НГК Томск»;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 Крупные химические компании (ООО «Томскнефтехим», </w:t>
            </w:r>
            <w:r w:rsidRPr="00535A4B">
              <w:rPr>
                <w:rFonts w:eastAsia="Calibri"/>
                <w:szCs w:val="28"/>
              </w:rPr>
              <w:br/>
              <w:t xml:space="preserve">АО «СХК», ООО «Сибметахим») — участие в деятельности кластера;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Кординатор: Департамент инвестиционной и промышленной политики Томской области и Департамент по научно-</w:t>
            </w:r>
            <w:r w:rsidRPr="00535A4B">
              <w:rPr>
                <w:rFonts w:eastAsia="Calibri"/>
                <w:szCs w:val="28"/>
              </w:rPr>
              <w:lastRenderedPageBreak/>
              <w:t>технологическому развитию и инновационной деятельности Томской области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Создание высокооплачиваемых рабочих мест для химиков-технологов, инженеров-материаловедов и специалистов R&amp;D; формирование компетенций в критических технологиях, улучшение экологических стандартов</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Вклад в бюджет и рабочие места: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Увеличение ВРП на 15 – 20 млрд рублей к 2035 году, привлечение 5–10 млрд рублей инвестиций (Внешэкономбанк, Газпромбанк, ВТБ, фонды Роснано, Сколково, Инваста Капитал), срок окупаемости проектов — 5 – 8 лет, рост налоговых поступлений </w:t>
            </w:r>
            <w:r w:rsidRPr="00535A4B">
              <w:rPr>
                <w:rFonts w:eastAsia="Calibri"/>
                <w:szCs w:val="28"/>
              </w:rPr>
              <w:br/>
              <w:t>от высокомаржинальных производств</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Привязка </w:t>
            </w:r>
            <w:r w:rsidRPr="00535A4B">
              <w:br/>
              <w:t>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НП технологического лидерства «Новые материалы и химия»; Стратегия развития химического и нефтехимического комплекса Российской Федерации</w:t>
            </w:r>
          </w:p>
        </w:tc>
      </w:tr>
      <w:tr w:rsidR="00E618FE" w:rsidRPr="00535A4B" w:rsidTr="00E618FE">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rFonts w:eastAsia="Calibri"/>
                <w:szCs w:val="28"/>
              </w:rPr>
            </w:pPr>
            <w:r w:rsidRPr="00535A4B">
              <w:rPr>
                <w:rFonts w:eastAsia="Calibri"/>
                <w:szCs w:val="28"/>
              </w:rPr>
              <w:t xml:space="preserve">Формирование устойчиво действующего химического кластера; рост объема производства и экспорта высокотехнологичной химической продукции, запуск около 40 производств химии </w:t>
            </w:r>
            <w:r w:rsidRPr="00535A4B">
              <w:rPr>
                <w:rFonts w:eastAsia="Calibri"/>
                <w:szCs w:val="28"/>
              </w:rPr>
              <w:br/>
              <w:t xml:space="preserve">и новых материалов (с 2022 года), снижение импортной зависимости по специализированным химическим продуктам </w:t>
            </w:r>
            <w:r w:rsidRPr="00535A4B">
              <w:rPr>
                <w:rFonts w:eastAsia="Calibri"/>
                <w:szCs w:val="28"/>
              </w:rPr>
              <w:br/>
              <w:t xml:space="preserve">для медицины и микроэлектроники до минимума, закрепление </w:t>
            </w:r>
            <w:r w:rsidRPr="00535A4B">
              <w:rPr>
                <w:rFonts w:eastAsia="Calibri"/>
                <w:szCs w:val="28"/>
              </w:rPr>
              <w:br/>
              <w:t>за Томской областью статуса ведущего центра химии в Сибири, выход на экспортные рынки с высокотехнологичной продукцией</w:t>
            </w:r>
          </w:p>
        </w:tc>
      </w:tr>
    </w:tbl>
    <w:p w:rsidR="00E618FE" w:rsidRPr="00535A4B" w:rsidRDefault="00E618FE"/>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r w:rsidRPr="00535A4B">
              <w:rPr>
                <w:rFonts w:eastAsia="Calibri"/>
              </w:rPr>
              <w:t>ФИ4.4. «Промышленный кластер «Лес, лесопереработка и лесохимия»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Создание в Томской области современного высокотехнологичного лесопромышленного комплекса, ориентированного на глубокую переработку древесины, выпуск экспортно-ориентированной продукции с высокой добавленной стоимостью и вовлечение </w:t>
            </w:r>
            <w:r w:rsidRPr="00535A4B">
              <w:br/>
              <w:t>в оборот труднодоступных лесных ресурсов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Основное содержание:</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Развитие кластера, включенного в федеральный реестр, с объемом инвестиций порядка 8 млрд рублей и занятостью более 1300 человек, запуск проектов 2025 – 2028 годов по глубокой переработке древесины, лесохимии и выпуску продукции высокой добавленной стоимости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Реализация приоритетных инвестиционных проектов в сфере лесного хозяйства (ООО «Лес-Экспорт», ООО «Сибирьлес»).</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Создание новых производств по глубокой переработке древесины и отходов (выпуск домокомплектов, продукции лесной биохимии, топливных пеллет).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Внедрение цифровых технологий для повышения эффективности лесозаготовки, учета и логистики.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Развитие отраслевых технологических консорциумов </w:t>
            </w:r>
            <w:r w:rsidRPr="00535A4B">
              <w:br/>
              <w:t>и «учебных фабрик» для подготовки кадров под новые технологические процессы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Участники промышленного кластера «Лес, лесопереработка </w:t>
            </w:r>
            <w:r w:rsidRPr="00535A4B">
              <w:br/>
              <w:t xml:space="preserve">и лесохимия» (ООО «Монолит-Строй», ООО «Томские мебельные фасады», ООО «Альянс», ООО «Технострой», </w:t>
            </w:r>
            <w:r w:rsidRPr="00535A4B">
              <w:br/>
            </w:r>
            <w:r w:rsidRPr="00535A4B">
              <w:lastRenderedPageBreak/>
              <w:t>ИП Гагалинский), ООО «Лес-Экспорт», ООО «Сибирьлес» и иные организации в сфере лесопромышленного комплекса;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w:t>
            </w:r>
            <w:r w:rsidRPr="00535A4B">
              <w:rPr>
                <w:rFonts w:eastAsia="Calibri"/>
                <w:szCs w:val="28"/>
              </w:rPr>
              <w:t>Департамент инвестиционной и промышленной политики Томской области и Департамент лесного хозяйства Томской области</w:t>
            </w:r>
            <w:r w:rsidRPr="00535A4B">
              <w:t>;</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Союз «Торгово-промышленная палата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НО «Фонд развития промышленности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Создание новых высокопроизводительных рабочих мест </w:t>
            </w:r>
            <w:r w:rsidRPr="00535A4B">
              <w:br/>
              <w:t xml:space="preserve">в лесопромышленных районах области (Александровский, Каргасокский, Кривошеинский и др.), повышение уровня образования и квалификации кадров, снижение оттока населения; повышение уровня заработной платы и качества условий труда </w:t>
            </w:r>
            <w:r w:rsidRPr="00535A4B">
              <w:br/>
              <w:t xml:space="preserve">за счет модернизации производств; развитие социальной </w:t>
            </w:r>
            <w:r w:rsidRPr="00535A4B">
              <w:br/>
              <w:t>и транспортной инфраструктуры в лесных поселках</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Вклад в бюджет и рабочие места: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Увеличение налоговых поступлений в бюджеты всех уровней </w:t>
            </w:r>
            <w:r w:rsidRPr="00535A4B">
              <w:br/>
              <w:t>за счет роста оборота и рентабельности перерабатывающих производств; создание более 1300 новых рабочих мест к 2030 году (в рамках заявленных проектов кластера). Рост неналоговых доходов от лесопользования за счет увеличения объемов глубокой переработки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Привязка 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НП «Технологическое обеспечение продовольственной безопасности» (в части развития биоэкономики и переработки биоресурсов); НП «Эффективная и конкурентная экономика» </w:t>
            </w:r>
            <w:r w:rsidRPr="00535A4B">
              <w:br/>
              <w:t xml:space="preserve">(в части повышения производительности труда); Государственная программа Российской Федерации «Развитие промышленности </w:t>
            </w:r>
            <w:r w:rsidRPr="00535A4B">
              <w:br/>
              <w:t xml:space="preserve">и повышение ее конкурентоспособности»; региональный проект «Разработка, стандартизация и серийное производство БАС </w:t>
            </w:r>
            <w:r w:rsidRPr="00535A4B">
              <w:br/>
              <w:t>и комплектующих» (для мониторинга и лесоохраны)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Рост объема выпуска продукции глубокой переработки древесины в 2,5–3 раза к уровню 2025 года; закрепление за Томской областью статуса одного из ведущих центров лесной биохимии </w:t>
            </w:r>
            <w:r w:rsidRPr="00535A4B">
              <w:br/>
              <w:t>и производства домокомплектов в Сибири</w:t>
            </w:r>
          </w:p>
        </w:tc>
      </w:tr>
    </w:tbl>
    <w:p w:rsidR="00E618FE" w:rsidRPr="00535A4B" w:rsidRDefault="00E618FE"/>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bookmarkStart w:id="323" w:name="_Hlk230963152"/>
            <w:r w:rsidRPr="00535A4B">
              <w:rPr>
                <w:rFonts w:eastAsia="Calibri"/>
              </w:rPr>
              <w:t>ФИ4.5. «Томская область — территория доверия инвесторов»</w:t>
            </w:r>
            <w:bookmarkEnd w:id="323"/>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Сформировать устойчивый и позитивный бренд Томской области как надежной, технологически развитой и открытой инвестиционной юрисдикции, создать условия для эффективного внедрения всех элементов Регионального инвестиционного стандарта (РИС) 3.0, способствуя привлечению стратегических партнеров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элементы:</w:t>
            </w:r>
          </w:p>
          <w:p w:rsidR="00E618FE" w:rsidRPr="00535A4B" w:rsidRDefault="00E618FE">
            <w:pPr>
              <w:ind w:left="284"/>
            </w:pP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Коммуникационная стратегия: системное позиционирование Томской области как территории технологического лидерства, инноваций и качества жизни.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Мероприятия и рейтинги: участие в ключевых деловых мероприятиях (ПМЭФ, ВЭФ, ИННОПРОМ, форум ЮНОВУС). Публикация и тиражирование успешных инвестиционных кейсов. Целенаправленная работа для улучшения позиций </w:t>
            </w:r>
            <w:r w:rsidRPr="00535A4B">
              <w:br/>
              <w:t>в Национальном рейтинге состояния инвестиционного климата АСИ и рейтинге инновационного развития субъектов Российской Федерации.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lastRenderedPageBreak/>
              <w:t>— Развитие бренда и компетенций: работа над брендом «Tomsk Region» для инвесторов. Развитие официальных интернет-порталов как ключевых «витрин» для инвесторов.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Обеспечение работы и регулярная актуализация Инвестиционной декларации, Свода инвестиционных правил </w:t>
            </w:r>
            <w:r w:rsidRPr="00535A4B">
              <w:br/>
              <w:t>и Инвестиционной карты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Эффективная работа регионального Инвестиционного комитета под председательством Губернатора для рассмотрения </w:t>
            </w:r>
            <w:r w:rsidRPr="00535A4B">
              <w:br/>
              <w:t>и сопровождения приоритетных проектов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Департамент инвестиционной и промышленной политики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Корпорация МСП;</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Фонд «Росконгресс»;</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Агентство стратегических инициатив (АСИ);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деловые СМИ (РБК, Коммерсантъ);</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Национальный исследовательский университет «Высшая школа экономики»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Улучшение качества городской среды и инфраструктуры </w:t>
            </w:r>
            <w:r w:rsidRPr="00535A4B">
              <w:br/>
              <w:t xml:space="preserve">как следствие притока инвестиций. Создание новых высокопроизводительных рабочих мест за счет запуска </w:t>
            </w:r>
            <w:r w:rsidRPr="00535A4B">
              <w:br/>
              <w:t>и масштабирования инвестиционных проектов; повышение предпринимательской уверенности и деловой активности, что ведет к росту экономики и, как следствие, благосостояния населения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Вклад в бюджет и рабочие места: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Рост количества входящих запросов от потенциальных инвесторов, конвертирующихся в реальные проекты с новыми рабочими местами и налоговыми поступлениями. Рост налоговых поступлений в консолидированный бюджет за счет расширения налогооблагаемой базы и создания новых производств, увеличение количества рабочих мест, созданных в рамках инвестиционных проектов, реализуемых с государственной поддержкой</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Привязка </w:t>
            </w:r>
            <w:r w:rsidRPr="00535A4B">
              <w:br/>
              <w:t>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НП «Эффективная и конкурентная экономика» (федеральный проект «Малое и среднее предпринимательство и поддержка индивидуальной предпринимательской инициативы»); Государственная программа Российской Федерации «Экономическое развитие и инновационная экономика»; региональная государственная программа «Улучшение инвестиционного климата и развитие экспорта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Вхождение Томской области в топ-15 Национального рейтинга состояния инвестиционного климата, закрепление статуса «территории доверия» среди российских и международных инвесторов, формирование устойчивого позитивного имиджа </w:t>
            </w:r>
            <w:r w:rsidRPr="00535A4B">
              <w:br/>
              <w:t>как одного из ведущих инновационных центров России</w:t>
            </w:r>
          </w:p>
        </w:tc>
      </w:tr>
    </w:tbl>
    <w:p w:rsidR="00E618FE" w:rsidRPr="00535A4B" w:rsidRDefault="00E618FE"/>
    <w:p w:rsidR="00E618FE" w:rsidRPr="00535A4B" w:rsidRDefault="00800098">
      <w:pPr>
        <w:jc w:val="center"/>
        <w:rPr>
          <w:b/>
          <w:bCs/>
        </w:rPr>
      </w:pPr>
      <w:r w:rsidRPr="00535A4B">
        <w:rPr>
          <w:b/>
          <w:bCs/>
        </w:rPr>
        <w:t>КФИ5. «Индустрия творчества и туризм»</w:t>
      </w:r>
    </w:p>
    <w:p w:rsidR="00E618FE" w:rsidRPr="00535A4B" w:rsidRDefault="00E618FE">
      <w:pPr>
        <w:jc w:val="center"/>
      </w:pPr>
    </w:p>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rPr>
                <w:rFonts w:eastAsia="Calibri"/>
              </w:rPr>
            </w:pPr>
            <w:bookmarkStart w:id="324" w:name="_Hlk229071463"/>
            <w:r w:rsidRPr="00535A4B">
              <w:rPr>
                <w:rFonts w:eastAsia="Calibri"/>
              </w:rPr>
              <w:t>ФИ5.1. «</w:t>
            </w:r>
            <w:r w:rsidRPr="00535A4B">
              <w:t>Креативная экономика Томской области — формула роста»</w:t>
            </w:r>
            <w:bookmarkEnd w:id="324"/>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К 2036 году обеспечить устойчивый рост креативной экономики Томской области как одного из ведущих креативных регионов России (сохранение позиции в топ-4 по версии рейтинга </w:t>
            </w:r>
            <w:r w:rsidRPr="00535A4B">
              <w:lastRenderedPageBreak/>
              <w:t xml:space="preserve">креативных регионов России НИУ ВШЭ в 2024 году) с долей креативных индустрий в ВРП не менее 5%, объемом налоговых поступлений от сектора 2,5 млрд руб./год и числом занятых </w:t>
            </w:r>
            <w:r w:rsidRPr="00535A4B">
              <w:br/>
              <w:t>15 - 20 тыс. человек, при этом не менее 20% креативных проектов имеют частное инвестиционное сопровождение</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xml:space="preserve">— </w:t>
            </w:r>
            <w:r w:rsidRPr="00535A4B">
              <w:t xml:space="preserve">Креативные пространства и кварталы — создание городской сети креативных резиденций (Центр современной культуры, «Пенаты», «Лампочка») с едиными правилами аренды </w:t>
            </w:r>
            <w:r w:rsidRPr="00535A4B">
              <w:br/>
              <w:t>и условиями для бизнеса.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xml:space="preserve">— </w:t>
            </w:r>
            <w:r w:rsidRPr="00535A4B">
              <w:t xml:space="preserve">Творческое предпринимательство — микрогранты, субсидии </w:t>
            </w:r>
            <w:r w:rsidRPr="00535A4B">
              <w:br/>
              <w:t>на аренду, льготный доступ к площадям, акселераторы через экосистему МСП.</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xml:space="preserve">— </w:t>
            </w:r>
            <w:r w:rsidRPr="00535A4B">
              <w:t xml:space="preserve">Фестивальный Томск — календарь событий под единым брендом: «Праздник Топора», «Жимолость», «Есть Фест», джазовые и танцевальные фестивали, события моды и дизайна.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w:t>
            </w:r>
            <w:r w:rsidRPr="00535A4B">
              <w:t>Гастрономия как креативная индустрия — реализация бренда «Губернская кухня», гастроквартал на базе креативных пространств, акселератор ресторанов, продвижение локальных продуктов.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w:t>
            </w:r>
            <w:r w:rsidRPr="00535A4B">
              <w:t>Историческое наследие, ремесла и арт-резиденции — использование объектов исторического наследия (деревянное зодчество, усадьбы) для арт-резиденций и туристско-креативных маршрутов.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w:t>
            </w:r>
            <w:r w:rsidRPr="00535A4B">
              <w:t xml:space="preserve">Инвестиционная платформа — формирование портфеля креативных проектов для частных инвесторов. </w:t>
            </w:r>
          </w:p>
          <w:p w:rsidR="00E618FE" w:rsidRPr="00535A4B" w:rsidRDefault="00800098">
            <w:pPr>
              <w:cnfStyle w:val="000000000000" w:firstRow="0" w:lastRow="0" w:firstColumn="0" w:lastColumn="0" w:oddVBand="0" w:evenVBand="0" w:oddHBand="0" w:evenHBand="0" w:firstRowFirstColumn="0" w:firstRowLastColumn="0" w:lastRowFirstColumn="0" w:lastRowLastColumn="0"/>
              <w:rPr>
                <w:b/>
                <w:bCs/>
              </w:rPr>
            </w:pPr>
            <w:r w:rsidRPr="00535A4B">
              <w:rPr>
                <w:b/>
                <w:bCs/>
              </w:rPr>
              <w:t>Задачи: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w:t>
            </w:r>
            <w:r w:rsidRPr="00535A4B">
              <w:t xml:space="preserve">Сформировать устойчивую экономику креативных индустрий (программное обеспечение и видеоигры, архитектура </w:t>
            </w:r>
            <w:r w:rsidRPr="00535A4B">
              <w:br/>
              <w:t xml:space="preserve">и урбанистика, дизайн, мода (включая ювелирное дело), медиа </w:t>
            </w:r>
            <w:r w:rsidRPr="00535A4B">
              <w:br/>
              <w:t xml:space="preserve">и СМИ, реклама и пиар, культурное наследие, народные художественные промыслы и ремесла, и гастрономия) </w:t>
            </w:r>
            <w:r w:rsidRPr="00535A4B">
              <w:br/>
              <w:t>с измеримыми показателями выручки, налогов и занятости.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w:t>
            </w:r>
            <w:r w:rsidRPr="00535A4B">
              <w:t xml:space="preserve">Создать сеть креативных пространств и кварталов </w:t>
            </w:r>
            <w:r w:rsidRPr="00535A4B">
              <w:br/>
              <w:t xml:space="preserve">как инфраструктуру для бизнеса (не менее 50% окупаемости </w:t>
            </w:r>
            <w:r w:rsidRPr="00535A4B">
              <w:br/>
              <w:t>за счёт аренды и коммерческих услуг).</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w:t>
            </w:r>
            <w:r w:rsidRPr="00535A4B">
              <w:t>Обеспечить привлечение частных инвестиций в креативные проекты: запустить механизм «креативной концессии», целевые гранты для бизнеса, софинансирование фестивалей.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w:t>
            </w:r>
            <w:r w:rsidRPr="00535A4B">
              <w:t>Создать инвестиционную платформу креативных проектов (арт-резиденции, креативные пространства, фестивали).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w:t>
            </w:r>
            <w:r w:rsidRPr="00535A4B">
              <w:t xml:space="preserve">Включить креативные фестивали в туристические маршруты </w:t>
            </w:r>
            <w:r w:rsidRPr="00535A4B">
              <w:br/>
              <w:t>с привязкой к загрузке гостиниц и общепита.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Calibri"/>
                <w:szCs w:val="28"/>
              </w:rPr>
              <w:t>— </w:t>
            </w:r>
            <w:r w:rsidRPr="00535A4B">
              <w:t>Развить гастрономию как креативную индустрию с брендом «Губернская кухня», гастрокварталами и ежегодными фестивалями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Департамент по культуре Томской области, Департамент лицензирования и регионального государственного контроля Томской област;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муниципальные районы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научно-образовательный комплекс</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проектный офис «Креативные индустрии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lastRenderedPageBreak/>
              <w:t>— операторы креативных резиденций и пространств, организаторы фестивалей, креативные предприниматели, ресторанное и гостиничное сообщества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корпоративные инвесторы (АО «Сибагро» и другие компании), банки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фонды поддержки МСП.</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Расширение досуговых возможностей населения и перспектив самореализации творчески активных жителей, формирование идентичности «Я — томич», рост вовлеченности в культурную </w:t>
            </w:r>
            <w:r w:rsidRPr="00535A4B">
              <w:br/>
              <w:t xml:space="preserve">и городскую жизнь. Повышение привлекательности Томска </w:t>
            </w:r>
            <w:r w:rsidRPr="00535A4B">
              <w:br/>
              <w:t xml:space="preserve">для жизни и работы за счет насыщенной событийной повестки </w:t>
            </w:r>
            <w:r w:rsidRPr="00535A4B">
              <w:br/>
              <w:t>и доступных креативных пространств. Снижение миграционного оттока молодежи (в том числе через креативные карьерные траектории)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Вклад в бюджет и рабочие места: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Исходная база (2024 год): доля креативных индустрий в ВРП 2,7%, налоговые поступления &gt;1,8 млрд руб., занятость &gt;13 500 чел., число субъектов &gt;5 200. Методика расчета вклада в бюджет: Прямой вклад: налог на прибыль креативных организаций, НДФЛ сотрудников, налоги по УСН и НПД самозанятых. Косвенный вклад (15 – 20% от прямого): налоги от общепита, гостиниц, транспорта, аренды, обслуживающих креативные события. Мультипликативный эффект: рост налоговой базы за счет новых МСП, снижения оттока населения и привлечения инвесторов. Целевые показатели к 2036 году: рост налоговых поступлений </w:t>
            </w:r>
            <w:r w:rsidRPr="00535A4B">
              <w:br/>
              <w:t>до 4 – 4,5 млрд рублей/год, создание 25–30 тыс. рабочих мест, увеличение числа креативных субъектов до 8 000+</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Привязка </w:t>
            </w:r>
            <w:r w:rsidRPr="00535A4B">
              <w:br/>
              <w:t>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НП «Эффективная и конкурентная экономика» (в части развития МСП и креативной экономики), федеральный закон о развитии креативных (творческих) индустрий, национальный проект «Туризм и гостеприимство» (экономика впечатлений </w:t>
            </w:r>
            <w:r w:rsidRPr="00535A4B">
              <w:br/>
              <w:t xml:space="preserve">и событийный туризм), региональная Концепция развития креативных индустрий Томской области и план мероприятий </w:t>
            </w:r>
            <w:r w:rsidRPr="00535A4B">
              <w:br/>
              <w:t>по ее реализации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 xml:space="preserve">Ожидаемый эффект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Томская область закрепляется в топ-4 креативных регионов России. Креативная экономика становится самостоятельным сектором: 5% ВРП; 2,5 млрд рублей налогов; 15 – 20 тыс. рабочих мест. В регионе действуют 2 – 3 креативных квартала, не менее </w:t>
            </w:r>
            <w:r w:rsidRPr="00535A4B">
              <w:br/>
              <w:t xml:space="preserve">7 фестивалей с долей внебюджетного финансирования &gt;50%, гастрокластеры с локальными брендами. Крупный бизнес системно инвестирует в креативную инфраструктуру через концессии и партнёрства. Томск воспринимается не только </w:t>
            </w:r>
            <w:r w:rsidRPr="00535A4B">
              <w:br/>
              <w:t xml:space="preserve">как научный центр, но и как город впечатлений, событий </w:t>
            </w:r>
            <w:r w:rsidRPr="00535A4B">
              <w:br/>
              <w:t>и творческого предпринимательства без ущерба для своей базовой специализации</w:t>
            </w:r>
          </w:p>
        </w:tc>
      </w:tr>
    </w:tbl>
    <w:p w:rsidR="00E618FE" w:rsidRPr="00535A4B" w:rsidRDefault="00E618FE">
      <w:pPr>
        <w:jc w:val="center"/>
      </w:pPr>
    </w:p>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keepNext/>
              <w:jc w:val="both"/>
            </w:pPr>
            <w:r w:rsidRPr="00535A4B">
              <w:rPr>
                <w:rFonts w:eastAsia="PT Astra Serif"/>
              </w:rPr>
              <w:t>ФИ5.2. «Инфраструктура гостеприимной Сибири для путешествий и экономики впечатлений»</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Превратить Томск в ведущий центр внутреннего туризма Сибири, запустить новую волну экономического роста в регионе за счет системного развития инфраструктуры гостеприимной Сибири конкурентоспособных продуктов туризма и креативной </w:t>
            </w:r>
            <w:r w:rsidRPr="00535A4B">
              <w:rPr>
                <w:rFonts w:eastAsia="PT Astra Serif"/>
              </w:rPr>
              <w:lastRenderedPageBreak/>
              <w:t xml:space="preserve">экономики, используя уникальные природные ресурсы </w:t>
            </w:r>
            <w:r w:rsidRPr="00535A4B">
              <w:rPr>
                <w:rFonts w:eastAsia="PT Astra Serif"/>
              </w:rPr>
              <w:br/>
              <w:t xml:space="preserve">и культурные нарративы, понятные и привлекательные </w:t>
            </w:r>
            <w:r w:rsidRPr="00535A4B">
              <w:rPr>
                <w:rFonts w:eastAsia="PT Astra Serif"/>
              </w:rPr>
              <w:br/>
              <w:t>для широкой аудитории.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lastRenderedPageBreak/>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туристический код и инфраструктура гостеприимства. Реализация проекта «Новое свечение» (архитектурная подсветка), развитие единой системы навигации, создание сети модульных гостиниц и кемпингов в рамках регионального проекта «Создание номерного фонда, инфраструктуры и новых точек притяжения» нацпроекта «Туризм и гостеприимство»;</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создание развитой индустрии гостеприимства и туризма (научно-популярного, промышленного, сельского, водного, экологического, экстремального, событийного, религиозного </w:t>
            </w:r>
            <w:r w:rsidRPr="00535A4B">
              <w:rPr>
                <w:rFonts w:eastAsia="PT Astra Serif"/>
              </w:rPr>
              <w:br/>
              <w:t>и паломнического, медицинского);</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гастрономический бренд «Губернская кухня»: формирование гастрономического квартала на базе креативного кластера;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проведение флагманских фестивалей («Жимолость», «Есть Фест», «Праздник Топора», «Вкусно»), джазовых, современного танца, моды, дизайна, интегрированных в событийный календарь и поддерживаемых в рамках федерального проекта по развитию событийного туризма и грантовых конкурсов Российского фонда культуры; создание «акселератора ресторанов» и программ повышения квалификации для местных предпринимателей </w:t>
            </w:r>
            <w:r w:rsidRPr="00535A4B">
              <w:rPr>
                <w:rFonts w:eastAsia="PT Astra Serif"/>
              </w:rPr>
              <w:br/>
              <w:t>с участием ведущих ресторанных компаний;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национальный туристский маршрут «Томск –  изумрудное сердце Сибири!»: разработка и продвижение инклюзивной версии маршрута, а также включение  промышленных объектов </w:t>
            </w:r>
            <w:r w:rsidRPr="00535A4B">
              <w:rPr>
                <w:rFonts w:eastAsia="PT Astra Serif"/>
              </w:rPr>
              <w:br/>
              <w:t>для развития промышленного туризма. Формирование креативного квартала в историческом центре Томска;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Создание сети семейных туристических маршрутов </w:t>
            </w:r>
            <w:r w:rsidRPr="00535A4B">
              <w:rPr>
                <w:rFonts w:eastAsia="PT Astra Serif"/>
              </w:rPr>
              <w:br/>
              <w:t xml:space="preserve">с ценностями дружбы, мудрости, смелости, доброты (по мотивам сказки «Волшебник Изумрудного города»); образовательные программы «Сибирские Афины» – интерактивные лаборатории </w:t>
            </w:r>
            <w:r w:rsidRPr="00535A4B">
              <w:rPr>
                <w:rFonts w:eastAsia="PT Astra Serif"/>
              </w:rPr>
              <w:br/>
              <w:t>в университетах; активный туризм – вело- и водные маршруты, цифровая платформа «Путеводитель Элли» с дополненной реальностью и геймификацией; развитие агротуризма, гостевых домов и глэмпингов</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618FE" w:rsidRPr="00535A4B" w:rsidRDefault="00800098">
            <w:pPr>
              <w:jc w:val="both"/>
            </w:pPr>
            <w:r w:rsidRPr="00535A4B">
              <w:rPr>
                <w:rFonts w:eastAsia="PT Astra Serif"/>
              </w:rPr>
              <w:t>Пилотный флагман по развитию семейного туризма «Необыкновенные приключения в стране Изумрудного города: от Сибирских Афин к сокровищам Васюганских болот»</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t>Ценности: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Томская земля хранит магию настоящих приключений — здесь, среди университетских аллей Сибирских Афин и таинственных просторов Васюганских болот, оживают ценности сказки «Волшебник Изумрудного города»: дружба, взаимоподдержка </w:t>
            </w:r>
            <w:r w:rsidRPr="00535A4B">
              <w:rPr>
                <w:rFonts w:eastAsia="PT Astra Serif"/>
              </w:rPr>
              <w:br/>
              <w:t xml:space="preserve">и смелость преодоления трудностей. Каждая семья становится содружеством героев Элли, Страшилы, Железного Дровосека </w:t>
            </w:r>
            <w:r w:rsidRPr="00535A4B">
              <w:rPr>
                <w:rFonts w:eastAsia="PT Astra Serif"/>
              </w:rPr>
              <w:br/>
              <w:t xml:space="preserve">и Льва, отправляясь в путешествие, где научное открытие соседствует с экологическим чудом, а велосипедная тропа ведет </w:t>
            </w:r>
            <w:r w:rsidRPr="00535A4B">
              <w:rPr>
                <w:rFonts w:eastAsia="PT Astra Serif"/>
              </w:rPr>
              <w:br/>
              <w:t xml:space="preserve">к сокровищам Всемирного наследия ЮНЕСКО, опираясь </w:t>
            </w:r>
            <w:r w:rsidRPr="00535A4B">
              <w:rPr>
                <w:rFonts w:eastAsia="PT Astra Serif"/>
              </w:rPr>
              <w:br/>
              <w:t>на уютные гостевые дома и домашние кафе вдоль маршрута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rsidP="006739D7">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Создание уникального туристско</w:t>
            </w:r>
            <w:r w:rsidRPr="00535A4B">
              <w:rPr>
                <w:rFonts w:eastAsia="PT Astra Serif"/>
              </w:rPr>
              <w:noBreakHyphen/>
              <w:t xml:space="preserve">креативного пространства, объединяющего культурный код сказки «Волшебник Изумрудного </w:t>
            </w:r>
            <w:r w:rsidRPr="00535A4B">
              <w:rPr>
                <w:rFonts w:eastAsia="PT Astra Serif"/>
              </w:rPr>
              <w:lastRenderedPageBreak/>
              <w:t>города», образовательный потенциал Сибирских Афин и активный семейный отдых на маршрутах</w:t>
            </w:r>
            <w:r w:rsidR="006739D7">
              <w:rPr>
                <w:rFonts w:eastAsia="PT Astra Serif"/>
              </w:rPr>
              <w:t xml:space="preserve"> </w:t>
            </w:r>
            <w:r w:rsidRPr="00535A4B">
              <w:rPr>
                <w:rFonts w:eastAsia="PT Astra Serif"/>
              </w:rPr>
              <w:t xml:space="preserve">от университетских музеев </w:t>
            </w:r>
            <w:r w:rsidR="006739D7">
              <w:rPr>
                <w:rFonts w:eastAsia="PT Astra Serif"/>
              </w:rPr>
              <w:br/>
            </w:r>
            <w:r w:rsidRPr="00535A4B">
              <w:rPr>
                <w:rFonts w:eastAsia="PT Astra Serif"/>
              </w:rPr>
              <w:t xml:space="preserve">до заповедных Васюганских болот, на основе доступной инфраструктуры гостеприимства, превращая Томскую область </w:t>
            </w:r>
            <w:r w:rsidR="006739D7">
              <w:rPr>
                <w:rFonts w:eastAsia="PT Astra Serif"/>
              </w:rPr>
              <w:br/>
            </w:r>
            <w:r w:rsidRPr="00535A4B">
              <w:rPr>
                <w:rFonts w:eastAsia="PT Astra Serif"/>
              </w:rPr>
              <w:t>в эталонную территорию семейных путешествий и место силы знаний, природы и здоровой жизни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lastRenderedPageBreak/>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b/>
                <w:bCs/>
              </w:rPr>
              <w:t>1. Культурно</w:t>
            </w:r>
            <w:r w:rsidRPr="00535A4B">
              <w:rPr>
                <w:rFonts w:eastAsia="PT Astra Serif"/>
                <w:b/>
                <w:bCs/>
              </w:rPr>
              <w:noBreakHyphen/>
              <w:t xml:space="preserve">смысловое ядро «По дороге из изумрудных кирпичиков»: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создание сети семейных маршрутов, где каждая локация раскрывает одну из ценностей героев сказки: дружба (семейные квесты), мудрость (научно</w:t>
            </w:r>
            <w:r w:rsidRPr="00535A4B">
              <w:rPr>
                <w:rFonts w:eastAsia="PT Astra Serif"/>
              </w:rPr>
              <w:noBreakHyphen/>
              <w:t xml:space="preserve">популярные экскурсии </w:t>
            </w:r>
            <w:r w:rsidRPr="00535A4B">
              <w:rPr>
                <w:rFonts w:eastAsia="PT Astra Serif"/>
              </w:rPr>
              <w:br/>
              <w:t>в университетах), смелость (экстремальные, но безопасные маршруты), доброта (волонтерские экологические акции); маршруты опираются на доступную семейную инфраструктуру (гостевые дома, домашние кафе, зоны отдыха, ТИЦ);</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разработка театрализованных программ и иммерсивных спектаклей по мотивам «Волшебник Изумрудного города» </w:t>
            </w:r>
            <w:r w:rsidRPr="00535A4B">
              <w:rPr>
                <w:rFonts w:eastAsia="PT Astra Serif"/>
              </w:rPr>
              <w:br/>
              <w:t>на ключевых точках маршрута;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фестивали семейного творчества «Город мастеров» </w:t>
            </w:r>
            <w:r w:rsidRPr="00535A4B">
              <w:rPr>
                <w:rFonts w:eastAsia="PT Astra Serif"/>
              </w:rPr>
              <w:br/>
              <w:t>с мастер</w:t>
            </w:r>
            <w:r w:rsidRPr="00535A4B">
              <w:rPr>
                <w:rFonts w:eastAsia="PT Astra Serif"/>
              </w:rPr>
              <w:noBreakHyphen/>
              <w:t>классами по народным промыслам и современным креативным индустриям.</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b/>
                <w:bCs/>
              </w:rPr>
              <w:t>2. Образовательный контур «Сибирские Афины»: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научно</w:t>
            </w:r>
            <w:r w:rsidRPr="00535A4B">
              <w:rPr>
                <w:rFonts w:eastAsia="PT Astra Serif"/>
              </w:rPr>
              <w:noBreakHyphen/>
              <w:t xml:space="preserve">популярные экскурсии в университетах Томска: интерактивные лаборатории, планетарии, музеи науки, интегрированные в семейные турпакеты с размещением </w:t>
            </w:r>
            <w:r w:rsidRPr="00535A4B">
              <w:rPr>
                <w:rFonts w:eastAsia="PT Astra Serif"/>
              </w:rPr>
              <w:br/>
              <w:t>в гостевых домах и общежитиях, адаптированных под семейный отдых;</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программы «Ученые — детям»: встречи с исследователями, научные шоу, детские лектории;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образовательные маршруты «От древности к будущему»: археологические музеи, деревянное зодчество, технопарки, центр электроники, связанные удобной логистикой и базовой туристской инфраструктурой.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b/>
                <w:bCs/>
              </w:rPr>
              <w:t>3. Активный семейный туризм «Охота за сокровищами»: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маршруты по экотропам заказника «Ларинский» с пунктами «Изумрудные привалы»;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водные маршруты по рекам Томской области с элементами ориентирования и семейными соревнованиями, с опорой на сеть семейных гостевых домов и домашних кафе в прибрежных поселениях;</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экологические экспедиции на Васюганские болота (территория, выдвигаемая на включение в список Всемирного наследия ЮНЕСКО): наблюдение за редкими видами животных и растений, сбор клюквы, фотосафари при дозированном туризме и строгих регламентах посещения;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зимние семейные приключения: лыжные походы, ледовые городки, северное сияние (где возможно) на базе недорогих семейных средств размещения и домашней кухни;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программа «Сокровища Васюгана»: геокешинг, поиск редких растений, экологические квесты с размещением в сельских гостевых домах и агроусадьбах.</w:t>
            </w:r>
          </w:p>
          <w:p w:rsidR="006739D7" w:rsidRDefault="006739D7">
            <w:pPr>
              <w:jc w:val="both"/>
              <w:cnfStyle w:val="000000000000" w:firstRow="0" w:lastRow="0" w:firstColumn="0" w:lastColumn="0" w:oddVBand="0" w:evenVBand="0" w:oddHBand="0" w:evenHBand="0" w:firstRowFirstColumn="0" w:firstRowLastColumn="0" w:lastRowFirstColumn="0" w:lastRowLastColumn="0"/>
              <w:rPr>
                <w:rFonts w:eastAsia="PT Astra Serif"/>
                <w:b/>
                <w:bCs/>
              </w:rPr>
            </w:pP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b/>
                <w:bCs/>
              </w:rPr>
              <w:lastRenderedPageBreak/>
              <w:t>4. Цифровая платформа «Путеводитель Элли»: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интерактивная карта с дополненной реальностью: герои сказки сопровождают семью, показывая природные и культурные локации, а также ближайшие гостевые дома, домашние кафе, агроусадьбы и ТИЦ;</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система геймификации: семья собирает «изумруды знаний» </w:t>
            </w:r>
            <w:r w:rsidRPr="00535A4B">
              <w:rPr>
                <w:rFonts w:eastAsia="PT Astra Serif"/>
              </w:rPr>
              <w:br/>
              <w:t>за прохождение маршрутов, участие в мастер</w:t>
            </w:r>
            <w:r w:rsidRPr="00535A4B">
              <w:rPr>
                <w:rFonts w:eastAsia="PT Astra Serif"/>
              </w:rPr>
              <w:noBreakHyphen/>
              <w:t xml:space="preserve">классах </w:t>
            </w:r>
            <w:r w:rsidRPr="00535A4B">
              <w:rPr>
                <w:rFonts w:eastAsia="PT Astra Serif"/>
              </w:rPr>
              <w:br/>
              <w:t>и экологические действия;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семейные квесты с QR</w:t>
            </w:r>
            <w:r w:rsidRPr="00535A4B">
              <w:rPr>
                <w:rFonts w:eastAsia="PT Astra Serif"/>
              </w:rPr>
              <w:noBreakHyphen/>
              <w:t>кодами и мобильными приложениями;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система бронирования, рейтингов и отзывов с акцентом </w:t>
            </w:r>
            <w:r w:rsidRPr="00535A4B">
              <w:rPr>
                <w:rFonts w:eastAsia="PT Astra Serif"/>
              </w:rPr>
              <w:br/>
              <w:t>на семейный формат и доступность.</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b/>
                <w:bCs/>
              </w:rPr>
              <w:t>5. Креативные пространства и сельский туризм:</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развитие креативных резиденций в сельских территориях: художники, ремесленники, писатели создают произведения, вдохновленные природой и культурой региона, размещаясь </w:t>
            </w:r>
            <w:r w:rsidRPr="00535A4B">
              <w:rPr>
                <w:rFonts w:eastAsia="PT Astra Serif"/>
              </w:rPr>
              <w:br/>
              <w:t>в сельских гостевых домах и агроусадьбах;</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программа «Агротуризм»: семейные усадьбы, фермерские хозяйства, этнодеревни с мастер</w:t>
            </w:r>
            <w:r w:rsidRPr="00535A4B">
              <w:rPr>
                <w:rFonts w:eastAsia="PT Astra Serif"/>
              </w:rPr>
              <w:noBreakHyphen/>
              <w:t>классами по традиционным ремеслам для семейного отдыха;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гастрономические маршруты «Вкусы Изумрудной страны»: сибирская кухня, дикоросы, фермерские продукты и домашние кафе, усиливающие образ гостеприимной Сибири;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фестивали и ярмарки в муниципальных районах с участием местных жителей, владельцев гостевых домов, агроусадеб </w:t>
            </w:r>
            <w:r w:rsidRPr="00535A4B">
              <w:rPr>
                <w:rFonts w:eastAsia="PT Astra Serif"/>
              </w:rPr>
              <w:br/>
              <w:t>и домашних кафе</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lastRenderedPageBreak/>
              <w:t>Состав участников:</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ФГАОУ ВО «Национальный исследовательский Томский государственный университет»;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Департамент лицензирования и регионального государственного контроля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Департамент природных ресурсов и охраны окружающей среды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Совет муниципальных образований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Союз «Торгово</w:t>
            </w:r>
            <w:r w:rsidRPr="00535A4B">
              <w:rPr>
                <w:rFonts w:eastAsia="PT Astra Serif"/>
              </w:rPr>
              <w:noBreakHyphen/>
              <w:t>промышленная палата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представители креативных индустрий;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детские и молодежные общественные организации;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научно</w:t>
            </w:r>
            <w:r w:rsidRPr="00535A4B">
              <w:rPr>
                <w:rFonts w:eastAsia="PT Astra Serif"/>
              </w:rPr>
              <w:noBreakHyphen/>
              <w:t>образовательный комплекс Томска;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 туристические операторы, владельцы семейных усадеб </w:t>
            </w:r>
            <w:r w:rsidRPr="00535A4B">
              <w:rPr>
                <w:rFonts w:eastAsia="PT Astra Serif"/>
              </w:rPr>
              <w:br/>
              <w:t>и гостевых домов, владельцы домашних кафе и малых средств размещения;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экологические организации;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заповедник «Васюганский»</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t>Социальный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Рост качества городской среды и сервисной экономики; повышение узнаваемости региона, привлекательности Томска </w:t>
            </w:r>
            <w:r w:rsidRPr="00535A4B">
              <w:rPr>
                <w:rFonts w:eastAsia="PT Astra Serif"/>
              </w:rPr>
              <w:br/>
              <w:t xml:space="preserve">для жизни, учебы и работы; создание широкого спектра досуговых и развивающих возможностей для жителей всех возрастов.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Укрепление семейных ценностей через совместные приключения и преодоление трудностей, популяризация здорового образа жизни и активного отдыха, воспитание экологической культуры </w:t>
            </w:r>
            <w:r w:rsidRPr="00535A4B">
              <w:rPr>
                <w:rFonts w:eastAsia="PT Astra Serif"/>
              </w:rPr>
              <w:br/>
              <w:t xml:space="preserve">у детей, рост самозанятости и малого бизнеса в творческих и сельских секторах, повышение туристической привлекательности удаленных муниципальных районов, развитие межпоколенческих связей через совместное творчество и путешествия. Особый акцент </w:t>
            </w:r>
            <w:r w:rsidRPr="00535A4B">
              <w:rPr>
                <w:rFonts w:eastAsia="PT Astra Serif"/>
              </w:rPr>
              <w:lastRenderedPageBreak/>
              <w:t>— доступность отдыха для семей с разным уровнем дохода за счет сети бюджетных гостевых домов и т.п.</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lastRenderedPageBreak/>
              <w:t>Экономический эффект:</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Рост выручки креативных индустрий и туристической отрасли, мультипликативный эффект для экономики муниципалитетов </w:t>
            </w:r>
            <w:r w:rsidRPr="00535A4B">
              <w:rPr>
                <w:rFonts w:eastAsia="PT Astra Serif"/>
              </w:rPr>
              <w:br/>
              <w:t>за счет развития туризма и платных услуг (размещение, питание, экскурсии, сувениры), создание рабочих мест в сельских территориях (гиды, мастера, операторы агротуризма, владельцы гостевых домов и домашних кафе), рост доходов самозанятых и малого бизнеса. Дополнительно — развитие сектора сельских гостевых домов и домашних кафе и формирование устойчивых моделей доходов для сельских семей</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t>Привязка к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НП «Туризм и индустрия гостеприимства» (развитие инфраструктуры активного и семейного туризма, маршрутов </w:t>
            </w:r>
            <w:r w:rsidRPr="00535A4B">
              <w:rPr>
                <w:rFonts w:eastAsia="PT Astra Serif"/>
              </w:rPr>
              <w:br/>
              <w:t>и туристских кластеров; поддержка сельского и агротуризма); программы развития внутреннего туризма и поддержки креативных индустрий; инициативы по сохранению объектов Всемирного наследия ЮНЕСКО и номинации Большого Васюганского болота; партнерские программы по устойчивому развитию с Республикой Беларусь и другими дружественными странами; участие в формировании туристско</w:t>
            </w:r>
            <w:r w:rsidRPr="00535A4B">
              <w:rPr>
                <w:rFonts w:eastAsia="PT Astra Serif"/>
              </w:rPr>
              <w:noBreakHyphen/>
              <w:t>информационной сети (ТИЦ) России.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rFonts w:eastAsia="PT Astra Serif"/>
              </w:rPr>
              <w:t xml:space="preserve">Целевой результат </w:t>
            </w:r>
            <w:r w:rsidRPr="00535A4B">
              <w:rPr>
                <w:rFonts w:eastAsia="PT Astra Serif"/>
              </w:rPr>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Рост инвестиций в экономику впечатлений, рост объема платных туристских услуг; увеличение налоговых поступлений </w:t>
            </w:r>
            <w:r w:rsidRPr="00535A4B">
              <w:rPr>
                <w:rFonts w:eastAsia="PT Astra Serif"/>
              </w:rPr>
              <w:br/>
              <w:t>от смежных отраслей (гостиницы, общепит, транспорт, розничная торговля); создание новых рабочих мест в индустрии гостеприимства.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rPr>
                <w:rFonts w:eastAsia="PT Astra Serif"/>
              </w:rPr>
              <w:t xml:space="preserve">Томская область становится эталонным регионом семейных путешествий — местом силы знаний, соприкосновения </w:t>
            </w:r>
            <w:r w:rsidRPr="00535A4B">
              <w:rPr>
                <w:rFonts w:eastAsia="PT Astra Serif"/>
              </w:rPr>
              <w:br/>
              <w:t>с уникальной природой и энергией радости здорового образа жизни, опирающимся на развитую сеть бюджетной инфраструктуры гостеприимства (гостевые дома, агроусадьбы, домашние кафе, ТИЦ). Маршрут «Необыкновенные приключения в стране Изумрудного города» входит в топ</w:t>
            </w:r>
            <w:r w:rsidRPr="00535A4B">
              <w:rPr>
                <w:rFonts w:eastAsia="PT Astra Serif"/>
              </w:rPr>
              <w:noBreakHyphen/>
              <w:t>10 семейных туристических направлений России и становится основой для межрегиональных и международных семейных маршрутов Сибири с увеличением доли семейных поездок в общем туристическом потоке до 55%. Ценности дружбы, взаимоподдержки и преодоления трудностей из сказки «Волшебник Изумрудного города» становятся семейным кодом региона, а экономика впечатлений — устойчивым драйвером роста доходов семей и муниципалитетов Томской области</w:t>
            </w:r>
          </w:p>
        </w:tc>
      </w:tr>
    </w:tbl>
    <w:p w:rsidR="00E618FE" w:rsidRPr="00535A4B" w:rsidRDefault="00E618FE"/>
    <w:p w:rsidR="00E618FE" w:rsidRPr="00535A4B" w:rsidRDefault="00800098">
      <w:pPr>
        <w:jc w:val="center"/>
        <w:rPr>
          <w:b/>
          <w:bCs/>
        </w:rPr>
      </w:pPr>
      <w:r w:rsidRPr="00535A4B">
        <w:rPr>
          <w:b/>
          <w:bCs/>
        </w:rPr>
        <w:t>КФИ6. «Пространство для жизни»</w:t>
      </w:r>
    </w:p>
    <w:p w:rsidR="00E618FE" w:rsidRPr="00535A4B" w:rsidRDefault="00E618FE">
      <w:pPr>
        <w:jc w:val="center"/>
        <w:rPr>
          <w:b/>
          <w:bCs/>
        </w:rPr>
      </w:pPr>
    </w:p>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AE3F3" w:themeFill="accent5" w:themeFillTint="32"/>
          </w:tcPr>
          <w:p w:rsidR="00E618FE" w:rsidRPr="00535A4B" w:rsidRDefault="00800098">
            <w:pPr>
              <w:jc w:val="both"/>
              <w:rPr>
                <w:rFonts w:eastAsia="Calibri"/>
              </w:rPr>
            </w:pPr>
            <w:r w:rsidRPr="00535A4B">
              <w:t xml:space="preserve">ФИ6.1. </w:t>
            </w:r>
            <w:r w:rsidRPr="00535A4B">
              <w:rPr>
                <w:rFonts w:eastAsia="Calibri"/>
              </w:rPr>
              <w:t>«Стратегический пространственный каркас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xml:space="preserve">Достичь сбалансированного пространственного развития Томской области через формирование устойчивого коммуникационного </w:t>
            </w:r>
            <w:r w:rsidRPr="00535A4B">
              <w:rPr>
                <w:rFonts w:ascii="Times New Roman" w:hAnsi="Times New Roman"/>
                <w:color w:val="auto"/>
                <w:sz w:val="24"/>
                <w:szCs w:val="24"/>
              </w:rPr>
              <w:br/>
              <w:t xml:space="preserve">и инженерного каркаса территории, обеспечивающего ресурсные (в первую очередь энергетические) возможности, внешнюю связность региона с магистральными межрегиональными транспортными коридорами и крупными региональными </w:t>
            </w:r>
            <w:r w:rsidRPr="00535A4B">
              <w:rPr>
                <w:rFonts w:ascii="Times New Roman" w:hAnsi="Times New Roman"/>
                <w:color w:val="auto"/>
                <w:sz w:val="24"/>
                <w:szCs w:val="24"/>
              </w:rPr>
              <w:lastRenderedPageBreak/>
              <w:t>экономическими узлами, внутреннюю связность между опорными населенными пунктами региона для реализации масштабных инвестиционных проектов и стабилизации численности населения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xml:space="preserve">— Встраивание региона в межрегиональную транспортную сеть, улучшение условий транспортной доступности территории </w:t>
            </w:r>
            <w:r w:rsidRPr="00535A4B">
              <w:rPr>
                <w:rFonts w:ascii="Times New Roman" w:hAnsi="Times New Roman"/>
                <w:color w:val="auto"/>
                <w:sz w:val="24"/>
                <w:szCs w:val="24"/>
              </w:rPr>
              <w:br/>
              <w:t>через участие с ОАО «РЖД» в проектах скоростного железнодорожного сообщения (в первую очередь на направлении Томск — Новосибирск).</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xml:space="preserve">— Расширение сети субсидируемых межрегиональных </w:t>
            </w:r>
            <w:r w:rsidRPr="00535A4B">
              <w:rPr>
                <w:rFonts w:ascii="Times New Roman" w:hAnsi="Times New Roman"/>
                <w:color w:val="auto"/>
                <w:sz w:val="24"/>
                <w:szCs w:val="24"/>
              </w:rPr>
              <w:br/>
              <w:t>и международных авиарейсов из аэропорта Томска (Богашево).</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Обеспечение связанности северной и южной частей региона и увеличение транзитного потенциала автодорожной сети за счет строительства и реконструкции участков Северной широтной автомобильной дороги, как элемента транспортного коридора Пермь – Ивдель – Ханты-Мансийск – Томск.</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Усиление агломерационных процессов с фокусом на создание научно-образовательного и инновационного каркаса.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Обеспечение опережающего развития транспортной </w:t>
            </w:r>
            <w:r w:rsidRPr="00535A4B">
              <w:br/>
              <w:t>и энергетической инфраструктуры в опорных населенных пунктах, реализующих новые инвестиционные проекты, существенно влияющие на экономику территории.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Повышение доступности для населения медицинской помощи, общего образования и среднего профессионального образования, услуг организаций культуры и физкультурно-спортивных организаций.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Стимулирование развития разнообразного </w:t>
            </w:r>
            <w:r w:rsidRPr="00535A4B">
              <w:br/>
              <w:t xml:space="preserve">и сбалансированного рынка труда и жилья в малых городах </w:t>
            </w:r>
            <w:r w:rsidRPr="00535A4B">
              <w:br/>
              <w:t>и сельских населенных пунктах.</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Обеспечение транспортной связности трудоизбыточных территорий с значимыми хозяйственными центрами в целях формирования общего рынка труда.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Создание благоприятной среды проживания, благоустройства населенных пунктов.</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Обеспечение развития электрогенерирующей инфраструктуры, повышение энергообеспеченности региона.</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Обновление инфраструктуры и логистики водного транспорта.</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Развитие малой авиации.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Формирование единого цифрового документа территориального планирования и дифференцированного градостроительного регулирования Томской области.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Формирование земельно-имущественной политики в целях резервирования территорий под строительство инфраструктурных объектов федерального и регионального уровней.</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Межрегиональное взаимодействие Томской области с Ханты-Мансийским автономным округом – Югрой в части решения агломерационных вызовов на севере региона (городской округ Стрежевой де-факто входит в Нижневартовскую агломерацию, что обусловлено географическими факторами)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Правительство Томской области (профильные департаменты: Департамент муниципального развития);</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Департамент транспорта, дорожной деятельности и связи Томской области;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lastRenderedPageBreak/>
              <w:t>— Департамент градостроительного развития Томской области;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Департамент строительства Томской области;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Департамент по социально-экономическому развитию села Томской области;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xml:space="preserve">— Администрации муниципальных образований Томской области; </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ОГКУ «Томскавтодор», ОАО «РЖД», ООО «Аэропорт Томск», АО «Томская судоходная компания»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Эффекты:</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Преодоление диспропорций между урбанизированным югом (Томская агломерация) и обширными, труднодоступными центральными и северными районами;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устойчивое развитие опорных населенных пунктов;</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рациональная территориальная политика в использовании недр в увязке с перспективными планами ресурсодобывающих хозяйствующих субъектов;</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развитие мультимодальной транспортной инфраструктуры;</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взаимоувязка масштабных инвестиционных, в том числе экономических, инфраструктурных проектов с историческими корнями и потенциалом сложившейся системы расселения;</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xml:space="preserve">— закрепление населения в малых городах, сельской местности посредством развития экономической базы и инфраструктурной обеспеченности населенных пунктов (подробнее приведено </w:t>
            </w:r>
            <w:r w:rsidRPr="00535A4B">
              <w:rPr>
                <w:rFonts w:ascii="Times New Roman" w:hAnsi="Times New Roman"/>
                <w:color w:val="auto"/>
                <w:sz w:val="24"/>
                <w:szCs w:val="24"/>
              </w:rPr>
              <w:br/>
              <w:t>в разделе 12)</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t>Привязка к национальным проектам / федеральным документам: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Стратегия пространственного развития Российской Федерации на период до 2030 года с прогнозом до 2036 года, Национальные проекты «Эффективная транспортная система», «Инфраструктура для жизни», в том числе федеральные проекты «Региональная и местная дорожная сеть», «Модернизация коммунальной инфраструктуры», государственные программы «Комплексное развитие сельских территорий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rPr>
                <w:b w:val="0"/>
                <w:bCs w:val="0"/>
              </w:rPr>
              <w:t xml:space="preserve">Ожидаемые эффекты </w:t>
            </w:r>
            <w:r w:rsidRPr="00535A4B">
              <w:rPr>
                <w:b w:val="0"/>
                <w:bCs w:val="0"/>
              </w:rPr>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4"/>
                <w:szCs w:val="24"/>
              </w:rPr>
            </w:pPr>
            <w:r w:rsidRPr="00535A4B">
              <w:rPr>
                <w:rFonts w:ascii="Times New Roman" w:hAnsi="Times New Roman"/>
                <w:color w:val="auto"/>
                <w:sz w:val="24"/>
                <w:szCs w:val="24"/>
              </w:rPr>
              <w:t xml:space="preserve">Томская область встроена в межрегиональную транспортную сеть, </w:t>
            </w:r>
            <w:r w:rsidRPr="00535A4B">
              <w:rPr>
                <w:rFonts w:ascii="Times New Roman" w:hAnsi="Times New Roman"/>
                <w:b/>
                <w:bCs/>
                <w:color w:val="auto"/>
                <w:sz w:val="24"/>
                <w:szCs w:val="24"/>
              </w:rPr>
              <w:t>улучшены условия транспортной доступности территории:</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сформирован опорный каркас автомобильных дорог области (к опорному каркасу отнесены автомобильные дороги, обеспечивающие связи Томска со всеми административными центрами муниципальных районов и городских округов, автомобильная дорога Томск — аэропорт, автомобильная дорога Стрежевой — Нижневартовск (Ханты-Мансийский автономный округ – Югра), автомобильная дорога Томск — Мариинск (Кемеровская область) и участки автомобильных дорог, выполняющих функцию обхода Томска);</w:t>
            </w:r>
          </w:p>
          <w:p w:rsidR="00E618FE" w:rsidRPr="00535A4B" w:rsidRDefault="00800098">
            <w:pPr>
              <w:spacing w:line="260" w:lineRule="auto"/>
              <w:jc w:val="both"/>
              <w:cnfStyle w:val="000000000000" w:firstRow="0" w:lastRow="0" w:firstColumn="0" w:lastColumn="0" w:oddVBand="0" w:evenVBand="0" w:oddHBand="0" w:evenHBand="0" w:firstRowFirstColumn="0" w:firstRowLastColumn="0" w:lastRowFirstColumn="0" w:lastRowLastColumn="0"/>
            </w:pPr>
            <w:r w:rsidRPr="00535A4B">
              <w:t>— запущены в эксплуатацию участки Северной широтной автомобильной дороги как элемента транспортного коридора Пермь — Ивдель — Ханты-Мансийск — Томск;</w:t>
            </w:r>
          </w:p>
          <w:p w:rsidR="00E618FE" w:rsidRPr="00535A4B" w:rsidRDefault="00800098">
            <w:pPr>
              <w:spacing w:line="260" w:lineRule="auto"/>
              <w:jc w:val="both"/>
              <w:cnfStyle w:val="000000000000" w:firstRow="0" w:lastRow="0" w:firstColumn="0" w:lastColumn="0" w:oddVBand="0" w:evenVBand="0" w:oddHBand="0" w:evenHBand="0" w:firstRowFirstColumn="0" w:firstRowLastColumn="0" w:lastRowFirstColumn="0" w:lastRowLastColumn="0"/>
            </w:pPr>
            <w:r w:rsidRPr="00535A4B">
              <w:t>— расширена сеть субсидируемых межрегиональных авиарейсов и возобновлены международные рейсы из Международного аэропорта Томск имени Николая Камова с целевым пассажиропотоком 850 тыс. человек к 2036 году;</w:t>
            </w:r>
          </w:p>
          <w:p w:rsidR="00E618FE" w:rsidRPr="00535A4B" w:rsidRDefault="00800098">
            <w:pPr>
              <w:spacing w:line="260" w:lineRule="auto"/>
              <w:jc w:val="both"/>
              <w:cnfStyle w:val="000000000000" w:firstRow="0" w:lastRow="0" w:firstColumn="0" w:lastColumn="0" w:oddVBand="0" w:evenVBand="0" w:oddHBand="0" w:evenHBand="0" w:firstRowFirstColumn="0" w:firstRowLastColumn="0" w:lastRowFirstColumn="0" w:lastRowLastColumn="0"/>
            </w:pPr>
            <w:r w:rsidRPr="00535A4B">
              <w:t xml:space="preserve">— развивается интермодальная транспортная инфраструктура </w:t>
            </w:r>
            <w:r w:rsidRPr="00535A4B">
              <w:br/>
              <w:t xml:space="preserve">с использованием всех видов транспорта, формируются сети </w:t>
            </w:r>
            <w:r w:rsidRPr="00535A4B">
              <w:lastRenderedPageBreak/>
              <w:t xml:space="preserve">узловых мультимодальных транспортно-логистических центров </w:t>
            </w:r>
            <w:r w:rsidRPr="00535A4B">
              <w:br/>
              <w:t>и локальных транспортно-логистических узлов.</w:t>
            </w:r>
          </w:p>
          <w:p w:rsidR="00E618FE" w:rsidRPr="00535A4B" w:rsidRDefault="00800098">
            <w:pPr>
              <w:spacing w:line="260" w:lineRule="auto"/>
              <w:jc w:val="both"/>
              <w:cnfStyle w:val="000000000000" w:firstRow="0" w:lastRow="0" w:firstColumn="0" w:lastColumn="0" w:oddVBand="0" w:evenVBand="0" w:oddHBand="0" w:evenHBand="0" w:firstRowFirstColumn="0" w:firstRowLastColumn="0" w:lastRowFirstColumn="0" w:lastRowLastColumn="0"/>
              <w:rPr>
                <w:b/>
                <w:bCs/>
              </w:rPr>
            </w:pPr>
            <w:r w:rsidRPr="00535A4B">
              <w:rPr>
                <w:b/>
                <w:bCs/>
              </w:rPr>
              <w:t>Развитие газовой инфраструктуры региона:</w:t>
            </w:r>
          </w:p>
          <w:p w:rsidR="00E618FE" w:rsidRPr="00535A4B" w:rsidRDefault="00800098">
            <w:pPr>
              <w:spacing w:line="260" w:lineRule="auto"/>
              <w:jc w:val="both"/>
              <w:cnfStyle w:val="000000000000" w:firstRow="0" w:lastRow="0" w:firstColumn="0" w:lastColumn="0" w:oddVBand="0" w:evenVBand="0" w:oddHBand="0" w:evenHBand="0" w:firstRowFirstColumn="0" w:firstRowLastColumn="0" w:lastRowFirstColumn="0" w:lastRowLastColumn="0"/>
            </w:pPr>
            <w:r w:rsidRPr="00535A4B">
              <w:t>— созданы условия для подключения новых потребителей Томской области за счет строительства газопровода КС «Аганская» (</w:t>
            </w:r>
            <w:r w:rsidRPr="00535A4B">
              <w:rPr>
                <w:lang w:eastAsia="ar-SA"/>
              </w:rPr>
              <w:t>Ханты-Мансийский автономный округ — Югра</w:t>
            </w:r>
            <w:r w:rsidRPr="00535A4B">
              <w:t>) — КС «Вертикос»;</w:t>
            </w:r>
          </w:p>
          <w:p w:rsidR="00E618FE" w:rsidRPr="00535A4B" w:rsidRDefault="00800098">
            <w:pPr>
              <w:spacing w:line="260" w:lineRule="auto"/>
              <w:jc w:val="both"/>
              <w:cnfStyle w:val="000000000000" w:firstRow="0" w:lastRow="0" w:firstColumn="0" w:lastColumn="0" w:oddVBand="0" w:evenVBand="0" w:oddHBand="0" w:evenHBand="0" w:firstRowFirstColumn="0" w:firstRowLastColumn="0" w:lastRowFirstColumn="0" w:lastRowLastColumn="0"/>
            </w:pPr>
            <w:r w:rsidRPr="00535A4B">
              <w:t>— реализуется Программа развития газоснабжения и газификации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pPr>
              <w:ind w:left="284"/>
            </w:pPr>
            <w:r w:rsidRPr="00535A4B">
              <w:lastRenderedPageBreak/>
              <w:t>Ключевые направления за расчетный горизонт планирования (до 2050 года):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35A4B">
              <w:rPr>
                <w:rFonts w:ascii="Times New Roman" w:hAnsi="Times New Roman"/>
                <w:color w:val="auto"/>
                <w:sz w:val="24"/>
                <w:szCs w:val="24"/>
              </w:rPr>
              <w:t>— Ввод в эксплуатацию Северской атомной электростанции с установленной мощностью реакторов 2х1255 МВт, что полностью покроет энергодефицит региона, позволит снизить стоимость электроэнергии и стимулировать развитие более энергоемких производств;</w:t>
            </w:r>
          </w:p>
          <w:p w:rsidR="00E618FE" w:rsidRPr="00535A4B" w:rsidRDefault="00800098">
            <w:pPr>
              <w:pStyle w:val="a4"/>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4"/>
                <w:szCs w:val="24"/>
              </w:rPr>
            </w:pPr>
            <w:bookmarkStart w:id="325" w:name="_Hlk231407710"/>
            <w:r w:rsidRPr="00535A4B">
              <w:rPr>
                <w:rFonts w:ascii="Times New Roman" w:hAnsi="Times New Roman"/>
                <w:color w:val="auto"/>
                <w:sz w:val="24"/>
                <w:szCs w:val="24"/>
              </w:rPr>
              <w:t xml:space="preserve">— соблюдение преемственности в стратегических приоритетах федерального и регионального уровня: отложенные масштабные инфраструктурные проекты </w:t>
            </w:r>
            <w:r w:rsidRPr="00535A4B">
              <w:rPr>
                <w:rFonts w:ascii="Times New Roman" w:hAnsi="Times New Roman"/>
                <w:color w:val="auto"/>
                <w:sz w:val="24"/>
                <w:szCs w:val="24"/>
                <w:lang w:val="en-US"/>
              </w:rPr>
              <w:t>XX</w:t>
            </w:r>
            <w:r w:rsidRPr="00535A4B">
              <w:rPr>
                <w:rFonts w:ascii="Times New Roman" w:hAnsi="Times New Roman"/>
                <w:color w:val="auto"/>
                <w:sz w:val="24"/>
                <w:szCs w:val="24"/>
              </w:rPr>
              <w:t xml:space="preserve"> века — Северо-Сибирская железная дорога — грузовой транспортный дублер Транссиба </w:t>
            </w:r>
            <w:r w:rsidRPr="00535A4B">
              <w:rPr>
                <w:rFonts w:ascii="Times New Roman" w:hAnsi="Times New Roman"/>
                <w:color w:val="auto"/>
                <w:sz w:val="24"/>
                <w:szCs w:val="24"/>
              </w:rPr>
              <w:br/>
              <w:t xml:space="preserve">и мостовой переход через р. Обь в районе Колпашево, </w:t>
            </w:r>
            <w:r w:rsidRPr="00535A4B">
              <w:rPr>
                <w:rFonts w:ascii="Times New Roman" w:hAnsi="Times New Roman"/>
                <w:color w:val="auto"/>
                <w:sz w:val="24"/>
                <w:szCs w:val="24"/>
              </w:rPr>
              <w:br/>
              <w:t>при стечении благоприятных обстоятельств должны снова стать актуальными и реализуемыми на последующих этапах стратегического развития региона</w:t>
            </w:r>
            <w:bookmarkEnd w:id="325"/>
          </w:p>
        </w:tc>
      </w:tr>
    </w:tbl>
    <w:p w:rsidR="00E618FE" w:rsidRPr="00535A4B" w:rsidRDefault="00E618FE"/>
    <w:p w:rsidR="00E618FE" w:rsidRPr="00535A4B" w:rsidRDefault="00800098">
      <w:r w:rsidRPr="00535A4B">
        <w:rPr>
          <w:noProof/>
        </w:rPr>
        <w:lastRenderedPageBreak/>
        <w:drawing>
          <wp:inline distT="0" distB="0" distL="0" distR="0">
            <wp:extent cx="5784822" cy="7678882"/>
            <wp:effectExtent l="0" t="0" r="698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6"/>
                    <a:stretch/>
                  </pic:blipFill>
                  <pic:spPr bwMode="auto">
                    <a:xfrm>
                      <a:off x="0" y="0"/>
                      <a:ext cx="5817981" cy="7722899"/>
                    </a:xfrm>
                    <a:prstGeom prst="rect">
                      <a:avLst/>
                    </a:prstGeom>
                    <a:noFill/>
                    <a:ln>
                      <a:noFill/>
                    </a:ln>
                  </pic:spPr>
                </pic:pic>
              </a:graphicData>
            </a:graphic>
          </wp:inline>
        </w:drawing>
      </w:r>
    </w:p>
    <w:p w:rsidR="00E618FE" w:rsidRPr="00535A4B" w:rsidRDefault="00800098">
      <w:pPr>
        <w:pStyle w:val="aff0"/>
        <w:rPr>
          <w:rFonts w:ascii="Times New Roman" w:hAnsi="Times New Roman"/>
        </w:rPr>
      </w:pPr>
      <w:r w:rsidRPr="00535A4B">
        <w:rPr>
          <w:rFonts w:ascii="Times New Roman" w:hAnsi="Times New Roman"/>
        </w:rPr>
        <w:t>Рисунок Д.1. Стратегический пространственный каркас</w:t>
      </w:r>
      <w:r w:rsidRPr="00535A4B">
        <w:rPr>
          <w:rFonts w:ascii="Times New Roman" w:hAnsi="Times New Roman"/>
        </w:rPr>
        <w:br/>
        <w:t xml:space="preserve"> Томской области — 2050</w:t>
      </w:r>
      <w:bookmarkEnd w:id="322"/>
    </w:p>
    <w:p w:rsidR="00E618FE" w:rsidRPr="00535A4B" w:rsidRDefault="00E618FE">
      <w:pPr>
        <w:jc w:val="center"/>
      </w:pPr>
    </w:p>
    <w:p w:rsidR="00E618FE" w:rsidRPr="00535A4B" w:rsidRDefault="00800098">
      <w:r w:rsidRPr="00535A4B">
        <w:br w:type="page" w:clear="all"/>
      </w:r>
    </w:p>
    <w:p w:rsidR="00E618FE" w:rsidRPr="00535A4B" w:rsidRDefault="00E618FE"/>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000000"/>
              <w:left w:val="single" w:sz="4" w:space="0" w:color="000000"/>
              <w:bottom w:val="single" w:sz="4" w:space="0" w:color="000000"/>
              <w:right w:val="single" w:sz="4" w:space="0" w:color="000000"/>
            </w:tcBorders>
            <w:shd w:val="clear" w:color="auto" w:fill="DAE3F3" w:themeFill="accent5" w:themeFillTint="32"/>
          </w:tcPr>
          <w:p w:rsidR="00E618FE" w:rsidRPr="00535A4B" w:rsidRDefault="00800098">
            <w:bookmarkStart w:id="326" w:name="_Hlk231214390"/>
            <w:r w:rsidRPr="00535A4B">
              <w:t>ФИ6.2. «Градостроительное развитие территории «Большой Томск»</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Цель:</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Обеспечить сбалансированное развитие территорий городского округа г. Томск, ЗАТО Северск и прилегающих к ним инвестиционно привлекательных территорий Томского района </w:t>
            </w:r>
            <w:r w:rsidRPr="00535A4B">
              <w:br/>
              <w:t xml:space="preserve">с учетом долгосрочных планов развития высокотехнологичных </w:t>
            </w:r>
            <w:r w:rsidRPr="00535A4B">
              <w:br/>
              <w:t xml:space="preserve">и инновационных производств, научно-образовательной </w:t>
            </w:r>
            <w:r w:rsidRPr="00535A4B">
              <w:br/>
              <w:t>и транспортно-распределительной функции, перспективного жилищного строительства в Томской агломерации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Ключевые направления:</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Синхронизация транспортной, жилищной и социальной политики трех муниципальных образований, оптимизация размещения коммунальной и социальной инфраструктуры </w:t>
            </w:r>
            <w:r w:rsidRPr="00535A4B">
              <w:br/>
              <w:t xml:space="preserve">с учетом реализации проектов «Левобережный лайф», «Элеонор», «Южные ворота </w:t>
            </w:r>
            <w:r w:rsidRPr="00535A4B">
              <w:rPr>
                <w:lang w:val="en-US"/>
              </w:rPr>
              <w:t>II</w:t>
            </w:r>
            <w:r w:rsidRPr="00535A4B">
              <w:t>», «Ботаника», потенциальных площадок КРТ — «Сосновый бор», «Черемошники» и другие.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Приоритизация проектов жилищного и инфраструктурного строительства в увязке с созданием в долгосрочной перспективе новых рабочих мест в северном направлении, развитием ОЭЗ </w:t>
            </w:r>
            <w:r w:rsidRPr="00535A4B">
              <w:br/>
              <w:t xml:space="preserve">и созданием современного межвузовского кампуса в г. Томске </w:t>
            </w:r>
            <w:r w:rsidRPr="00535A4B">
              <w:br/>
              <w:t xml:space="preserve">в восточном направлении, развитием транспортного хаба </w:t>
            </w:r>
            <w:r w:rsidRPr="00535A4B">
              <w:br/>
              <w:t>и рекреации в юго-восточном направлении.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Реализация проектов региональных инвестиционно-строительных компаний – ПАО «Томская домостроительная компания», АО «Сибагро», АО «ТОМ-ДОМ ТДСК», </w:t>
            </w:r>
            <w:r w:rsidRPr="00535A4B">
              <w:br/>
              <w:t xml:space="preserve">ООО «СЗ «Карьероуправление», формирование современных многофункциональных районов с собственным архитектурным кодом и комфортной средой проживания.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Формирование устойчивого транспортного каркаса «Большого Томска», обеспечение доступности современной инфраструктуры деловой мобильности.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Обеспечение развития электрогенерирующей инфраструктуры, повышение энергообеспеченности агломерации.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Формирование института для решения вопросов взаимоувязанной градостроительной политики трех муниципальных образований агломерации.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Формирование единого инструмента градостроительной политики — цифрового документа территориального планирования и градостроительного регулирования «Большого Томска».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Формирование единой земельно-имущественной политики в целях резервирования территорий под строительство агломерационных инфраструктурных объектов, в том числе </w:t>
            </w:r>
            <w:r w:rsidRPr="00535A4B">
              <w:br/>
              <w:t>в части предложений по смягчению институциональных барьеров для развития территории в границах исторического поселения (необходимо учесть риски для реализации ключевого инфраструктурного проекта — «третий мост через р. Томь»)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Ключевые участники:</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Правительство Томской области — профильные департаменты,</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Департамент градостроительного развития Томской области,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Администрация г. Томска,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Администрация ЗАТО Северск,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Администрация Томского района,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lastRenderedPageBreak/>
              <w:t xml:space="preserve">— представители бизнеса ПАО «Томская домостроительная компания», АО «Сибагро», ООО «СЗ «Карьероуправление», </w:t>
            </w:r>
            <w:r w:rsidRPr="00535A4B">
              <w:br/>
              <w:t>АО «ОЭЗ ТВТ «Томск», АО «Сибирский химический комбинат» (ГК «Росатом»)</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lastRenderedPageBreak/>
              <w:t>Эффекты:</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Устранение пространственных дисбалансов в социально-экономическом развитии урбанизированной части Томской агломерации.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Упорядочение агломерационных процессов — интеграция рынков труда, жилищного строительства, транспортного обслуживания.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Взаимоувязка масштабных инвестиционных, в том числе инфраструктурных и крупных жилищных проектов с учетом индикаторов интегрированности.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Взаимоувязанное планирование расходов на развитие инфраструктуры и оказание общественных услуг населению</w:t>
            </w:r>
            <w:bookmarkEnd w:id="326"/>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Привязка к национальным проектам/</w:t>
            </w:r>
            <w:r w:rsidRPr="00535A4B">
              <w:br/>
              <w:t>федеральным документ ам:</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Стратегия пространственного развития Российской Федерации </w:t>
            </w:r>
            <w:r w:rsidRPr="00535A4B">
              <w:br/>
              <w:t>на период до 2030 года с прогнозом до 2036 года, Национальный проект «Инфраструктура для жизни», Федеральный проект «Региональная и местная дорожная сеть», «Модернизация коммунальной инфраструктуры»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t xml:space="preserve">Ожидаемые эффекты </w:t>
            </w:r>
            <w:r w:rsidRPr="00535A4B">
              <w:br/>
              <w:t>к 2036 году:</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Деконцентрация производственных функций в целях разгрузки густонаселенных территорий с высокой градостроительной ценностью от экологического и коммуникационного прессинга, размещение крупных промышленных предприятий </w:t>
            </w:r>
            <w:r w:rsidRPr="00535A4B">
              <w:br/>
              <w:t xml:space="preserve">и агропромышленных комплексов, главным образом </w:t>
            </w:r>
            <w:r w:rsidRPr="00535A4B">
              <w:br/>
              <w:t>на территории ЗАТО Северск, Копыловского и Корниловского сельских поселений.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Эффективное вовлечение ядра агломерации — пространства исторического поселения город Томск в социально-экономическую жизнь города;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Усиление позиций ядра агломерации г. Томска в качестве межрегионального научно-образовательного и инновационного центра;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Реализация масштабных проектов жилищного строительства региональных инвестиционно-строительных компаний ПАО «Томская домостроительная компания», АО «Сибагро», АО «ТОМ-ДОМ ТДСК», ООО «СЗ «Карьероуправление».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Интенсификация развития застроенных территорий через инструмент Комплексного развития застроенных территорий г. Томска (микрорайоны Черемошники, Сосновый Бор, территории вдоль р. Ушайка).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Ввод в эксплуатацию инновационного опытно-демонстрационного энергоблока </w:t>
            </w:r>
            <w:bookmarkStart w:id="327" w:name="_Hlk231405947"/>
            <w:r w:rsidRPr="00535A4B">
              <w:t xml:space="preserve">атомной электростанции </w:t>
            </w:r>
            <w:r w:rsidRPr="00535A4B">
              <w:br/>
              <w:t xml:space="preserve">АО «СХК» </w:t>
            </w:r>
            <w:bookmarkEnd w:id="327"/>
            <w:r w:rsidRPr="00535A4B">
              <w:t>с реактором на быстрых нейтронах установленной мощностью 300 МВт.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Техническое перевооружение выбывающих из эксплуатации ТЭЦ, в частности — за счет ускоренной реализации проекта </w:t>
            </w:r>
            <w:r w:rsidRPr="00535A4B">
              <w:br/>
              <w:t xml:space="preserve">по модернизации </w:t>
            </w:r>
            <w:bookmarkStart w:id="328" w:name="_Hlk231405980"/>
            <w:r w:rsidRPr="00535A4B">
              <w:t xml:space="preserve">ТЭЦ СХК </w:t>
            </w:r>
            <w:bookmarkEnd w:id="328"/>
            <w:r w:rsidRPr="00535A4B">
              <w:t>в г. Северске.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b/>
                <w:bCs/>
              </w:rPr>
            </w:pPr>
            <w:r w:rsidRPr="00535A4B">
              <w:rPr>
                <w:b/>
                <w:bCs/>
              </w:rPr>
              <w:t xml:space="preserve">Реализация стратегических инфраструктурных проектов </w:t>
            </w:r>
            <w:r w:rsidRPr="00535A4B">
              <w:rPr>
                <w:b/>
                <w:bCs/>
              </w:rPr>
              <w:br/>
              <w:t>и формирование современного транспортного каркаса Томской агломерации через:</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b/>
                <w:bCs/>
              </w:rPr>
            </w:pPr>
            <w:r w:rsidRPr="00535A4B">
              <w:lastRenderedPageBreak/>
              <w:t>—</w:t>
            </w:r>
            <w:r w:rsidRPr="00535A4B">
              <w:rPr>
                <w:b/>
                <w:bCs/>
              </w:rPr>
              <w:t> </w:t>
            </w:r>
            <w:r w:rsidRPr="00535A4B">
              <w:t>масштабную модернизацию Томской ГРЭС-2;</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строительство третьего моста через р. Томь в районе Нижнего Склада;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завершение строительства Левобережной автомобильной дороги;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реконструкцию автомобильной дороги Томск – Каргала – Колпашево на участке от Коммунального моста в г. Томске </w:t>
            </w:r>
            <w:r w:rsidRPr="00535A4B">
              <w:br/>
              <w:t>до с. Тимирязевское;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завершение строительства Малого транспортного кольца;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строительство транспортной развязки в разных уровнях </w:t>
            </w:r>
            <w:r w:rsidRPr="00535A4B">
              <w:br/>
              <w:t>на площади Транспортная в г. Томске;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реконструкцию Степановского переезда в г. Томске;</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строительство транспортной развязки на примыкании автомобильной дороги Томск – Аникино – Ярское </w:t>
            </w:r>
            <w:r w:rsidRPr="00535A4B">
              <w:br/>
              <w:t>к автомобильной дороге Томск – Аэропорт;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обеспечение связности районов города Томска и прилегающих территорий за счет эффективной маршрутизации общественного транспорта;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i/>
              </w:rPr>
            </w:pPr>
            <w:r w:rsidRPr="00535A4B">
              <w:t>— расширение парка общественного транспорта и обновление подвижного состава, в том числе замену автобусов малой вместимости на городские автобусы среднего и большого класса</w:t>
            </w:r>
            <w:r w:rsidRPr="00535A4B">
              <w:rPr>
                <w:i/>
              </w:rPr>
              <w:t>.</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iCs/>
              </w:rPr>
            </w:pPr>
            <w:r w:rsidRPr="00535A4B">
              <w:rPr>
                <w:iCs/>
              </w:rPr>
              <w:t>На долгосрочную перспективу: строительство автомобильной дороги Томск — Тайга и юго-восточного обхода г. Томск (включая четвертый мостовой переход через р. Томь)</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0000"/>
              <w:left w:val="single" w:sz="4" w:space="0" w:color="000000"/>
              <w:bottom w:val="single" w:sz="4" w:space="0" w:color="000000"/>
              <w:right w:val="single" w:sz="4" w:space="0" w:color="000000"/>
            </w:tcBorders>
          </w:tcPr>
          <w:p w:rsidR="00E618FE" w:rsidRPr="00535A4B" w:rsidRDefault="00800098">
            <w:r w:rsidRPr="00535A4B">
              <w:lastRenderedPageBreak/>
              <w:t xml:space="preserve">Ключевые направления </w:t>
            </w:r>
            <w:r w:rsidRPr="00535A4B">
              <w:br/>
              <w:t xml:space="preserve">за расчетный горизонт планирования </w:t>
            </w:r>
            <w:r w:rsidRPr="00535A4B">
              <w:br/>
              <w:t>(до 2050 года):</w:t>
            </w:r>
          </w:p>
        </w:tc>
        <w:tc>
          <w:tcPr>
            <w:tcW w:w="7088" w:type="dxa"/>
            <w:tcBorders>
              <w:top w:val="single" w:sz="4" w:space="0" w:color="000000"/>
              <w:left w:val="single" w:sz="4" w:space="0" w:color="000000"/>
              <w:bottom w:val="single" w:sz="4" w:space="0" w:color="000000"/>
              <w:right w:val="single" w:sz="4" w:space="0" w:color="000000"/>
            </w:tcBorders>
          </w:tcPr>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xml:space="preserve">В связи с активным развитием Северного промышленного узла </w:t>
            </w:r>
            <w:r w:rsidRPr="00535A4B">
              <w:br/>
              <w:t>на долгосрочную перспективу предусмотреть:</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строительство Большого транспортного кольца;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вынос грузового движения за пределы города за счет строительства технологической железнодорожной линии «Обход г. Томска»;</w:t>
            </w:r>
          </w:p>
          <w:p w:rsidR="00E618FE" w:rsidRPr="00535A4B" w:rsidRDefault="00800098">
            <w:pPr>
              <w:cnfStyle w:val="000000000000" w:firstRow="0" w:lastRow="0" w:firstColumn="0" w:lastColumn="0" w:oddVBand="0" w:evenVBand="0" w:oddHBand="0" w:evenHBand="0" w:firstRowFirstColumn="0" w:firstRowLastColumn="0" w:lastRowFirstColumn="0" w:lastRowLastColumn="0"/>
            </w:pPr>
            <w:r w:rsidRPr="00535A4B">
              <w:t>— как следствие — использование существующей железнодорожной инфраструктуры для пассажирских перевозок внутри Томска (модель «городской электрички»)</w:t>
            </w:r>
          </w:p>
        </w:tc>
      </w:tr>
    </w:tbl>
    <w:p w:rsidR="00E618FE" w:rsidRPr="00535A4B" w:rsidRDefault="00E618FE">
      <w:pPr>
        <w:rPr>
          <w:iCs/>
        </w:rPr>
      </w:pPr>
    </w:p>
    <w:p w:rsidR="00E618FE" w:rsidRPr="00535A4B" w:rsidRDefault="00800098">
      <w:r w:rsidRPr="00535A4B">
        <w:rPr>
          <w:noProof/>
        </w:rPr>
        <w:lastRenderedPageBreak/>
        <w:drawing>
          <wp:inline distT="0" distB="0" distL="0" distR="0">
            <wp:extent cx="5935345" cy="5320030"/>
            <wp:effectExtent l="0" t="0" r="8255" b="13970"/>
            <wp:docPr id="4" name="Изображение 1" descr="26.05.29 ТО Агломерация-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6.05.29 ТО Агломерация-01"/>
                    <pic:cNvPicPr>
                      <a:picLocks noChangeAspect="1"/>
                    </pic:cNvPicPr>
                  </pic:nvPicPr>
                  <pic:blipFill>
                    <a:blip r:embed="rId17"/>
                    <a:stretch/>
                  </pic:blipFill>
                  <pic:spPr bwMode="auto">
                    <a:xfrm>
                      <a:off x="0" y="0"/>
                      <a:ext cx="5935345" cy="5320030"/>
                    </a:xfrm>
                    <a:prstGeom prst="rect">
                      <a:avLst/>
                    </a:prstGeom>
                  </pic:spPr>
                </pic:pic>
              </a:graphicData>
            </a:graphic>
          </wp:inline>
        </w:drawing>
      </w:r>
    </w:p>
    <w:p w:rsidR="00E618FE" w:rsidRPr="00535A4B" w:rsidRDefault="00800098">
      <w:pPr>
        <w:pStyle w:val="aff0"/>
        <w:rPr>
          <w:rFonts w:ascii="Times New Roman" w:hAnsi="Times New Roman"/>
        </w:rPr>
      </w:pPr>
      <w:r w:rsidRPr="00535A4B">
        <w:rPr>
          <w:rFonts w:ascii="Times New Roman" w:hAnsi="Times New Roman"/>
        </w:rPr>
        <w:t>Рисунок Д.2 Стратегические направления градостроительного развития территории «Большой Томск»</w:t>
      </w:r>
    </w:p>
    <w:p w:rsidR="00E618FE" w:rsidRPr="00535A4B" w:rsidRDefault="00E618FE"/>
    <w:tbl>
      <w:tblPr>
        <w:tblStyle w:val="-14"/>
        <w:tblW w:w="9351" w:type="dxa"/>
        <w:tblLayout w:type="fixed"/>
        <w:tblCellMar>
          <w:top w:w="28" w:type="dxa"/>
          <w:bottom w:w="28" w:type="dxa"/>
        </w:tblCellMar>
        <w:tblLook w:val="04A0" w:firstRow="1" w:lastRow="0" w:firstColumn="1" w:lastColumn="0" w:noHBand="0" w:noVBand="1"/>
      </w:tblPr>
      <w:tblGrid>
        <w:gridCol w:w="2263"/>
        <w:gridCol w:w="7088"/>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DEEAF6" w:themeFill="accent1" w:themeFillTint="33"/>
          </w:tcPr>
          <w:p w:rsidR="00E618FE" w:rsidRPr="00535A4B" w:rsidRDefault="00800098">
            <w:pPr>
              <w:jc w:val="both"/>
            </w:pPr>
            <w:bookmarkStart w:id="329" w:name="_Hlk229071552"/>
            <w:r w:rsidRPr="00535A4B">
              <w:t>ФИ6.3. «Томск исторический: наследие как ресурс развития»</w:t>
            </w:r>
            <w:bookmarkEnd w:id="329"/>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Pr>
          <w:p w:rsidR="00E618FE" w:rsidRPr="00535A4B" w:rsidRDefault="00800098">
            <w:pPr>
              <w:ind w:left="284"/>
            </w:pPr>
            <w:r w:rsidRPr="00535A4B">
              <w:t>Цель:</w:t>
            </w:r>
          </w:p>
        </w:tc>
        <w:tc>
          <w:tcPr>
            <w:tcW w:w="7088"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Ревитализация и эффективное вовлечение пространства исторического поселения Город Томск в социально-экономическую жизнь города, формирование комфортных условий для самореализации активного населения. Местная идентичность как фактор инновационности города и стимул </w:t>
            </w:r>
            <w:r w:rsidRPr="00535A4B">
              <w:br/>
              <w:t>к сохранению и преумножению человеческого капитала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Pr>
          <w:p w:rsidR="00E618FE" w:rsidRPr="00535A4B" w:rsidRDefault="00800098">
            <w:pPr>
              <w:ind w:left="284"/>
            </w:pPr>
            <w:r w:rsidRPr="00535A4B">
              <w:t>Ключевые элементы:</w:t>
            </w:r>
          </w:p>
          <w:p w:rsidR="00E618FE" w:rsidRPr="00535A4B" w:rsidRDefault="00E618FE">
            <w:pPr>
              <w:ind w:left="284"/>
            </w:pPr>
          </w:p>
        </w:tc>
        <w:tc>
          <w:tcPr>
            <w:tcW w:w="7088"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Инициатива предусматривает межведомственное взаимодействие на региональном и муниципальном уровне, участие госкорпораций, присутствующих в регионе, частных компаний </w:t>
            </w:r>
            <w:r w:rsidRPr="00535A4B">
              <w:br/>
              <w:t>и представителей МСП.</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Дорожная карта включает: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подготовку предложений по оптимизации (адаптации </w:t>
            </w:r>
            <w:r w:rsidRPr="00535A4B">
              <w:br/>
              <w:t xml:space="preserve">к современным вызовам развития города) </w:t>
            </w:r>
            <w:r w:rsidRPr="00535A4B">
              <w:rPr>
                <w:b/>
                <w:bCs/>
              </w:rPr>
              <w:t>градостроительных регламентов в границах территории исторического поселения федерального значения Город Томск</w:t>
            </w:r>
            <w:r w:rsidRPr="00535A4B">
              <w:t xml:space="preserve"> в целях эффективного </w:t>
            </w:r>
            <w:r w:rsidRPr="00535A4B">
              <w:lastRenderedPageBreak/>
              <w:t>экономического развития градообразующего ядра Томской агломерации;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формирование современной инфраструктуры научно-образовательного комплекса (исторически обусловленного распределенного кампуса) и бизнес-кластеров, интегрированных </w:t>
            </w:r>
            <w:r w:rsidRPr="00535A4B">
              <w:br/>
              <w:t>в историческую городскую среду;</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формирование многофункционального активного пространства на территории исторического поселения за счет развития деловых, торговых, гостиничных функций и креативных индустрий </w:t>
            </w:r>
            <w:r w:rsidRPr="00535A4B">
              <w:br/>
              <w:t>в 13 исторических районах: Пески, Елань, Уржатка, Воскресенская и Юрточная горы, Болото, Заисточье, Татарская слобода и т.д., со смысловым наполнением, учитывающим исторические функции районов и запросы стейкхолдеров;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восстановление и сохранение уникальной историко-культурной среды, синхронизированное с развитием водно-зеленого каркаса (набережные рек Томи и Ушайки), исправлением «градостроительных ошибок 2000-х годов», новым строительством с учетом объемно-пространственного </w:t>
            </w:r>
            <w:r w:rsidRPr="00535A4B">
              <w:br/>
              <w:t xml:space="preserve">и архитектурного контекста;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активизация процессов в рамках реализации муниципального проекта «Дом за рубль», использования инструмента КРТ, волонтерского движения;</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участие потенциальных интересантов в государственно-частном партнерстве, получение государственной поддержки (через конкурсы Министерства культуры Российской Федерации и Федерации креативных индустрий);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создание учебно-научной лаборатории «Центр исследований экономики культуры, городского развития и креативных индустрий»;</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мониторинг и управление развитием территории Исторического поселения Город Томск с использованием цифровых технологий (на базе городской информационно-аналитической системы)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Pr>
          <w:p w:rsidR="00E618FE" w:rsidRPr="00535A4B" w:rsidRDefault="00800098">
            <w:pPr>
              <w:ind w:left="284"/>
            </w:pPr>
            <w:r w:rsidRPr="00535A4B">
              <w:lastRenderedPageBreak/>
              <w:t>Курирующие институты власти:</w:t>
            </w:r>
          </w:p>
        </w:tc>
        <w:tc>
          <w:tcPr>
            <w:tcW w:w="7088"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—Исполнительные органы Томской области при заместителях Губернатора Томской области и Заместителях Председателя Правительства Томской области: по строительству и архитектуре; по образованию, молодежной политике и цифровому развитию</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Администрация г. Томска</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Pr>
          <w:p w:rsidR="00E618FE" w:rsidRPr="00535A4B" w:rsidRDefault="00800098">
            <w:pPr>
              <w:ind w:left="284"/>
            </w:pPr>
            <w:r w:rsidRPr="00535A4B">
              <w:t>Ключевые участники:</w:t>
            </w:r>
          </w:p>
        </w:tc>
        <w:tc>
          <w:tcPr>
            <w:tcW w:w="7088"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 Департамент градостроительного развития Томской области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Департамент строительства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Комитет по охране объектов культурного наследия Томской области</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Администрация г. Томска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ФГАОУ ВО «Национальный исследовательский Томский государственный университет», ФГБОУ ВО «Томский государственный архитектурно-строительный университет», ФГАОУ ВО «Национальный исследовательский Томский политехнический университет»</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региональные градоформирующие строительные компании, инвесторы — Сибирский химический комбинат, частные компании (в рамках реализации программы КРТ и муниципального проекта «Дом за рубль»), Союз архитекторов России (ТРО), волонтерские организации.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Pr>
          <w:p w:rsidR="00E618FE" w:rsidRPr="00535A4B" w:rsidRDefault="00800098">
            <w:pPr>
              <w:ind w:left="284"/>
            </w:pPr>
            <w:r w:rsidRPr="00535A4B">
              <w:lastRenderedPageBreak/>
              <w:t>Эффекты:</w:t>
            </w:r>
          </w:p>
        </w:tc>
        <w:tc>
          <w:tcPr>
            <w:tcW w:w="7088"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Экономические: капитализация объектов историко-культурного наследия — памятники перестают быть нагрузкой на бюджет </w:t>
            </w:r>
            <w:r w:rsidRPr="00535A4B">
              <w:br/>
              <w:t>и начинают приносить доход.</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Социальные: создание новых рабочих мест в ядре агломерации; повышение качества жизни за счет создания комфортной транспортной и коммунальной инфраструктуры, современных общественных пространств.</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Градостроительные: комплексное развитие городской среды — регенерация, адаптация, интерпретация</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Pr>
          <w:p w:rsidR="00E618FE" w:rsidRPr="00535A4B" w:rsidRDefault="00800098">
            <w:pPr>
              <w:ind w:left="284"/>
            </w:pPr>
            <w:r w:rsidRPr="00535A4B">
              <w:t>Привязка к национальным проектам, федеральным документам и институтам развития:</w:t>
            </w:r>
          </w:p>
        </w:tc>
        <w:tc>
          <w:tcPr>
            <w:tcW w:w="7088"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НП «Инфраструктура для жизни» (инициативы «Формирование комфортной городской среды», «Модернизация коммунальной инфраструктуры»);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НП «Туризм и индустрия гостеприимства»;</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НП «Эффективная и конкурентная экономика» (федеральный проект «Малое и среднее предпринимательство и поддержка индивидуальной предпринимательской инициативы»);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Программа сохранения объектов культурного наследия народов Российской Федерации на период 2025–2045 годы (утверждена распоряжением Правительства Российской Федерации </w:t>
            </w:r>
            <w:r w:rsidRPr="00535A4B">
              <w:br/>
              <w:t xml:space="preserve">от 12.12.2025 № 3773-р), Федеральный закон «О развитии креативных (творческих) индустрий в Российской Федерации» </w:t>
            </w:r>
            <w:r w:rsidRPr="00535A4B">
              <w:br/>
              <w:t>от 08.08.2024 № 330-ФЗ;</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Программа сохранения культурного наследия фонда ДОМ.РФ — «Наследие.дом.рф»</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2263" w:type="dxa"/>
          </w:tcPr>
          <w:p w:rsidR="00E618FE" w:rsidRPr="00535A4B" w:rsidRDefault="00800098">
            <w:pPr>
              <w:ind w:left="284"/>
            </w:pPr>
            <w:r w:rsidRPr="00535A4B">
              <w:rPr>
                <w:b w:val="0"/>
                <w:bCs w:val="0"/>
              </w:rPr>
              <w:t xml:space="preserve">Ожидаемый эффект </w:t>
            </w:r>
            <w:r w:rsidRPr="00535A4B">
              <w:rPr>
                <w:b w:val="0"/>
                <w:bCs w:val="0"/>
              </w:rPr>
              <w:br/>
            </w:r>
            <w:r w:rsidRPr="00535A4B">
              <w:t>к 2036 году:</w:t>
            </w:r>
          </w:p>
        </w:tc>
        <w:tc>
          <w:tcPr>
            <w:tcW w:w="7088" w:type="dxa"/>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 xml:space="preserve">Сохранение и активация исторического наследия как ресурса экономического развития; синергия наследия и технологий; трансформация городской среды; привлечение частных инвестиций в реставрацию и ревитализацию исторической ткани; укрепление локальной идентичности Томской агломерации; рост туристической привлекательности. </w:t>
            </w:r>
          </w:p>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pPr>
            <w:r w:rsidRPr="00535A4B">
              <w:t>Историческое наследие становится фундаментом для создания новой эстетики и экономики города Томска и региона</w:t>
            </w:r>
          </w:p>
        </w:tc>
      </w:tr>
    </w:tbl>
    <w:p w:rsidR="00E618FE" w:rsidRPr="00535A4B" w:rsidRDefault="00E618FE"/>
    <w:p w:rsidR="00E618FE" w:rsidRPr="00535A4B" w:rsidRDefault="00800098">
      <w:pPr>
        <w:spacing w:after="160" w:line="259" w:lineRule="auto"/>
        <w:rPr>
          <w:sz w:val="28"/>
          <w:szCs w:val="28"/>
          <w:lang w:eastAsia="en-US" w:bidi="en-US"/>
        </w:rPr>
      </w:pPr>
      <w:r w:rsidRPr="00535A4B">
        <w:rPr>
          <w:lang w:eastAsia="en-US" w:bidi="en-US"/>
        </w:rPr>
        <w:br w:type="page" w:clear="all"/>
      </w:r>
    </w:p>
    <w:p w:rsidR="00E618FE" w:rsidRPr="00535A4B" w:rsidRDefault="00800098">
      <w:pPr>
        <w:pStyle w:val="1f8"/>
        <w:rPr>
          <w:rFonts w:ascii="Times New Roman" w:hAnsi="Times New Roman" w:cs="Times New Roman"/>
          <w:lang w:val="ru-RU"/>
        </w:rPr>
      </w:pPr>
      <w:bookmarkStart w:id="330" w:name="_Toc235810193"/>
      <w:bookmarkStart w:id="331" w:name="_Toc238554578"/>
      <w:r w:rsidRPr="00535A4B">
        <w:rPr>
          <w:rFonts w:ascii="Times New Roman" w:hAnsi="Times New Roman" w:cs="Times New Roman"/>
          <w:lang w:val="ru-RU"/>
        </w:rPr>
        <w:lastRenderedPageBreak/>
        <w:t>Приложение Е</w:t>
      </w:r>
      <w:bookmarkEnd w:id="330"/>
      <w:bookmarkEnd w:id="331"/>
    </w:p>
    <w:p w:rsidR="00E618FE" w:rsidRPr="00535A4B" w:rsidRDefault="00800098">
      <w:pPr>
        <w:pStyle w:val="2f"/>
        <w:rPr>
          <w:rFonts w:ascii="Times New Roman" w:hAnsi="Times New Roman" w:cs="Times New Roman"/>
        </w:rPr>
      </w:pPr>
      <w:bookmarkStart w:id="332" w:name="_Toc235810194"/>
      <w:bookmarkStart w:id="333" w:name="_Toc238554579"/>
      <w:r w:rsidRPr="00535A4B">
        <w:rPr>
          <w:rFonts w:ascii="Times New Roman" w:hAnsi="Times New Roman" w:cs="Times New Roman"/>
        </w:rPr>
        <w:t>Примерный перечень государственных программ Томской области</w:t>
      </w:r>
      <w:bookmarkEnd w:id="332"/>
      <w:bookmarkEnd w:id="333"/>
    </w:p>
    <w:p w:rsidR="00E618FE" w:rsidRPr="00535A4B" w:rsidRDefault="00800098">
      <w:pPr>
        <w:pStyle w:val="aff"/>
        <w:rPr>
          <w:rFonts w:ascii="Times New Roman" w:hAnsi="Times New Roman"/>
          <w:lang w:val="ru-RU"/>
        </w:rPr>
      </w:pPr>
      <w:r w:rsidRPr="00535A4B">
        <w:rPr>
          <w:rFonts w:ascii="Times New Roman" w:hAnsi="Times New Roman"/>
          <w:lang w:val="ru-RU"/>
        </w:rPr>
        <w:t>Таблица Е.1. Перечень государственных программ Томской области</w:t>
      </w:r>
    </w:p>
    <w:tbl>
      <w:tblPr>
        <w:tblStyle w:val="-110"/>
        <w:tblW w:w="0" w:type="auto"/>
        <w:tblLayout w:type="fixed"/>
        <w:tblCellMar>
          <w:top w:w="57" w:type="dxa"/>
          <w:bottom w:w="57" w:type="dxa"/>
        </w:tblCellMar>
        <w:tblLook w:val="04A0" w:firstRow="1" w:lastRow="0" w:firstColumn="1" w:lastColumn="0" w:noHBand="0" w:noVBand="1"/>
      </w:tblPr>
      <w:tblGrid>
        <w:gridCol w:w="3256"/>
        <w:gridCol w:w="6089"/>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after="120"/>
              <w:jc w:val="center"/>
              <w:rPr>
                <w14:ligatures w14:val="standardContextual"/>
              </w:rPr>
            </w:pPr>
            <w:r w:rsidRPr="00535A4B">
              <w:rPr>
                <w:b w:val="0"/>
                <w:bCs w:val="0"/>
                <w14:ligatures w14:val="standardContextual"/>
              </w:rPr>
              <w:t>Региональная цель</w:t>
            </w:r>
          </w:p>
        </w:tc>
        <w:tc>
          <w:tcPr>
            <w:tcW w:w="6089"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after="120"/>
              <w:jc w:val="center"/>
              <w:cnfStyle w:val="100000000000" w:firstRow="1" w:lastRow="0" w:firstColumn="0" w:lastColumn="0" w:oddVBand="0" w:evenVBand="0" w:oddHBand="0" w:evenHBand="0" w:firstRowFirstColumn="0" w:firstRowLastColumn="0" w:lastRowFirstColumn="0" w:lastRowLastColumn="0"/>
              <w:rPr>
                <w14:ligatures w14:val="standardContextual"/>
              </w:rPr>
            </w:pPr>
            <w:r w:rsidRPr="00535A4B">
              <w:rPr>
                <w:b w:val="0"/>
                <w:bCs w:val="0"/>
                <w14:ligatures w14:val="standardContextual"/>
              </w:rPr>
              <w:t>Государственные программы</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rPr>
                <w14:ligatures w14:val="standardContextual"/>
              </w:rPr>
            </w:pPr>
            <w:r w:rsidRPr="00535A4B">
              <w:rPr>
                <w:rFonts w:eastAsia="PT Astra Serif"/>
              </w:rPr>
              <w:t xml:space="preserve">Региональная цель 1 </w:t>
            </w:r>
            <w:r w:rsidRPr="00535A4B">
              <w:rPr>
                <w:rFonts w:eastAsia="PT Astra Serif"/>
              </w:rPr>
              <w:br/>
            </w:r>
            <w:r w:rsidRPr="00535A4B">
              <w:rPr>
                <w:rFonts w:eastAsia="PT Astra Serif"/>
                <w:b w:val="0"/>
                <w:bCs w:val="0"/>
              </w:rPr>
              <w:t xml:space="preserve">«Сохранение населения, укрепление здоровья </w:t>
            </w:r>
            <w:r w:rsidRPr="00535A4B">
              <w:rPr>
                <w:rFonts w:eastAsia="PT Astra Serif"/>
                <w:b w:val="0"/>
                <w:bCs w:val="0"/>
              </w:rPr>
              <w:br/>
              <w:t>и повышение благополучия людей, поддержка семьи»</w:t>
            </w:r>
          </w:p>
        </w:tc>
        <w:tc>
          <w:tcPr>
            <w:tcW w:w="6089"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1. Развитие здравоохранения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2. Развитие физической культуры и спорта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rPr>
                <w14:ligatures w14:val="standardContextual"/>
              </w:rPr>
            </w:pPr>
            <w:r w:rsidRPr="00535A4B">
              <w:t>3. Социальная поддержка населения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rPr>
                <w14:ligatures w14:val="standardContextual"/>
              </w:rPr>
            </w:pPr>
            <w:r w:rsidRPr="00535A4B">
              <w:t xml:space="preserve">Региональная цель 2 </w:t>
            </w:r>
            <w:r w:rsidRPr="00535A4B">
              <w:br/>
            </w:r>
            <w:r w:rsidRPr="00535A4B">
              <w:rPr>
                <w:b w:val="0"/>
                <w:bCs w:val="0"/>
              </w:rPr>
              <w:t>«Человеческий капитал и развитие талантов»</w:t>
            </w:r>
          </w:p>
        </w:tc>
        <w:tc>
          <w:tcPr>
            <w:tcW w:w="6089"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4. Развитие образования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5. Развитие молодежной политики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rPr>
                <w14:ligatures w14:val="standardContextual"/>
              </w:rPr>
            </w:pPr>
            <w:r w:rsidRPr="00535A4B">
              <w:t>6. Развитие культуры в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rPr>
                <w14:ligatures w14:val="standardContextual"/>
              </w:rPr>
            </w:pPr>
            <w:r w:rsidRPr="00535A4B">
              <w:t>Региональная цель 3</w:t>
            </w:r>
            <w:r w:rsidRPr="00535A4B">
              <w:br/>
            </w:r>
            <w:r w:rsidRPr="00535A4B">
              <w:rPr>
                <w:b w:val="0"/>
                <w:bCs w:val="0"/>
              </w:rPr>
              <w:t>«Устойчивое экономическое и технологическое развитие»</w:t>
            </w:r>
          </w:p>
        </w:tc>
        <w:tc>
          <w:tcPr>
            <w:tcW w:w="6089"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7. Научно-технологическое развитие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8. Развитие рынка труда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 xml:space="preserve">9. Развитие промышленности, инвестиционной </w:t>
            </w:r>
            <w:r w:rsidRPr="00535A4B">
              <w:br/>
              <w:t>и внешнеэкономической деятельности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rPr>
                <w14:ligatures w14:val="standardContextual"/>
              </w:rPr>
            </w:pPr>
            <w:r w:rsidRPr="00535A4B">
              <w:t>10. Развитие предпринимательства и туризма в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rPr>
                <w14:ligatures w14:val="standardContextual"/>
              </w:rPr>
            </w:pPr>
            <w:r w:rsidRPr="00535A4B">
              <w:t xml:space="preserve">Региональная цель 4 </w:t>
            </w:r>
            <w:r w:rsidRPr="00535A4B">
              <w:br/>
            </w:r>
            <w:r w:rsidRPr="00535A4B">
              <w:rPr>
                <w:b w:val="0"/>
                <w:bCs w:val="0"/>
              </w:rPr>
              <w:t>«Сбалансированное пространственное развитие, улучшение качества инфраструктуры</w:t>
            </w:r>
          </w:p>
        </w:tc>
        <w:tc>
          <w:tcPr>
            <w:tcW w:w="6089"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11. Комплексное развитие сельских территорий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12. Развитие транспортной системы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13. Развитие коммунальной инфраструктуры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rPr>
                <w14:ligatures w14:val="standardContextual"/>
              </w:rPr>
            </w:pPr>
            <w:r w:rsidRPr="00535A4B">
              <w:t>14. Жилье и городская среда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pPr>
            <w:r w:rsidRPr="00535A4B">
              <w:t xml:space="preserve">Региональная цель 5 </w:t>
            </w:r>
            <w:r w:rsidRPr="00535A4B">
              <w:br/>
            </w:r>
            <w:r w:rsidRPr="00535A4B">
              <w:rPr>
                <w:b w:val="0"/>
                <w:bCs w:val="0"/>
              </w:rPr>
              <w:t xml:space="preserve">«Рациональное использование природного капитала, экологическое благополучие и адаптация </w:t>
            </w:r>
            <w:r w:rsidRPr="00535A4B">
              <w:rPr>
                <w:b w:val="0"/>
                <w:bCs w:val="0"/>
              </w:rPr>
              <w:br/>
              <w:t>к изменениям климата»</w:t>
            </w:r>
          </w:p>
        </w:tc>
        <w:tc>
          <w:tcPr>
            <w:tcW w:w="6089"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 xml:space="preserve">15. Охрана окружающей среды, воспроизводство </w:t>
            </w:r>
            <w:r w:rsidRPr="00535A4B">
              <w:br/>
              <w:t xml:space="preserve">и рациональное использование природных ресурсов </w:t>
            </w:r>
            <w:r w:rsidRPr="00535A4B">
              <w:br/>
              <w:t>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 xml:space="preserve">16. Развитие сельского хозяйства, рынков сырья </w:t>
            </w:r>
            <w:r w:rsidRPr="00535A4B">
              <w:br/>
              <w:t>и продовольствия в Томской области</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120"/>
              <w:rPr>
                <w14:ligatures w14:val="standardContextual"/>
              </w:rPr>
            </w:pPr>
            <w:r w:rsidRPr="00535A4B">
              <w:t xml:space="preserve">Региональная цель 6 </w:t>
            </w:r>
            <w:r w:rsidRPr="00535A4B">
              <w:br/>
            </w:r>
            <w:r w:rsidRPr="00535A4B">
              <w:rPr>
                <w:b w:val="0"/>
                <w:bCs w:val="0"/>
              </w:rPr>
              <w:t>«Совершенствование государственного и муниципального управления. Цифровая трансформация»</w:t>
            </w:r>
          </w:p>
        </w:tc>
        <w:tc>
          <w:tcPr>
            <w:tcW w:w="6089" w:type="dxa"/>
            <w:tcBorders>
              <w:top w:val="single" w:sz="4" w:space="0" w:color="000000"/>
              <w:left w:val="single" w:sz="4" w:space="0" w:color="000000"/>
              <w:bottom w:val="single" w:sz="4" w:space="0" w:color="000000"/>
              <w:right w:val="single" w:sz="4" w:space="0" w:color="000000"/>
            </w:tcBorders>
          </w:tcPr>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 xml:space="preserve">17. Повышение эффективности регионального </w:t>
            </w:r>
            <w:r w:rsidRPr="00535A4B">
              <w:br/>
              <w:t>и муниципального управления 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18. Обеспечение безопасности населения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19. Эффективное управление государственным имуществом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pPr>
            <w:r w:rsidRPr="00535A4B">
              <w:t xml:space="preserve">20. Эффективное управление региональными финансами, государственными закупками </w:t>
            </w:r>
            <w:r w:rsidRPr="00535A4B">
              <w:br/>
              <w:t xml:space="preserve">и совершенствование межбюджетных отношений </w:t>
            </w:r>
            <w:r w:rsidRPr="00535A4B">
              <w:br/>
              <w:t>в Томской области</w:t>
            </w:r>
          </w:p>
          <w:p w:rsidR="00E618FE" w:rsidRPr="00535A4B" w:rsidRDefault="00800098">
            <w:pPr>
              <w:spacing w:before="40"/>
              <w:ind w:firstLine="34"/>
              <w:jc w:val="both"/>
              <w:cnfStyle w:val="000000000000" w:firstRow="0" w:lastRow="0" w:firstColumn="0" w:lastColumn="0" w:oddVBand="0" w:evenVBand="0" w:oddHBand="0" w:evenHBand="0" w:firstRowFirstColumn="0" w:firstRowLastColumn="0" w:lastRowFirstColumn="0" w:lastRowLastColumn="0"/>
              <w:rPr>
                <w14:ligatures w14:val="standardContextual"/>
              </w:rPr>
            </w:pPr>
            <w:r w:rsidRPr="00535A4B">
              <w:t>21. Развитие информационного общества в Томской области</w:t>
            </w:r>
          </w:p>
        </w:tc>
      </w:tr>
    </w:tbl>
    <w:p w:rsidR="00E618FE" w:rsidRPr="00535A4B" w:rsidRDefault="00800098">
      <w:r w:rsidRPr="00535A4B">
        <w:br w:type="page" w:clear="all"/>
      </w:r>
    </w:p>
    <w:p w:rsidR="00E618FE" w:rsidRPr="00535A4B" w:rsidRDefault="00800098" w:rsidP="00923B73">
      <w:pPr>
        <w:pStyle w:val="1f8"/>
        <w:rPr>
          <w:rFonts w:ascii="Times New Roman" w:hAnsi="Times New Roman" w:cs="Times New Roman"/>
          <w:lang w:val="ru-RU"/>
        </w:rPr>
      </w:pPr>
      <w:bookmarkStart w:id="334" w:name="_Toc238554580"/>
      <w:bookmarkStart w:id="335" w:name="_Toc235810195"/>
      <w:r w:rsidRPr="00535A4B">
        <w:rPr>
          <w:rFonts w:ascii="Times New Roman" w:hAnsi="Times New Roman" w:cs="Times New Roman"/>
          <w:lang w:val="ru-RU"/>
        </w:rPr>
        <w:lastRenderedPageBreak/>
        <w:t>ПРИЛОЖЕНИЕ Ж</w:t>
      </w:r>
      <w:bookmarkEnd w:id="334"/>
    </w:p>
    <w:p w:rsidR="00E618FE" w:rsidRPr="00535A4B" w:rsidRDefault="00800098" w:rsidP="00923B73">
      <w:pPr>
        <w:pStyle w:val="1f8"/>
        <w:rPr>
          <w:rFonts w:ascii="Times New Roman" w:hAnsi="Times New Roman" w:cs="Times New Roman"/>
          <w:lang w:val="ru-RU"/>
        </w:rPr>
      </w:pPr>
      <w:bookmarkStart w:id="336" w:name="_Toc238554581"/>
      <w:r w:rsidRPr="00535A4B">
        <w:rPr>
          <w:rFonts w:ascii="Times New Roman" w:hAnsi="Times New Roman" w:cs="Times New Roman"/>
          <w:lang w:val="ru-RU"/>
        </w:rPr>
        <w:t>Информация о реализации Программы развития инфраструктуры в опорных населенных пунктах Томской области</w:t>
      </w:r>
      <w:bookmarkEnd w:id="336"/>
    </w:p>
    <w:p w:rsidR="00E618FE" w:rsidRPr="00535A4B" w:rsidRDefault="00E618FE">
      <w:pPr>
        <w:pStyle w:val="af6"/>
        <w:spacing w:before="0" w:beforeAutospacing="0" w:after="0" w:afterAutospacing="0"/>
        <w:ind w:firstLine="709"/>
        <w:rPr>
          <w:rFonts w:ascii="Times New Roman" w:hAnsi="Times New Roman"/>
          <w:sz w:val="28"/>
          <w:szCs w:val="28"/>
          <w:lang w:val="ru-RU"/>
        </w:rPr>
      </w:pPr>
    </w:p>
    <w:p w:rsidR="00E618FE" w:rsidRPr="006739D7" w:rsidRDefault="00800098">
      <w:pPr>
        <w:ind w:firstLine="709"/>
        <w:jc w:val="both"/>
        <w:rPr>
          <w:sz w:val="26"/>
          <w:szCs w:val="26"/>
        </w:rPr>
      </w:pPr>
      <w:r w:rsidRPr="006739D7">
        <w:rPr>
          <w:sz w:val="26"/>
          <w:szCs w:val="26"/>
        </w:rPr>
        <w:t xml:space="preserve">Указом Президента Российской Федерации от 07.05.2024 № 309 </w:t>
      </w:r>
      <w:r w:rsidR="006739D7">
        <w:rPr>
          <w:sz w:val="26"/>
          <w:szCs w:val="26"/>
        </w:rPr>
        <w:br/>
      </w:r>
      <w:r w:rsidRPr="006739D7">
        <w:rPr>
          <w:sz w:val="26"/>
          <w:szCs w:val="26"/>
        </w:rPr>
        <w:t xml:space="preserve">«О национальных целях развития Российской Федерации на период до 2030 года </w:t>
      </w:r>
      <w:r w:rsidR="006739D7">
        <w:rPr>
          <w:sz w:val="26"/>
          <w:szCs w:val="26"/>
        </w:rPr>
        <w:br/>
      </w:r>
      <w:r w:rsidRPr="006739D7">
        <w:rPr>
          <w:sz w:val="26"/>
          <w:szCs w:val="26"/>
        </w:rPr>
        <w:t xml:space="preserve">и на перспективу до 2036 года» определены целевые показатели, характеризующие достижение национальных целей. Один из ключевых показателей национальной цели «Комфортная и безопасная среда для жизни» – «Улучшение качества среды </w:t>
      </w:r>
      <w:r w:rsidR="006739D7">
        <w:rPr>
          <w:sz w:val="26"/>
          <w:szCs w:val="26"/>
        </w:rPr>
        <w:br/>
      </w:r>
      <w:r w:rsidRPr="006739D7">
        <w:rPr>
          <w:sz w:val="26"/>
          <w:szCs w:val="26"/>
        </w:rPr>
        <w:t>для жизни в опорных населенных пунктах» на 30% к 2030 году и на 60% к 2036 году.</w:t>
      </w:r>
    </w:p>
    <w:p w:rsidR="00E618FE" w:rsidRPr="006739D7" w:rsidRDefault="00800098">
      <w:pPr>
        <w:ind w:firstLine="709"/>
        <w:jc w:val="both"/>
        <w:rPr>
          <w:sz w:val="26"/>
          <w:szCs w:val="26"/>
        </w:rPr>
      </w:pPr>
      <w:r w:rsidRPr="006739D7">
        <w:rPr>
          <w:sz w:val="26"/>
          <w:szCs w:val="26"/>
        </w:rPr>
        <w:t>Показатель «Улучшение качества среды для жизни в опорных населенных пунктах» является одним из 21 показателя Указа Президента Российской Федерации от 28.10.2024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E618FE" w:rsidRPr="006739D7" w:rsidRDefault="00800098">
      <w:pPr>
        <w:ind w:firstLine="709"/>
        <w:jc w:val="both"/>
        <w:rPr>
          <w:sz w:val="26"/>
          <w:szCs w:val="26"/>
        </w:rPr>
      </w:pPr>
      <w:r w:rsidRPr="006739D7">
        <w:rPr>
          <w:sz w:val="26"/>
          <w:szCs w:val="26"/>
        </w:rPr>
        <w:t xml:space="preserve">Методика расчета показателя «Улучшение качества среды для жизни </w:t>
      </w:r>
      <w:r w:rsidR="006739D7">
        <w:rPr>
          <w:sz w:val="26"/>
          <w:szCs w:val="26"/>
        </w:rPr>
        <w:br/>
      </w:r>
      <w:r w:rsidRPr="006739D7">
        <w:rPr>
          <w:sz w:val="26"/>
          <w:szCs w:val="26"/>
        </w:rPr>
        <w:t xml:space="preserve">в опорных населенных пунктах» утверждена приказом Минстроя России </w:t>
      </w:r>
      <w:r w:rsidR="00EB06DD">
        <w:rPr>
          <w:sz w:val="26"/>
          <w:szCs w:val="26"/>
        </w:rPr>
        <w:br/>
      </w:r>
      <w:r w:rsidRPr="006739D7">
        <w:rPr>
          <w:sz w:val="26"/>
          <w:szCs w:val="26"/>
        </w:rPr>
        <w:t xml:space="preserve">от 09.06.2026 № 363/пр «Об утверждении методики расчета показателя «Улучшение качества среды для жизни в опорных населенных пунктах» федерального проекта «Развитие инфраструктуры в населенных пунктах» национального проекта «Инфраструктура для жизни». </w:t>
      </w:r>
    </w:p>
    <w:p w:rsidR="00E618FE" w:rsidRPr="006739D7" w:rsidRDefault="00800098">
      <w:pPr>
        <w:ind w:firstLine="709"/>
        <w:jc w:val="both"/>
        <w:rPr>
          <w:sz w:val="26"/>
          <w:szCs w:val="26"/>
        </w:rPr>
      </w:pPr>
      <w:r w:rsidRPr="006739D7">
        <w:rPr>
          <w:sz w:val="26"/>
          <w:szCs w:val="26"/>
        </w:rPr>
        <w:t>Показатель включает в себя 16 отраслевых компонентов.</w:t>
      </w:r>
    </w:p>
    <w:p w:rsidR="00E618FE" w:rsidRPr="00535A4B" w:rsidRDefault="00E618FE">
      <w:pPr>
        <w:ind w:firstLine="709"/>
        <w:jc w:val="center"/>
        <w:rPr>
          <w:sz w:val="28"/>
          <w:szCs w:val="28"/>
        </w:rPr>
      </w:pPr>
    </w:p>
    <w:p w:rsidR="00E618FE" w:rsidRPr="00535A4B" w:rsidRDefault="00800098">
      <w:pPr>
        <w:jc w:val="center"/>
        <w:rPr>
          <w:b/>
          <w:sz w:val="28"/>
          <w:szCs w:val="28"/>
        </w:rPr>
      </w:pPr>
      <w:r w:rsidRPr="00535A4B">
        <w:rPr>
          <w:b/>
          <w:sz w:val="28"/>
          <w:szCs w:val="28"/>
        </w:rPr>
        <w:t xml:space="preserve">Перечень компонентов показателя </w:t>
      </w:r>
    </w:p>
    <w:p w:rsidR="00E618FE" w:rsidRPr="00535A4B" w:rsidRDefault="00800098">
      <w:pPr>
        <w:jc w:val="center"/>
        <w:rPr>
          <w:b/>
          <w:sz w:val="28"/>
          <w:szCs w:val="28"/>
        </w:rPr>
      </w:pPr>
      <w:r w:rsidRPr="00535A4B">
        <w:rPr>
          <w:b/>
          <w:sz w:val="28"/>
          <w:szCs w:val="28"/>
        </w:rPr>
        <w:t>«Улучшение качества среды для жизни в опорных населенных пунктах»</w:t>
      </w:r>
    </w:p>
    <w:p w:rsidR="00E618FE" w:rsidRPr="00535A4B" w:rsidRDefault="00E618FE">
      <w:pPr>
        <w:ind w:firstLine="709"/>
        <w:jc w:val="center"/>
        <w:rPr>
          <w:b/>
          <w:sz w:val="28"/>
          <w:szCs w:val="28"/>
        </w:rPr>
      </w:pPr>
    </w:p>
    <w:tbl>
      <w:tblPr>
        <w:tblStyle w:val="af0"/>
        <w:tblW w:w="0" w:type="auto"/>
        <w:tblLook w:val="04A0" w:firstRow="1" w:lastRow="0" w:firstColumn="1" w:lastColumn="0" w:noHBand="0" w:noVBand="1"/>
      </w:tblPr>
      <w:tblGrid>
        <w:gridCol w:w="594"/>
        <w:gridCol w:w="8751"/>
      </w:tblGrid>
      <w:tr w:rsidR="00E618FE" w:rsidRPr="00535A4B">
        <w:tc>
          <w:tcPr>
            <w:tcW w:w="534" w:type="dxa"/>
          </w:tcPr>
          <w:p w:rsidR="00E618FE" w:rsidRPr="00535A4B" w:rsidRDefault="00800098">
            <w:pPr>
              <w:pStyle w:val="af6"/>
              <w:spacing w:before="0" w:beforeAutospacing="0" w:after="0" w:afterAutospacing="0"/>
              <w:jc w:val="center"/>
              <w:rPr>
                <w:rFonts w:ascii="Times New Roman" w:hAnsi="Times New Roman"/>
                <w:sz w:val="28"/>
                <w:szCs w:val="28"/>
              </w:rPr>
            </w:pPr>
            <w:r w:rsidRPr="00535A4B">
              <w:rPr>
                <w:rFonts w:ascii="Times New Roman" w:hAnsi="Times New Roman"/>
                <w:sz w:val="28"/>
                <w:szCs w:val="28"/>
              </w:rPr>
              <w:t>№ п/п</w:t>
            </w:r>
          </w:p>
        </w:tc>
        <w:tc>
          <w:tcPr>
            <w:tcW w:w="9037" w:type="dxa"/>
          </w:tcPr>
          <w:p w:rsidR="00E618FE" w:rsidRPr="00535A4B" w:rsidRDefault="00800098">
            <w:pPr>
              <w:pStyle w:val="af6"/>
              <w:spacing w:before="0" w:beforeAutospacing="0" w:after="0" w:afterAutospacing="0"/>
              <w:jc w:val="center"/>
              <w:rPr>
                <w:rFonts w:ascii="Times New Roman" w:hAnsi="Times New Roman"/>
                <w:sz w:val="28"/>
                <w:szCs w:val="28"/>
              </w:rPr>
            </w:pPr>
            <w:r w:rsidRPr="00535A4B">
              <w:rPr>
                <w:rFonts w:ascii="Times New Roman" w:hAnsi="Times New Roman"/>
                <w:sz w:val="28"/>
                <w:szCs w:val="28"/>
              </w:rPr>
              <w:t xml:space="preserve">Компонент показателя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1.</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общей площади жилых помещений, приходящихся </w:t>
            </w:r>
            <w:r w:rsidRPr="00535A4B">
              <w:rPr>
                <w:rFonts w:ascii="Times New Roman" w:hAnsi="Times New Roman"/>
                <w:sz w:val="28"/>
                <w:szCs w:val="28"/>
                <w:lang w:val="ru-RU"/>
              </w:rPr>
              <w:br/>
              <w:t xml:space="preserve">в среднем на одного жителя,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2.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обновленного жилищного фонда с базового периода,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3.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граждан, переселенных из непригодного </w:t>
            </w:r>
            <w:r w:rsidRPr="00535A4B">
              <w:rPr>
                <w:rFonts w:ascii="Times New Roman" w:hAnsi="Times New Roman"/>
                <w:sz w:val="28"/>
                <w:szCs w:val="28"/>
                <w:lang w:val="ru-RU"/>
              </w:rPr>
              <w:br/>
              <w:t>для проживания жилищного фонда,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4.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населения, для которого улучшится качество предоставляемых коммунальных услуг (в сфере тепло-, водоснабжения и водоотведения),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5.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домовладений, подключенных к сетевому природному газу, в том числе в рамках программы социальной газификации,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6.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Увеличение доли домохозяйств, которым обеспечена возможность широкополосного доступа к информационно-телекоммуникационной сети «Интернет»,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7.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Снижение доли несанкционированных свалок отходов, %  </w:t>
            </w:r>
          </w:p>
          <w:p w:rsidR="00E618FE" w:rsidRPr="00535A4B" w:rsidRDefault="00E618FE">
            <w:pPr>
              <w:pStyle w:val="af6"/>
              <w:spacing w:before="0" w:beforeAutospacing="0" w:after="0" w:afterAutospacing="0" w:line="288" w:lineRule="atLeast"/>
              <w:rPr>
                <w:rFonts w:ascii="Times New Roman" w:hAnsi="Times New Roman"/>
                <w:sz w:val="28"/>
                <w:szCs w:val="28"/>
                <w:lang w:val="ru-RU"/>
              </w:rPr>
            </w:pP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lastRenderedPageBreak/>
              <w:t xml:space="preserve">8.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парка подвижного состава общественного транспорта, имеющего срок эксплуатации не старше нормативного,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9.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улично-дорожной сети в ОНП, находящейся </w:t>
            </w:r>
            <w:r w:rsidRPr="00535A4B">
              <w:rPr>
                <w:rFonts w:ascii="Times New Roman" w:hAnsi="Times New Roman"/>
                <w:sz w:val="28"/>
                <w:szCs w:val="28"/>
                <w:lang w:val="ru-RU"/>
              </w:rPr>
              <w:br/>
              <w:t xml:space="preserve">в нормативном состоянии,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10.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общей площади мест приложения труда (нежилой недвижимости), обновленной с базового периода,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11.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Увеличение доли объектов (дошкольного и общего) образования, находящихся в удовлетворительном состоянии (не требующих капитального ремонта),</w:t>
            </w:r>
            <w:r w:rsidRPr="00535A4B">
              <w:rPr>
                <w:rFonts w:ascii="Times New Roman" w:hAnsi="Times New Roman"/>
                <w:lang w:val="ru-RU"/>
              </w:rPr>
              <w:t xml:space="preserve"> </w:t>
            </w:r>
            <w:r w:rsidRPr="00535A4B">
              <w:rPr>
                <w:rFonts w:ascii="Times New Roman" w:hAnsi="Times New Roman"/>
                <w:sz w:val="28"/>
                <w:szCs w:val="28"/>
                <w:lang w:val="ru-RU"/>
              </w:rPr>
              <w:t xml:space="preserve">%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12.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объектов первичной медико-санитарной помощи государственных медицинских организаций, находящихся </w:t>
            </w:r>
            <w:r w:rsidRPr="00535A4B">
              <w:rPr>
                <w:rFonts w:ascii="Times New Roman" w:hAnsi="Times New Roman"/>
                <w:sz w:val="28"/>
                <w:szCs w:val="28"/>
                <w:lang w:val="ru-RU"/>
              </w:rPr>
              <w:br/>
              <w:t xml:space="preserve">в удовлетворительном состоянии (имеющих физический износ менее 60% и не находящихся в аварийном состоянии),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13.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обеспеченности граждан спортивными сооружениями исходя из единовременной пропускной способности объектов спорта,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14.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 xml:space="preserve">Увеличение доли объектов организаций культурно-досугового типа </w:t>
            </w:r>
            <w:r w:rsidRPr="00535A4B">
              <w:rPr>
                <w:rFonts w:ascii="Times New Roman" w:hAnsi="Times New Roman"/>
                <w:sz w:val="28"/>
                <w:szCs w:val="28"/>
                <w:lang w:val="ru-RU"/>
              </w:rPr>
              <w:br/>
              <w:t xml:space="preserve">и библиотек, находящихся в удовлетворительном состоянии, %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15.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Увеличение доли площади благоустроенных общественных территорий в опорном населенном пункте, %</w:t>
            </w:r>
          </w:p>
        </w:tc>
      </w:tr>
      <w:tr w:rsidR="00E618FE" w:rsidRPr="00535A4B">
        <w:tc>
          <w:tcPr>
            <w:tcW w:w="534" w:type="dxa"/>
          </w:tcPr>
          <w:p w:rsidR="00E618FE" w:rsidRPr="00535A4B" w:rsidRDefault="00800098">
            <w:pPr>
              <w:pStyle w:val="af6"/>
              <w:spacing w:before="0" w:beforeAutospacing="0" w:after="0" w:afterAutospacing="0" w:line="288" w:lineRule="atLeast"/>
              <w:rPr>
                <w:rFonts w:ascii="Times New Roman" w:hAnsi="Times New Roman"/>
                <w:sz w:val="28"/>
                <w:szCs w:val="28"/>
              </w:rPr>
            </w:pPr>
            <w:r w:rsidRPr="00535A4B">
              <w:rPr>
                <w:rFonts w:ascii="Times New Roman" w:hAnsi="Times New Roman"/>
                <w:sz w:val="28"/>
                <w:szCs w:val="28"/>
              </w:rPr>
              <w:t xml:space="preserve">16. </w:t>
            </w:r>
          </w:p>
        </w:tc>
        <w:tc>
          <w:tcPr>
            <w:tcW w:w="9037" w:type="dxa"/>
          </w:tcPr>
          <w:p w:rsidR="00E618FE" w:rsidRPr="00535A4B" w:rsidRDefault="00800098">
            <w:pPr>
              <w:pStyle w:val="af6"/>
              <w:spacing w:before="0" w:beforeAutospacing="0" w:after="0" w:afterAutospacing="0" w:line="288" w:lineRule="atLeast"/>
              <w:rPr>
                <w:rFonts w:ascii="Times New Roman" w:hAnsi="Times New Roman"/>
                <w:sz w:val="28"/>
                <w:szCs w:val="28"/>
                <w:lang w:val="ru-RU"/>
              </w:rPr>
            </w:pPr>
            <w:r w:rsidRPr="00535A4B">
              <w:rPr>
                <w:rFonts w:ascii="Times New Roman" w:hAnsi="Times New Roman"/>
                <w:sz w:val="28"/>
                <w:szCs w:val="28"/>
                <w:lang w:val="ru-RU"/>
              </w:rPr>
              <w:t>Увеличение доли населения, проживающего в опорных населенных пунктах, для которого улучшилась транспортная связанность, %</w:t>
            </w:r>
          </w:p>
        </w:tc>
      </w:tr>
    </w:tbl>
    <w:p w:rsidR="00E618FE" w:rsidRPr="00535A4B" w:rsidRDefault="00E618FE">
      <w:pPr>
        <w:pStyle w:val="31"/>
        <w:spacing w:before="0" w:after="0"/>
        <w:jc w:val="center"/>
        <w:rPr>
          <w:rFonts w:ascii="Times New Roman" w:hAnsi="Times New Roman" w:cs="Times New Roman"/>
          <w:szCs w:val="28"/>
          <w:lang w:val="ru-RU"/>
        </w:rPr>
      </w:pPr>
    </w:p>
    <w:p w:rsidR="00E618FE" w:rsidRPr="00EB06DD" w:rsidRDefault="00800098">
      <w:pPr>
        <w:keepNext/>
        <w:keepLines/>
        <w:ind w:firstLine="709"/>
        <w:jc w:val="both"/>
        <w:outlineLvl w:val="2"/>
        <w:rPr>
          <w:rFonts w:eastAsia="Liberation Sans"/>
          <w:bCs/>
          <w:sz w:val="26"/>
          <w:szCs w:val="26"/>
          <w:lang w:bidi="en-US"/>
        </w:rPr>
      </w:pPr>
      <w:r w:rsidRPr="00EB06DD">
        <w:rPr>
          <w:rFonts w:eastAsia="Liberation Sans"/>
          <w:bCs/>
          <w:sz w:val="26"/>
          <w:szCs w:val="26"/>
          <w:lang w:bidi="en-US"/>
        </w:rPr>
        <w:t xml:space="preserve">Расчет отраслевых компонентов показателя, сбор данных и мониторинг осуществляется с применением автоматизированной информационной системы публично-правовой компании «Фонд развития территории», в соответствии </w:t>
      </w:r>
      <w:r w:rsidR="00EB06DD">
        <w:rPr>
          <w:rFonts w:eastAsia="Liberation Sans"/>
          <w:bCs/>
          <w:sz w:val="26"/>
          <w:szCs w:val="26"/>
          <w:lang w:bidi="en-US"/>
        </w:rPr>
        <w:br/>
      </w:r>
      <w:r w:rsidRPr="00EB06DD">
        <w:rPr>
          <w:rFonts w:eastAsia="Liberation Sans"/>
          <w:bCs/>
          <w:sz w:val="26"/>
          <w:szCs w:val="26"/>
          <w:lang w:bidi="en-US"/>
        </w:rPr>
        <w:t xml:space="preserve">с формами, установленными федеральными Правилами разработки, утверждения </w:t>
      </w:r>
      <w:r w:rsidR="00EB06DD">
        <w:rPr>
          <w:rFonts w:eastAsia="Liberation Sans"/>
          <w:bCs/>
          <w:sz w:val="26"/>
          <w:szCs w:val="26"/>
          <w:lang w:bidi="en-US"/>
        </w:rPr>
        <w:br/>
      </w:r>
      <w:r w:rsidRPr="00EB06DD">
        <w:rPr>
          <w:rFonts w:eastAsia="Liberation Sans"/>
          <w:bCs/>
          <w:sz w:val="26"/>
          <w:szCs w:val="26"/>
          <w:lang w:bidi="en-US"/>
        </w:rPr>
        <w:t>и мониторинга реализации программ развития инфраструкт</w:t>
      </w:r>
      <w:r w:rsidR="000C50E8">
        <w:rPr>
          <w:rFonts w:eastAsia="Liberation Sans"/>
          <w:bCs/>
          <w:sz w:val="26"/>
          <w:szCs w:val="26"/>
          <w:lang w:bidi="en-US"/>
        </w:rPr>
        <w:t>уры опорных населенных пунктов,</w:t>
      </w:r>
      <w:r w:rsidRPr="00EB06DD">
        <w:rPr>
          <w:rFonts w:eastAsia="Liberation Sans"/>
          <w:bCs/>
          <w:sz w:val="26"/>
          <w:szCs w:val="26"/>
          <w:lang w:bidi="en-US"/>
        </w:rPr>
        <w:t xml:space="preserve"> где предусмотрена динамика значений в разрезе </w:t>
      </w:r>
      <w:r w:rsidR="00EB06DD">
        <w:rPr>
          <w:rFonts w:eastAsia="Liberation Sans"/>
          <w:bCs/>
          <w:sz w:val="26"/>
          <w:szCs w:val="26"/>
          <w:lang w:bidi="en-US"/>
        </w:rPr>
        <w:br/>
      </w:r>
      <w:r w:rsidRPr="00EB06DD">
        <w:rPr>
          <w:rFonts w:eastAsia="Liberation Sans"/>
          <w:bCs/>
          <w:sz w:val="26"/>
          <w:szCs w:val="26"/>
          <w:lang w:bidi="en-US"/>
        </w:rPr>
        <w:t>всех 16 компонентов.</w:t>
      </w:r>
    </w:p>
    <w:p w:rsidR="00E618FE" w:rsidRPr="00535A4B" w:rsidRDefault="00800098">
      <w:pPr>
        <w:keepNext/>
        <w:keepLines/>
        <w:ind w:firstLine="709"/>
        <w:jc w:val="both"/>
        <w:outlineLvl w:val="2"/>
        <w:rPr>
          <w:rFonts w:eastAsia="Liberation Sans"/>
          <w:bCs/>
          <w:sz w:val="28"/>
          <w:szCs w:val="32"/>
          <w:lang w:bidi="en-US"/>
        </w:rPr>
      </w:pPr>
      <w:r w:rsidRPr="00535A4B">
        <w:rPr>
          <w:rFonts w:eastAsia="Liberation Sans"/>
          <w:bCs/>
          <w:sz w:val="28"/>
          <w:szCs w:val="32"/>
          <w:lang w:bidi="en-US"/>
        </w:rPr>
        <w:t xml:space="preserve"> </w:t>
      </w:r>
    </w:p>
    <w:p w:rsidR="00E618FE" w:rsidRPr="00535A4B" w:rsidRDefault="00800098">
      <w:pPr>
        <w:pStyle w:val="31"/>
        <w:spacing w:before="0" w:after="0"/>
        <w:ind w:firstLine="0"/>
        <w:jc w:val="center"/>
        <w:rPr>
          <w:rFonts w:ascii="Times New Roman" w:hAnsi="Times New Roman" w:cs="Times New Roman"/>
          <w:szCs w:val="28"/>
          <w:lang w:val="ru-RU"/>
        </w:rPr>
      </w:pPr>
      <w:r w:rsidRPr="00535A4B">
        <w:rPr>
          <w:rFonts w:ascii="Times New Roman" w:hAnsi="Times New Roman" w:cs="Times New Roman"/>
          <w:szCs w:val="28"/>
        </w:rPr>
        <w:t>I</w:t>
      </w:r>
      <w:r w:rsidRPr="00535A4B">
        <w:rPr>
          <w:rFonts w:ascii="Times New Roman" w:hAnsi="Times New Roman" w:cs="Times New Roman"/>
          <w:szCs w:val="28"/>
          <w:lang w:val="ru-RU"/>
        </w:rPr>
        <w:t xml:space="preserve">. Плановые значения Показателя «Улучшение качества среды </w:t>
      </w:r>
      <w:r w:rsidRPr="00535A4B">
        <w:rPr>
          <w:rFonts w:ascii="Times New Roman" w:hAnsi="Times New Roman" w:cs="Times New Roman"/>
          <w:szCs w:val="28"/>
          <w:lang w:val="ru-RU"/>
        </w:rPr>
        <w:br/>
        <w:t>для жизни в опорных населённых пунктах» в Томской области</w:t>
      </w:r>
    </w:p>
    <w:p w:rsidR="00E618FE" w:rsidRPr="00535A4B" w:rsidRDefault="00E618FE">
      <w:pPr>
        <w:rPr>
          <w:lang w:bidi="en-US"/>
        </w:rPr>
      </w:pPr>
    </w:p>
    <w:tbl>
      <w:tblPr>
        <w:tblStyle w:val="-110"/>
        <w:tblW w:w="0" w:type="auto"/>
        <w:tblLayout w:type="fixed"/>
        <w:tblLook w:val="04A0" w:firstRow="1" w:lastRow="0" w:firstColumn="1" w:lastColumn="0" w:noHBand="0" w:noVBand="1"/>
      </w:tblPr>
      <w:tblGrid>
        <w:gridCol w:w="533"/>
        <w:gridCol w:w="3827"/>
        <w:gridCol w:w="992"/>
        <w:gridCol w:w="992"/>
        <w:gridCol w:w="992"/>
        <w:gridCol w:w="992"/>
        <w:gridCol w:w="992"/>
      </w:tblGrid>
      <w:tr w:rsidR="00E618FE" w:rsidRPr="00535A4B" w:rsidTr="00E61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Borders>
              <w:top w:val="single" w:sz="4" w:space="0" w:color="000000"/>
              <w:left w:val="single" w:sz="4" w:space="0" w:color="000000"/>
              <w:bottom w:val="single" w:sz="4" w:space="0" w:color="000000"/>
              <w:right w:val="single" w:sz="4" w:space="0" w:color="000000"/>
            </w:tcBorders>
          </w:tcPr>
          <w:p w:rsidR="00E618FE" w:rsidRPr="00535A4B" w:rsidRDefault="00800098">
            <w:pPr>
              <w:rPr>
                <w:lang w:eastAsia="ar-SA"/>
              </w:rPr>
            </w:pPr>
            <w:r w:rsidRPr="00535A4B">
              <w:rPr>
                <w:b w:val="0"/>
                <w:bCs w:val="0"/>
                <w:lang w:eastAsia="ar-SA"/>
              </w:rPr>
              <w:t>№</w:t>
            </w:r>
          </w:p>
        </w:tc>
        <w:tc>
          <w:tcPr>
            <w:tcW w:w="382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Значения Показателя «Улучшение качества среды для жизни в опорных населённых пунктах»</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2026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2027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2028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2029 г.</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100000000000" w:firstRow="1" w:lastRow="0" w:firstColumn="0" w:lastColumn="0" w:oddVBand="0" w:evenVBand="0" w:oddHBand="0" w:evenHBand="0" w:firstRowFirstColumn="0" w:firstRowLastColumn="0" w:lastRowFirstColumn="0" w:lastRowLastColumn="0"/>
              <w:rPr>
                <w:lang w:eastAsia="ar-SA"/>
              </w:rPr>
            </w:pPr>
            <w:r w:rsidRPr="00535A4B">
              <w:rPr>
                <w:b w:val="0"/>
                <w:bCs w:val="0"/>
                <w:lang w:eastAsia="ar-SA"/>
              </w:rPr>
              <w:t>2030 г.</w:t>
            </w:r>
          </w:p>
        </w:tc>
      </w:tr>
      <w:tr w:rsidR="00E618FE" w:rsidRPr="00535A4B" w:rsidTr="00E618FE">
        <w:tc>
          <w:tcPr>
            <w:cnfStyle w:val="001000000000" w:firstRow="0" w:lastRow="0" w:firstColumn="1" w:lastColumn="0" w:oddVBand="0" w:evenVBand="0" w:oddHBand="0" w:evenHBand="0" w:firstRowFirstColumn="0" w:firstRowLastColumn="0" w:lastRowFirstColumn="0" w:lastRowLastColumn="0"/>
            <w:tcW w:w="533"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rPr>
                <w:lang w:eastAsia="ar-SA"/>
              </w:rPr>
            </w:pPr>
            <w:r w:rsidRPr="00535A4B">
              <w:rPr>
                <w:b w:val="0"/>
                <w:lang w:eastAsia="ar-SA"/>
              </w:rPr>
              <w:t>1.</w:t>
            </w:r>
          </w:p>
        </w:tc>
        <w:tc>
          <w:tcPr>
            <w:tcW w:w="3827"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both"/>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Улучшение качества среды для жизни в ОНП, %</w:t>
            </w:r>
            <w:r w:rsidRPr="00535A4B">
              <w:rPr>
                <w:rStyle w:val="af3"/>
                <w:rFonts w:eastAsia="Liberation Sans"/>
                <w:lang w:eastAsia="ar-SA"/>
              </w:rPr>
              <w:footnoteReference w:id="27"/>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21,86</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25,05</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29,25</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32,61</w:t>
            </w:r>
          </w:p>
        </w:tc>
        <w:tc>
          <w:tcPr>
            <w:tcW w:w="992" w:type="dxa"/>
            <w:tcBorders>
              <w:top w:val="single" w:sz="4" w:space="0" w:color="000000"/>
              <w:left w:val="single" w:sz="4" w:space="0" w:color="000000"/>
              <w:bottom w:val="single" w:sz="4" w:space="0" w:color="000000"/>
              <w:right w:val="single" w:sz="4" w:space="0" w:color="000000"/>
            </w:tcBorders>
          </w:tcPr>
          <w:p w:rsidR="00E618FE" w:rsidRPr="00535A4B" w:rsidRDefault="00800098">
            <w:pPr>
              <w:jc w:val="center"/>
              <w:cnfStyle w:val="000000000000" w:firstRow="0" w:lastRow="0" w:firstColumn="0" w:lastColumn="0" w:oddVBand="0" w:evenVBand="0" w:oddHBand="0" w:evenHBand="0" w:firstRowFirstColumn="0" w:firstRowLastColumn="0" w:lastRowFirstColumn="0" w:lastRowLastColumn="0"/>
              <w:rPr>
                <w:lang w:eastAsia="ar-SA"/>
              </w:rPr>
            </w:pPr>
            <w:r w:rsidRPr="00535A4B">
              <w:rPr>
                <w:lang w:eastAsia="ar-SA"/>
              </w:rPr>
              <w:t>39,36</w:t>
            </w:r>
            <w:bookmarkEnd w:id="335"/>
          </w:p>
        </w:tc>
      </w:tr>
    </w:tbl>
    <w:p w:rsidR="00E618FE" w:rsidRPr="00535A4B" w:rsidRDefault="00E618FE">
      <w:pPr>
        <w:pStyle w:val="1f8"/>
        <w:rPr>
          <w:rFonts w:ascii="Times New Roman" w:eastAsia="PT Astra Serif" w:hAnsi="Times New Roman" w:cs="Times New Roman"/>
          <w:lang w:val="ru-RU"/>
        </w:rPr>
      </w:pPr>
    </w:p>
    <w:sectPr w:rsidR="00E618FE" w:rsidRPr="00535A4B">
      <w:pgSz w:w="11906" w:h="16838"/>
      <w:pgMar w:top="1134" w:right="850" w:bottom="1134"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C13" w:rsidRDefault="00857C13">
      <w:r>
        <w:separator/>
      </w:r>
    </w:p>
  </w:endnote>
  <w:endnote w:type="continuationSeparator" w:id="0">
    <w:p w:rsidR="00857C13" w:rsidRDefault="0085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roman"/>
    <w:pitch w:val="variable"/>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charset w:val="00"/>
    <w:family w:val="auto"/>
    <w:pitch w:val="default"/>
  </w:font>
  <w:font w:name="Nimbus Mono L">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Petersburg">
    <w:charset w:val="00"/>
    <w:family w:val="auto"/>
    <w:pitch w:val="default"/>
  </w:font>
  <w:font w:name="BalticaC">
    <w:charset w:val="00"/>
    <w:family w:val="auto"/>
    <w:pitch w:val="default"/>
  </w:font>
  <w:font w:name="DejaVu Sans">
    <w:altName w:val="Times New Roman"/>
    <w:charset w:val="00"/>
    <w:family w:val="auto"/>
    <w:pitch w:val="variable"/>
  </w:font>
  <w:font w:name="Minion Pro">
    <w:charset w:val="00"/>
    <w:family w:val="auto"/>
    <w:pitch w:val="default"/>
  </w:font>
  <w:font w:name="HeliosCond (TT)  Bold">
    <w:charset w:val="00"/>
    <w:family w:val="auto"/>
    <w:pitch w:val="default"/>
  </w:font>
  <w:font w:name="HeliosCond">
    <w:charset w:val="00"/>
    <w:family w:val="auto"/>
    <w:pitch w:val="default"/>
  </w:font>
  <w:font w:name="TimesET">
    <w:charset w:val="00"/>
    <w:family w:val="auto"/>
    <w:pitch w:val="default"/>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ctava">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ptos">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4D" w:rsidRDefault="00B7084D">
    <w:pPr>
      <w:pStyle w:val="af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4D" w:rsidRDefault="00B7084D">
    <w:pPr>
      <w:pStyle w:val="af9"/>
      <w:jc w:val="right"/>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C13" w:rsidRDefault="00857C13">
      <w:r>
        <w:separator/>
      </w:r>
    </w:p>
  </w:footnote>
  <w:footnote w:type="continuationSeparator" w:id="0">
    <w:p w:rsidR="00857C13" w:rsidRDefault="00857C13">
      <w:r>
        <w:continuationSeparator/>
      </w:r>
    </w:p>
  </w:footnote>
  <w:footnote w:id="1">
    <w:p w:rsidR="00B7084D" w:rsidRDefault="00B7084D">
      <w:pPr>
        <w:pStyle w:val="afe"/>
        <w:rPr>
          <w:color w:val="auto"/>
        </w:rPr>
      </w:pPr>
      <w:r>
        <w:rPr>
          <w:rStyle w:val="af3"/>
          <w:color w:val="auto"/>
        </w:rPr>
        <w:footnoteRef/>
      </w:r>
      <w:r>
        <w:rPr>
          <w:color w:val="auto"/>
        </w:rPr>
        <w:t xml:space="preserve"> П</w:t>
      </w:r>
      <w:r>
        <w:rPr>
          <w:color w:val="auto"/>
          <w:shd w:val="clear" w:color="auto" w:fill="FFFFFF"/>
        </w:rPr>
        <w:t>о состоянию на апрель 2026 года официальные данные за 2025 год в открытом доступе отсутствуют.</w:t>
      </w:r>
    </w:p>
  </w:footnote>
  <w:footnote w:id="2">
    <w:p w:rsidR="00B7084D" w:rsidRDefault="00B7084D">
      <w:pPr>
        <w:pStyle w:val="afe"/>
        <w:rPr>
          <w:color w:val="auto"/>
        </w:rPr>
      </w:pPr>
      <w:r>
        <w:rPr>
          <w:rStyle w:val="af3"/>
          <w:color w:val="auto"/>
        </w:rPr>
        <w:footnoteRef/>
      </w:r>
      <w:r>
        <w:rPr>
          <w:color w:val="auto"/>
        </w:rPr>
        <w:t xml:space="preserve"> П</w:t>
      </w:r>
      <w:r>
        <w:rPr>
          <w:color w:val="auto"/>
          <w:shd w:val="clear" w:color="auto" w:fill="FFFFFF"/>
        </w:rPr>
        <w:t>о состоянию на апрель 2026 года официальных данных за 2025 год в открытом доступе нет.</w:t>
      </w:r>
    </w:p>
  </w:footnote>
  <w:footnote w:id="3">
    <w:p w:rsidR="00B7084D" w:rsidRDefault="00B7084D">
      <w:pPr>
        <w:pStyle w:val="afe"/>
        <w:rPr>
          <w:color w:val="auto"/>
        </w:rPr>
      </w:pPr>
      <w:r>
        <w:rPr>
          <w:rStyle w:val="af3"/>
          <w:color w:val="auto"/>
        </w:rPr>
        <w:footnoteRef/>
      </w:r>
      <w:r>
        <w:rPr>
          <w:color w:val="auto"/>
        </w:rPr>
        <w:t xml:space="preserve"> П</w:t>
      </w:r>
      <w:r>
        <w:rPr>
          <w:color w:val="auto"/>
          <w:shd w:val="clear" w:color="auto" w:fill="FFFFFF"/>
        </w:rPr>
        <w:t>о состоянию на апрель 2026 года официальных данных за 2025 год в открытом доступе нет.</w:t>
      </w:r>
    </w:p>
  </w:footnote>
  <w:footnote w:id="4">
    <w:p w:rsidR="00B7084D" w:rsidRDefault="00B7084D">
      <w:pPr>
        <w:tabs>
          <w:tab w:val="left" w:pos="993"/>
        </w:tabs>
        <w:ind w:firstLine="709"/>
        <w:jc w:val="both"/>
      </w:pPr>
      <w:r>
        <w:rPr>
          <w:rStyle w:val="af3"/>
        </w:rPr>
        <w:footnoteRef/>
      </w:r>
      <w:r>
        <w:t xml:space="preserve"> </w:t>
      </w:r>
      <w:r>
        <w:rPr>
          <w:rFonts w:ascii="PT Astra Serif" w:hAnsi="PT Astra Serif"/>
        </w:rPr>
        <w:t xml:space="preserve">По данным формы федерального статистического наблюдения № 30 «Сведения </w:t>
      </w:r>
      <w:r>
        <w:rPr>
          <w:rFonts w:ascii="PT Astra Serif" w:hAnsi="PT Astra Serif"/>
        </w:rPr>
        <w:br/>
        <w:t>о медицинской организации».</w:t>
      </w:r>
    </w:p>
  </w:footnote>
  <w:footnote w:id="5">
    <w:p w:rsidR="00B7084D" w:rsidRDefault="00B7084D">
      <w:pPr>
        <w:pStyle w:val="af1"/>
        <w:ind w:firstLine="709"/>
        <w:rPr>
          <w:lang w:val="ru-RU"/>
        </w:rPr>
      </w:pPr>
      <w:r>
        <w:rPr>
          <w:rStyle w:val="af3"/>
        </w:rPr>
        <w:footnoteRef/>
      </w:r>
      <w:r>
        <w:rPr>
          <w:lang w:val="ru-RU"/>
        </w:rPr>
        <w:t xml:space="preserve"> </w:t>
      </w:r>
      <w:r>
        <w:rPr>
          <w:sz w:val="24"/>
          <w:szCs w:val="24"/>
          <w:lang w:val="ru-RU"/>
        </w:rPr>
        <w:t>Там же.</w:t>
      </w:r>
    </w:p>
  </w:footnote>
  <w:footnote w:id="6">
    <w:p w:rsidR="00B7084D" w:rsidRDefault="00B7084D">
      <w:pPr>
        <w:pStyle w:val="af1"/>
        <w:ind w:firstLine="709"/>
        <w:rPr>
          <w:lang w:val="ru-RU"/>
        </w:rPr>
      </w:pPr>
      <w:r>
        <w:rPr>
          <w:rStyle w:val="af3"/>
        </w:rPr>
        <w:footnoteRef/>
      </w:r>
      <w:r>
        <w:rPr>
          <w:lang w:val="ru-RU"/>
        </w:rPr>
        <w:t xml:space="preserve"> </w:t>
      </w:r>
      <w:r>
        <w:rPr>
          <w:sz w:val="24"/>
          <w:szCs w:val="24"/>
          <w:lang w:val="ru-RU"/>
        </w:rPr>
        <w:t>Доля занятых физическими лицами должностей от общего количества должностей в медицинских организациях.</w:t>
      </w:r>
    </w:p>
  </w:footnote>
  <w:footnote w:id="7">
    <w:p w:rsidR="00B7084D" w:rsidRDefault="00B7084D">
      <w:pPr>
        <w:pStyle w:val="af1"/>
        <w:ind w:firstLine="709"/>
        <w:rPr>
          <w:lang w:val="ru-RU"/>
        </w:rPr>
      </w:pPr>
      <w:r>
        <w:rPr>
          <w:rStyle w:val="af3"/>
        </w:rPr>
        <w:footnoteRef/>
      </w:r>
      <w:r>
        <w:rPr>
          <w:lang w:val="ru-RU"/>
        </w:rPr>
        <w:t xml:space="preserve"> </w:t>
      </w:r>
      <w:r>
        <w:rPr>
          <w:sz w:val="24"/>
          <w:szCs w:val="24"/>
          <w:lang w:val="ru-RU"/>
        </w:rPr>
        <w:t>Там же.</w:t>
      </w:r>
    </w:p>
  </w:footnote>
  <w:footnote w:id="8">
    <w:p w:rsidR="00B7084D" w:rsidRDefault="00B7084D">
      <w:pPr>
        <w:pStyle w:val="afe"/>
        <w:rPr>
          <w:color w:val="auto"/>
        </w:rPr>
      </w:pPr>
      <w:r>
        <w:rPr>
          <w:rStyle w:val="af3"/>
          <w:color w:val="auto"/>
        </w:rPr>
        <w:footnoteRef/>
      </w:r>
      <w:r>
        <w:rPr>
          <w:color w:val="auto"/>
        </w:rPr>
        <w:t xml:space="preserve"> В Стратегии - 2030 расчет прироста значения показателя задан относительно 2018 года.</w:t>
      </w:r>
    </w:p>
  </w:footnote>
  <w:footnote w:id="9">
    <w:p w:rsidR="00B7084D" w:rsidRDefault="00B7084D">
      <w:pPr>
        <w:pStyle w:val="afe"/>
        <w:rPr>
          <w:color w:val="auto"/>
          <w:szCs w:val="24"/>
        </w:rPr>
      </w:pPr>
      <w:r>
        <w:rPr>
          <w:rStyle w:val="af3"/>
          <w:color w:val="auto"/>
          <w:szCs w:val="24"/>
        </w:rPr>
        <w:footnoteRef/>
      </w:r>
      <w:r>
        <w:rPr>
          <w:color w:val="auto"/>
          <w:szCs w:val="24"/>
        </w:rPr>
        <w:t xml:space="preserve"> Данные за 2020 год отсутствуют.</w:t>
      </w:r>
    </w:p>
  </w:footnote>
  <w:footnote w:id="10">
    <w:p w:rsidR="00B7084D" w:rsidRDefault="00B7084D">
      <w:pPr>
        <w:pStyle w:val="afe"/>
        <w:rPr>
          <w:color w:val="auto"/>
          <w:szCs w:val="24"/>
        </w:rPr>
      </w:pPr>
      <w:r>
        <w:rPr>
          <w:rStyle w:val="af3"/>
          <w:color w:val="auto"/>
          <w:szCs w:val="24"/>
        </w:rPr>
        <w:footnoteRef/>
      </w:r>
      <w:r>
        <w:rPr>
          <w:color w:val="auto"/>
          <w:szCs w:val="24"/>
        </w:rPr>
        <w:t xml:space="preserve"> Данные за 2020 год отсутствуют.</w:t>
      </w:r>
    </w:p>
  </w:footnote>
  <w:footnote w:id="11">
    <w:p w:rsidR="00B7084D" w:rsidRDefault="00B7084D">
      <w:pPr>
        <w:pStyle w:val="af1"/>
        <w:ind w:firstLine="709"/>
        <w:rPr>
          <w:lang w:val="ru-RU"/>
        </w:rPr>
      </w:pPr>
      <w:r>
        <w:rPr>
          <w:rStyle w:val="af3"/>
          <w:sz w:val="24"/>
          <w:szCs w:val="24"/>
        </w:rPr>
        <w:footnoteRef/>
      </w:r>
      <w:r>
        <w:rPr>
          <w:sz w:val="24"/>
          <w:szCs w:val="24"/>
          <w:lang w:val="ru-RU"/>
        </w:rPr>
        <w:t xml:space="preserve"> </w:t>
      </w:r>
      <w:r>
        <w:rPr>
          <w:rFonts w:cs="Arial"/>
          <w:sz w:val="24"/>
          <w:szCs w:val="24"/>
          <w:shd w:val="clear" w:color="auto" w:fill="FFFFFF"/>
          <w:lang w:val="ru-RU"/>
        </w:rPr>
        <w:t>В соответствии с приказом Росстата от 30.01.2026 № 40 расчет индекса качества городской среды с 2025 года прекращен.</w:t>
      </w:r>
    </w:p>
  </w:footnote>
  <w:footnote w:id="12">
    <w:p w:rsidR="00B7084D" w:rsidRDefault="00B7084D">
      <w:pPr>
        <w:pStyle w:val="a4"/>
        <w:rPr>
          <w:color w:val="auto"/>
          <w:sz w:val="24"/>
          <w:szCs w:val="24"/>
        </w:rPr>
      </w:pPr>
      <w:r>
        <w:rPr>
          <w:rStyle w:val="af3"/>
          <w:color w:val="auto"/>
          <w:sz w:val="24"/>
          <w:szCs w:val="24"/>
        </w:rPr>
        <w:footnoteRef/>
      </w:r>
      <w:r>
        <w:rPr>
          <w:color w:val="auto"/>
          <w:sz w:val="24"/>
          <w:szCs w:val="24"/>
        </w:rPr>
        <w:t xml:space="preserve"> </w:t>
      </w:r>
      <w:r>
        <w:rPr>
          <w:rFonts w:eastAsia="Calibri"/>
          <w:color w:val="auto"/>
          <w:sz w:val="24"/>
          <w:szCs w:val="24"/>
        </w:rPr>
        <w:t>По состоянию на апрель 2026 года официальные данные за 2025 год в открытом доступе отсутствуют.</w:t>
      </w:r>
    </w:p>
  </w:footnote>
  <w:footnote w:id="13">
    <w:p w:rsidR="00B7084D" w:rsidRDefault="00B7084D">
      <w:pPr>
        <w:pStyle w:val="a4"/>
        <w:rPr>
          <w:color w:val="auto"/>
          <w:sz w:val="24"/>
          <w:szCs w:val="24"/>
        </w:rPr>
      </w:pPr>
      <w:r>
        <w:rPr>
          <w:rStyle w:val="af3"/>
          <w:color w:val="auto"/>
          <w:sz w:val="24"/>
          <w:szCs w:val="24"/>
        </w:rPr>
        <w:footnoteRef/>
      </w:r>
      <w:r>
        <w:rPr>
          <w:color w:val="auto"/>
          <w:sz w:val="24"/>
          <w:szCs w:val="24"/>
        </w:rPr>
        <w:t xml:space="preserve"> </w:t>
      </w:r>
      <w:r>
        <w:rPr>
          <w:rFonts w:eastAsia="Calibri"/>
          <w:color w:val="auto"/>
          <w:sz w:val="24"/>
          <w:szCs w:val="24"/>
        </w:rPr>
        <w:t>По состоянию на апрель 2026 года официальные данные за 2025 год в открытом доступе отсутствуют.</w:t>
      </w:r>
    </w:p>
  </w:footnote>
  <w:footnote w:id="14">
    <w:p w:rsidR="00B7084D" w:rsidRDefault="00B7084D">
      <w:pPr>
        <w:pStyle w:val="a4"/>
        <w:rPr>
          <w:color w:val="auto"/>
          <w:sz w:val="24"/>
          <w:szCs w:val="24"/>
        </w:rPr>
      </w:pPr>
      <w:r>
        <w:rPr>
          <w:color w:val="auto"/>
          <w:sz w:val="24"/>
          <w:szCs w:val="24"/>
          <w:vertAlign w:val="superscript"/>
        </w:rPr>
        <w:footnoteRef/>
      </w:r>
      <w:r>
        <w:rPr>
          <w:color w:val="auto"/>
          <w:sz w:val="24"/>
          <w:szCs w:val="24"/>
        </w:rPr>
        <w:t xml:space="preserve"> По состоянию на апрель 2026 года официальные данные за 2025 год в открытом доступе отсутствуют.</w:t>
      </w:r>
    </w:p>
  </w:footnote>
  <w:footnote w:id="15">
    <w:p w:rsidR="00B7084D" w:rsidRDefault="00B7084D">
      <w:pPr>
        <w:pStyle w:val="a4"/>
        <w:rPr>
          <w:color w:val="auto"/>
          <w:sz w:val="24"/>
          <w:szCs w:val="24"/>
        </w:rPr>
      </w:pPr>
      <w:r>
        <w:rPr>
          <w:color w:val="auto"/>
          <w:sz w:val="24"/>
          <w:szCs w:val="24"/>
          <w:vertAlign w:val="superscript"/>
        </w:rPr>
        <w:footnoteRef/>
      </w:r>
      <w:r>
        <w:rPr>
          <w:color w:val="auto"/>
          <w:sz w:val="24"/>
          <w:szCs w:val="24"/>
          <w:vertAlign w:val="superscript"/>
        </w:rPr>
        <w:t xml:space="preserve"> </w:t>
      </w:r>
      <w:r>
        <w:rPr>
          <w:color w:val="auto"/>
          <w:sz w:val="24"/>
          <w:szCs w:val="24"/>
        </w:rPr>
        <w:t>По состоянию на апрель 2026 года официальные данные за 2025 год в открытом доступе отсутствуют.</w:t>
      </w:r>
    </w:p>
  </w:footnote>
  <w:footnote w:id="16">
    <w:p w:rsidR="00B7084D" w:rsidRDefault="00B7084D">
      <w:pPr>
        <w:pStyle w:val="afe"/>
        <w:rPr>
          <w:color w:val="auto"/>
        </w:rPr>
      </w:pPr>
      <w:r>
        <w:rPr>
          <w:rStyle w:val="af3"/>
          <w:color w:val="auto"/>
        </w:rPr>
        <w:footnoteRef/>
      </w:r>
      <w:r>
        <w:rPr>
          <w:color w:val="auto"/>
        </w:rPr>
        <w:t xml:space="preserve"> В скобках место Томской области в предыдущем рейтинге.</w:t>
      </w:r>
    </w:p>
  </w:footnote>
  <w:footnote w:id="17">
    <w:p w:rsidR="00B7084D" w:rsidRDefault="00B7084D">
      <w:pPr>
        <w:pStyle w:val="af1"/>
        <w:ind w:firstLine="708"/>
        <w:rPr>
          <w:sz w:val="24"/>
          <w:szCs w:val="24"/>
          <w:lang w:val="ru-RU"/>
        </w:rPr>
      </w:pPr>
      <w:r>
        <w:rPr>
          <w:rStyle w:val="af3"/>
          <w:sz w:val="24"/>
          <w:szCs w:val="24"/>
        </w:rPr>
        <w:footnoteRef/>
      </w:r>
      <w:r>
        <w:rPr>
          <w:sz w:val="24"/>
          <w:szCs w:val="24"/>
          <w:lang w:val="ru-RU"/>
        </w:rPr>
        <w:t xml:space="preserve"> Здесь и далее указан год публикации рейтинга.</w:t>
      </w:r>
    </w:p>
  </w:footnote>
  <w:footnote w:id="18">
    <w:p w:rsidR="00B7084D" w:rsidRDefault="00B7084D">
      <w:pPr>
        <w:pStyle w:val="afe"/>
        <w:rPr>
          <w:color w:val="auto"/>
        </w:rPr>
      </w:pPr>
      <w:r>
        <w:rPr>
          <w:rStyle w:val="af3"/>
          <w:color w:val="auto"/>
        </w:rPr>
        <w:footnoteRef/>
      </w:r>
      <w:r>
        <w:rPr>
          <w:color w:val="auto"/>
        </w:rPr>
        <w:t xml:space="preserve"> Указаны только регионы, входящие в Сибирский федеральный округ.</w:t>
      </w:r>
    </w:p>
  </w:footnote>
  <w:footnote w:id="19">
    <w:p w:rsidR="00B7084D" w:rsidRDefault="00B7084D">
      <w:pPr>
        <w:pStyle w:val="af1"/>
        <w:rPr>
          <w:lang w:val="ru-RU"/>
        </w:rPr>
      </w:pPr>
      <w:r>
        <w:rPr>
          <w:rStyle w:val="af3"/>
        </w:rPr>
        <w:footnoteRef/>
      </w:r>
      <w:r>
        <w:rPr>
          <w:lang w:val="ru-RU"/>
        </w:rPr>
        <w:t xml:space="preserve"> Перечень опорных населенных пунктов в разрезе субъектов Российской Федерации утвержден президиумом (штабом) Правительственной комиссии по региональному развитию в Российской Федерации (протокол от 16 декабря 2024 г. № 143пр).</w:t>
      </w:r>
    </w:p>
  </w:footnote>
  <w:footnote w:id="20">
    <w:p w:rsidR="00B7084D" w:rsidRPr="005D5386" w:rsidRDefault="00B7084D">
      <w:pPr>
        <w:pStyle w:val="afe"/>
        <w:rPr>
          <w:rFonts w:ascii="Times New Roman" w:hAnsi="Times New Roman"/>
          <w:color w:val="auto"/>
        </w:rPr>
      </w:pPr>
      <w:r>
        <w:rPr>
          <w:rStyle w:val="af3"/>
          <w:color w:val="auto"/>
        </w:rPr>
        <w:footnoteRef/>
      </w:r>
      <w:r>
        <w:rPr>
          <w:color w:val="auto"/>
        </w:rPr>
        <w:t xml:space="preserve"> </w:t>
      </w:r>
      <w:r w:rsidRPr="005D5386">
        <w:rPr>
          <w:rFonts w:ascii="Times New Roman" w:hAnsi="Times New Roman"/>
          <w:color w:val="auto"/>
        </w:rPr>
        <w:t xml:space="preserve">Критерием для оценки экономической целесообразности сохранения населенных пунктов является непропорционально возрастающие затраты на поддержание функционирования социальной и инженерной инфраструктуры в населенных пунктах, не имеющих круглогодичных транспортных связей. Удаленный населенный пункт оценивается как неперспективный и рекомендуется к расселению если не имеет выраженного хозяйственного профиля, характеризуется высокими темпами убыли населения и общей численностью населения менее 500 человек. Прогнозируется, что часть жителей таких пунктов не выразит согласие на переезд, тем не менее, произойдет существенное снижение нагрузки на социальные и коммунальные инфраструктуры. </w:t>
      </w:r>
    </w:p>
  </w:footnote>
  <w:footnote w:id="21">
    <w:p w:rsidR="00B7084D" w:rsidRPr="004F4597" w:rsidRDefault="00B7084D">
      <w:pPr>
        <w:pStyle w:val="afe"/>
        <w:rPr>
          <w:rFonts w:ascii="Times New Roman" w:hAnsi="Times New Roman"/>
          <w:color w:val="auto"/>
        </w:rPr>
      </w:pPr>
      <w:r>
        <w:rPr>
          <w:rStyle w:val="af3"/>
          <w:color w:val="auto"/>
        </w:rPr>
        <w:footnoteRef/>
      </w:r>
      <w:r>
        <w:rPr>
          <w:color w:val="auto"/>
        </w:rPr>
        <w:t xml:space="preserve"> </w:t>
      </w:r>
      <w:r w:rsidRPr="004F4597">
        <w:rPr>
          <w:rFonts w:ascii="Times New Roman" w:hAnsi="Times New Roman"/>
          <w:color w:val="auto"/>
        </w:rPr>
        <w:t>Показатель «Качество окружающей среды» основывается на определении уровня негативного антропогенного воздействия на окружающую среду на территории субъекта Российской Федерации по следующим основным направлениям: охрана атмосферного воздуха, охрана поверхностных вод водных объектов, обращение с отходами, охрана, защита и воспроизводство лесов. Рассчитывается Минприроды России и ежегодно публикуется в Единой межведомственной информационно-статистической системе (ЕМИСС).</w:t>
      </w:r>
    </w:p>
  </w:footnote>
  <w:footnote w:id="22">
    <w:p w:rsidR="00B7084D" w:rsidRDefault="00B7084D">
      <w:pPr>
        <w:pStyle w:val="af1"/>
        <w:rPr>
          <w:lang w:val="ru-RU"/>
        </w:rPr>
      </w:pPr>
      <w:r>
        <w:rPr>
          <w:rStyle w:val="af3"/>
        </w:rPr>
        <w:footnoteRef/>
      </w:r>
      <w:r>
        <w:rPr>
          <w:lang w:val="ru-RU"/>
        </w:rPr>
        <w:t xml:space="preserve"> Дополнено новым показателем в соответствии с заключением Минприроды России. Значение 2025 года установлено с учетом фактических данных, значение 2030 года установлено с учетом соглашения между Минприроды России и Томской областью, значение 2036 года установлено  с учетом динамики.</w:t>
      </w:r>
    </w:p>
  </w:footnote>
  <w:footnote w:id="23">
    <w:p w:rsidR="00B7084D" w:rsidRPr="00F71119" w:rsidRDefault="00B7084D">
      <w:pPr>
        <w:pStyle w:val="afe"/>
        <w:rPr>
          <w:rFonts w:ascii="Times New Roman" w:hAnsi="Times New Roman"/>
          <w:color w:val="auto"/>
        </w:rPr>
      </w:pPr>
      <w:r>
        <w:rPr>
          <w:rStyle w:val="af3"/>
          <w:color w:val="auto"/>
        </w:rPr>
        <w:footnoteRef/>
      </w:r>
      <w:r>
        <w:rPr>
          <w:color w:val="auto"/>
        </w:rPr>
        <w:t xml:space="preserve"> </w:t>
      </w:r>
      <w:r w:rsidRPr="00F71119">
        <w:rPr>
          <w:rFonts w:ascii="Times New Roman" w:hAnsi="Times New Roman"/>
          <w:color w:val="auto"/>
        </w:rPr>
        <w:t>Плановый объем инвестиций на начало инвестиционной фазы проекта.</w:t>
      </w:r>
    </w:p>
  </w:footnote>
  <w:footnote w:id="24">
    <w:p w:rsidR="00B7084D" w:rsidRPr="00F71119" w:rsidRDefault="00B7084D">
      <w:pPr>
        <w:pStyle w:val="afe"/>
        <w:rPr>
          <w:rFonts w:ascii="Times New Roman" w:hAnsi="Times New Roman"/>
          <w:color w:val="auto"/>
        </w:rPr>
      </w:pPr>
      <w:r w:rsidRPr="00F71119">
        <w:rPr>
          <w:rStyle w:val="af3"/>
          <w:rFonts w:ascii="Times New Roman" w:hAnsi="Times New Roman"/>
          <w:color w:val="auto"/>
        </w:rPr>
        <w:footnoteRef/>
      </w:r>
      <w:r w:rsidRPr="00F71119">
        <w:rPr>
          <w:rFonts w:ascii="Times New Roman" w:hAnsi="Times New Roman"/>
          <w:color w:val="auto"/>
        </w:rPr>
        <w:t xml:space="preserve"> Проект, временные комментарии. Связь с показателями будет уточнена после согласования перечня целевых показателей Стратегии 2036. </w:t>
      </w:r>
    </w:p>
  </w:footnote>
  <w:footnote w:id="25">
    <w:p w:rsidR="00B7084D" w:rsidRPr="00F71119" w:rsidRDefault="00B7084D">
      <w:pPr>
        <w:pStyle w:val="afe"/>
        <w:rPr>
          <w:rFonts w:ascii="Times New Roman" w:hAnsi="Times New Roman"/>
          <w:color w:val="auto"/>
        </w:rPr>
      </w:pPr>
      <w:r w:rsidRPr="00F71119">
        <w:rPr>
          <w:rStyle w:val="af3"/>
          <w:rFonts w:ascii="Times New Roman" w:hAnsi="Times New Roman"/>
          <w:color w:val="auto"/>
        </w:rPr>
        <w:footnoteRef/>
      </w:r>
      <w:r w:rsidRPr="00F71119">
        <w:rPr>
          <w:rFonts w:ascii="Times New Roman" w:hAnsi="Times New Roman"/>
          <w:color w:val="auto"/>
        </w:rPr>
        <w:t xml:space="preserve"> Здесь и далее целевые показатели с пометкой «Приказ № 132» сформированы в соответствии с методическими рекомендациями, утвержденными приказом Министерства экономического развития Российской Федерации от 23 марта 2017 года № 132, выступающими методологической основой разработки стратегий социально-экономического развития субъектов Российской Федерации.</w:t>
      </w:r>
    </w:p>
  </w:footnote>
  <w:footnote w:id="26">
    <w:p w:rsidR="00B7084D" w:rsidRDefault="00B7084D">
      <w:pPr>
        <w:pStyle w:val="afe"/>
        <w:rPr>
          <w:color w:val="auto"/>
        </w:rPr>
      </w:pPr>
      <w:r>
        <w:rPr>
          <w:rStyle w:val="af3"/>
          <w:color w:val="auto"/>
        </w:rPr>
        <w:footnoteRef/>
      </w:r>
      <w:r>
        <w:rPr>
          <w:color w:val="auto"/>
        </w:rPr>
        <w:t xml:space="preserve"> </w:t>
      </w:r>
      <w:r w:rsidRPr="006739D7">
        <w:rPr>
          <w:rFonts w:ascii="Times New Roman" w:hAnsi="Times New Roman"/>
          <w:color w:val="auto"/>
        </w:rPr>
        <w:t xml:space="preserve">Данные исследований Института мониторинга климатических и экологических систем </w:t>
      </w:r>
      <w:r w:rsidRPr="006739D7">
        <w:rPr>
          <w:rFonts w:ascii="Times New Roman" w:eastAsia="PT Astra Serif" w:hAnsi="Times New Roman"/>
          <w:color w:val="auto"/>
          <w:lang w:eastAsia="en-US" w:bidi="en-US"/>
        </w:rPr>
        <w:t>Сибирского отделения Российской академии наук</w:t>
      </w:r>
      <w:r w:rsidRPr="006739D7">
        <w:rPr>
          <w:rFonts w:ascii="Times New Roman" w:hAnsi="Times New Roman"/>
          <w:color w:val="auto"/>
        </w:rPr>
        <w:t>. См. Невидимова О.Г. и др. Региональные исследования рисков природопользования в условиях современных климатических изменений: основные подходы и методы оценки // Сибирский экологический журнал. 2022. Т. 29. № 3. С. 292 – 303.</w:t>
      </w:r>
    </w:p>
  </w:footnote>
  <w:footnote w:id="27">
    <w:p w:rsidR="00B7084D" w:rsidRDefault="00B7084D">
      <w:pPr>
        <w:pStyle w:val="af1"/>
        <w:rPr>
          <w:lang w:val="ru-RU"/>
        </w:rPr>
      </w:pPr>
      <w:r>
        <w:rPr>
          <w:rStyle w:val="af3"/>
        </w:rPr>
        <w:footnoteRef/>
      </w:r>
      <w:r>
        <w:rPr>
          <w:lang w:val="ru-RU"/>
        </w:rPr>
        <w:t xml:space="preserve"> Линейка значений утверждена президиумом (штабом) Правительственной комиссии по региональному развитию в Российской Федерации (протокол от 26 февраля 2026 г. № 19пр).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680273"/>
      <w:docPartObj>
        <w:docPartGallery w:val="Page Numbers (Top of Page)"/>
        <w:docPartUnique/>
      </w:docPartObj>
    </w:sdtPr>
    <w:sdtContent>
      <w:p w:rsidR="00B7084D" w:rsidRDefault="00B7084D">
        <w:pPr>
          <w:pStyle w:val="af7"/>
          <w:jc w:val="right"/>
        </w:pPr>
        <w:r>
          <w:fldChar w:fldCharType="begin"/>
        </w:r>
        <w:r>
          <w:instrText>PAGE   \* MERGEFORMAT</w:instrText>
        </w:r>
        <w:r>
          <w:fldChar w:fldCharType="separate"/>
        </w:r>
        <w:r w:rsidR="007B4B8E" w:rsidRPr="007B4B8E">
          <w:rPr>
            <w:noProof/>
            <w:lang w:val="ru-RU"/>
          </w:rPr>
          <w:t>2</w:t>
        </w:r>
        <w:r>
          <w:fldChar w:fldCharType="end"/>
        </w:r>
      </w:p>
    </w:sdtContent>
  </w:sdt>
  <w:p w:rsidR="00B7084D" w:rsidRDefault="00B7084D">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790A"/>
    <w:multiLevelType w:val="hybridMultilevel"/>
    <w:tmpl w:val="99D4D946"/>
    <w:lvl w:ilvl="0" w:tplc="0E147C58">
      <w:start w:val="1"/>
      <w:numFmt w:val="bullet"/>
      <w:pStyle w:val="3"/>
      <w:lvlText w:val=""/>
      <w:lvlJc w:val="left"/>
      <w:pPr>
        <w:tabs>
          <w:tab w:val="num" w:pos="926"/>
        </w:tabs>
        <w:ind w:left="926" w:hanging="360"/>
      </w:pPr>
      <w:rPr>
        <w:rFonts w:ascii="Symbol" w:hAnsi="Symbol" w:hint="default"/>
      </w:rPr>
    </w:lvl>
    <w:lvl w:ilvl="1" w:tplc="CFD24074">
      <w:start w:val="1"/>
      <w:numFmt w:val="bullet"/>
      <w:lvlText w:val="o"/>
      <w:lvlJc w:val="left"/>
      <w:pPr>
        <w:ind w:left="1440" w:hanging="360"/>
      </w:pPr>
      <w:rPr>
        <w:rFonts w:ascii="Courier New" w:eastAsia="Courier New" w:hAnsi="Courier New" w:cs="Courier New" w:hint="default"/>
      </w:rPr>
    </w:lvl>
    <w:lvl w:ilvl="2" w:tplc="30E4F408">
      <w:start w:val="1"/>
      <w:numFmt w:val="bullet"/>
      <w:lvlText w:val="§"/>
      <w:lvlJc w:val="left"/>
      <w:pPr>
        <w:ind w:left="2160" w:hanging="360"/>
      </w:pPr>
      <w:rPr>
        <w:rFonts w:ascii="Wingdings" w:eastAsia="Wingdings" w:hAnsi="Wingdings" w:cs="Wingdings" w:hint="default"/>
      </w:rPr>
    </w:lvl>
    <w:lvl w:ilvl="3" w:tplc="72FCAA5E">
      <w:start w:val="1"/>
      <w:numFmt w:val="bullet"/>
      <w:lvlText w:val="·"/>
      <w:lvlJc w:val="left"/>
      <w:pPr>
        <w:ind w:left="2880" w:hanging="360"/>
      </w:pPr>
      <w:rPr>
        <w:rFonts w:ascii="Symbol" w:eastAsia="Symbol" w:hAnsi="Symbol" w:cs="Symbol" w:hint="default"/>
      </w:rPr>
    </w:lvl>
    <w:lvl w:ilvl="4" w:tplc="464E85B4">
      <w:start w:val="1"/>
      <w:numFmt w:val="bullet"/>
      <w:lvlText w:val="o"/>
      <w:lvlJc w:val="left"/>
      <w:pPr>
        <w:ind w:left="3600" w:hanging="360"/>
      </w:pPr>
      <w:rPr>
        <w:rFonts w:ascii="Courier New" w:eastAsia="Courier New" w:hAnsi="Courier New" w:cs="Courier New" w:hint="default"/>
      </w:rPr>
    </w:lvl>
    <w:lvl w:ilvl="5" w:tplc="D5E2DA1C">
      <w:start w:val="1"/>
      <w:numFmt w:val="bullet"/>
      <w:lvlText w:val="§"/>
      <w:lvlJc w:val="left"/>
      <w:pPr>
        <w:ind w:left="4320" w:hanging="360"/>
      </w:pPr>
      <w:rPr>
        <w:rFonts w:ascii="Wingdings" w:eastAsia="Wingdings" w:hAnsi="Wingdings" w:cs="Wingdings" w:hint="default"/>
      </w:rPr>
    </w:lvl>
    <w:lvl w:ilvl="6" w:tplc="142E7EAA">
      <w:start w:val="1"/>
      <w:numFmt w:val="bullet"/>
      <w:lvlText w:val="·"/>
      <w:lvlJc w:val="left"/>
      <w:pPr>
        <w:ind w:left="5040" w:hanging="360"/>
      </w:pPr>
      <w:rPr>
        <w:rFonts w:ascii="Symbol" w:eastAsia="Symbol" w:hAnsi="Symbol" w:cs="Symbol" w:hint="default"/>
      </w:rPr>
    </w:lvl>
    <w:lvl w:ilvl="7" w:tplc="E64A5D74">
      <w:start w:val="1"/>
      <w:numFmt w:val="bullet"/>
      <w:lvlText w:val="o"/>
      <w:lvlJc w:val="left"/>
      <w:pPr>
        <w:ind w:left="5760" w:hanging="360"/>
      </w:pPr>
      <w:rPr>
        <w:rFonts w:ascii="Courier New" w:eastAsia="Courier New" w:hAnsi="Courier New" w:cs="Courier New" w:hint="default"/>
      </w:rPr>
    </w:lvl>
    <w:lvl w:ilvl="8" w:tplc="AE48839C">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A080DD3"/>
    <w:multiLevelType w:val="hybridMultilevel"/>
    <w:tmpl w:val="F6ACD854"/>
    <w:lvl w:ilvl="0" w:tplc="D158D3CC">
      <w:start w:val="1"/>
      <w:numFmt w:val="bullet"/>
      <w:pStyle w:val="2105"/>
      <w:lvlText w:val=""/>
      <w:lvlJc w:val="left"/>
      <w:pPr>
        <w:tabs>
          <w:tab w:val="num" w:pos="720"/>
        </w:tabs>
        <w:ind w:left="0" w:firstLine="397"/>
      </w:pPr>
      <w:rPr>
        <w:rFonts w:ascii="Symbol" w:hAnsi="Symbol" w:hint="default"/>
        <w:b w:val="0"/>
        <w:i w:val="0"/>
        <w:sz w:val="24"/>
      </w:rPr>
    </w:lvl>
    <w:lvl w:ilvl="1" w:tplc="D7D23F20">
      <w:start w:val="1"/>
      <w:numFmt w:val="bullet"/>
      <w:lvlText w:val="o"/>
      <w:lvlJc w:val="left"/>
      <w:pPr>
        <w:ind w:left="1440" w:hanging="360"/>
      </w:pPr>
      <w:rPr>
        <w:rFonts w:ascii="Courier New" w:hAnsi="Courier New" w:cs="Courier New" w:hint="default"/>
      </w:rPr>
    </w:lvl>
    <w:lvl w:ilvl="2" w:tplc="325E926A">
      <w:start w:val="1"/>
      <w:numFmt w:val="bullet"/>
      <w:lvlText w:val=""/>
      <w:lvlJc w:val="left"/>
      <w:pPr>
        <w:ind w:left="2160" w:hanging="360"/>
      </w:pPr>
      <w:rPr>
        <w:rFonts w:ascii="Wingdings" w:hAnsi="Wingdings" w:hint="default"/>
      </w:rPr>
    </w:lvl>
    <w:lvl w:ilvl="3" w:tplc="5F0CA54E">
      <w:start w:val="1"/>
      <w:numFmt w:val="bullet"/>
      <w:lvlText w:val=""/>
      <w:lvlJc w:val="left"/>
      <w:pPr>
        <w:ind w:left="2880" w:hanging="360"/>
      </w:pPr>
      <w:rPr>
        <w:rFonts w:ascii="Symbol" w:hAnsi="Symbol" w:hint="default"/>
      </w:rPr>
    </w:lvl>
    <w:lvl w:ilvl="4" w:tplc="2B92EAF0">
      <w:start w:val="1"/>
      <w:numFmt w:val="bullet"/>
      <w:lvlText w:val="o"/>
      <w:lvlJc w:val="left"/>
      <w:pPr>
        <w:ind w:left="3600" w:hanging="360"/>
      </w:pPr>
      <w:rPr>
        <w:rFonts w:ascii="Courier New" w:hAnsi="Courier New" w:cs="Courier New" w:hint="default"/>
      </w:rPr>
    </w:lvl>
    <w:lvl w:ilvl="5" w:tplc="9D1CAA1E">
      <w:start w:val="1"/>
      <w:numFmt w:val="bullet"/>
      <w:lvlText w:val=""/>
      <w:lvlJc w:val="left"/>
      <w:pPr>
        <w:ind w:left="4320" w:hanging="360"/>
      </w:pPr>
      <w:rPr>
        <w:rFonts w:ascii="Wingdings" w:hAnsi="Wingdings" w:hint="default"/>
      </w:rPr>
    </w:lvl>
    <w:lvl w:ilvl="6" w:tplc="C51C470C">
      <w:start w:val="1"/>
      <w:numFmt w:val="bullet"/>
      <w:lvlText w:val=""/>
      <w:lvlJc w:val="left"/>
      <w:pPr>
        <w:ind w:left="5040" w:hanging="360"/>
      </w:pPr>
      <w:rPr>
        <w:rFonts w:ascii="Symbol" w:hAnsi="Symbol" w:hint="default"/>
      </w:rPr>
    </w:lvl>
    <w:lvl w:ilvl="7" w:tplc="F2D21DCC">
      <w:start w:val="1"/>
      <w:numFmt w:val="bullet"/>
      <w:lvlText w:val="o"/>
      <w:lvlJc w:val="left"/>
      <w:pPr>
        <w:ind w:left="5760" w:hanging="360"/>
      </w:pPr>
      <w:rPr>
        <w:rFonts w:ascii="Courier New" w:hAnsi="Courier New" w:cs="Courier New" w:hint="default"/>
      </w:rPr>
    </w:lvl>
    <w:lvl w:ilvl="8" w:tplc="8CD43154">
      <w:start w:val="1"/>
      <w:numFmt w:val="bullet"/>
      <w:lvlText w:val=""/>
      <w:lvlJc w:val="left"/>
      <w:pPr>
        <w:ind w:left="6480" w:hanging="360"/>
      </w:pPr>
      <w:rPr>
        <w:rFonts w:ascii="Wingdings" w:hAnsi="Wingdings" w:hint="default"/>
      </w:rPr>
    </w:lvl>
  </w:abstractNum>
  <w:abstractNum w:abstractNumId="2" w15:restartNumberingAfterBreak="0">
    <w:nsid w:val="0AD4143C"/>
    <w:multiLevelType w:val="hybridMultilevel"/>
    <w:tmpl w:val="D8F4B610"/>
    <w:lvl w:ilvl="0" w:tplc="0E065FE4">
      <w:start w:val="1"/>
      <w:numFmt w:val="bullet"/>
      <w:lvlText w:val=""/>
      <w:lvlJc w:val="left"/>
      <w:pPr>
        <w:ind w:left="577" w:hanging="360"/>
      </w:pPr>
      <w:rPr>
        <w:rFonts w:ascii="Symbol" w:hAnsi="Symbol" w:hint="default"/>
      </w:rPr>
    </w:lvl>
    <w:lvl w:ilvl="1" w:tplc="32460CB2">
      <w:start w:val="1"/>
      <w:numFmt w:val="bullet"/>
      <w:lvlText w:val="o"/>
      <w:lvlJc w:val="left"/>
      <w:pPr>
        <w:ind w:left="1297" w:hanging="360"/>
      </w:pPr>
      <w:rPr>
        <w:rFonts w:ascii="Courier New" w:hAnsi="Courier New" w:cs="Courier New" w:hint="default"/>
      </w:rPr>
    </w:lvl>
    <w:lvl w:ilvl="2" w:tplc="66B810E4">
      <w:start w:val="1"/>
      <w:numFmt w:val="bullet"/>
      <w:lvlText w:val=""/>
      <w:lvlJc w:val="left"/>
      <w:pPr>
        <w:ind w:left="2017" w:hanging="360"/>
      </w:pPr>
      <w:rPr>
        <w:rFonts w:ascii="Wingdings" w:hAnsi="Wingdings" w:hint="default"/>
      </w:rPr>
    </w:lvl>
    <w:lvl w:ilvl="3" w:tplc="5C9AE018">
      <w:start w:val="1"/>
      <w:numFmt w:val="bullet"/>
      <w:lvlText w:val=""/>
      <w:lvlJc w:val="left"/>
      <w:pPr>
        <w:ind w:left="2737" w:hanging="360"/>
      </w:pPr>
      <w:rPr>
        <w:rFonts w:ascii="Symbol" w:hAnsi="Symbol" w:hint="default"/>
      </w:rPr>
    </w:lvl>
    <w:lvl w:ilvl="4" w:tplc="83721E26">
      <w:start w:val="1"/>
      <w:numFmt w:val="bullet"/>
      <w:lvlText w:val="o"/>
      <w:lvlJc w:val="left"/>
      <w:pPr>
        <w:ind w:left="3457" w:hanging="360"/>
      </w:pPr>
      <w:rPr>
        <w:rFonts w:ascii="Courier New" w:hAnsi="Courier New" w:cs="Courier New" w:hint="default"/>
      </w:rPr>
    </w:lvl>
    <w:lvl w:ilvl="5" w:tplc="0A8ABDF8">
      <w:start w:val="1"/>
      <w:numFmt w:val="bullet"/>
      <w:lvlText w:val=""/>
      <w:lvlJc w:val="left"/>
      <w:pPr>
        <w:ind w:left="4177" w:hanging="360"/>
      </w:pPr>
      <w:rPr>
        <w:rFonts w:ascii="Wingdings" w:hAnsi="Wingdings" w:hint="default"/>
      </w:rPr>
    </w:lvl>
    <w:lvl w:ilvl="6" w:tplc="7EE6E3FE">
      <w:start w:val="1"/>
      <w:numFmt w:val="bullet"/>
      <w:lvlText w:val=""/>
      <w:lvlJc w:val="left"/>
      <w:pPr>
        <w:ind w:left="4897" w:hanging="360"/>
      </w:pPr>
      <w:rPr>
        <w:rFonts w:ascii="Symbol" w:hAnsi="Symbol" w:hint="default"/>
      </w:rPr>
    </w:lvl>
    <w:lvl w:ilvl="7" w:tplc="394C6102">
      <w:start w:val="1"/>
      <w:numFmt w:val="bullet"/>
      <w:lvlText w:val="o"/>
      <w:lvlJc w:val="left"/>
      <w:pPr>
        <w:ind w:left="5617" w:hanging="360"/>
      </w:pPr>
      <w:rPr>
        <w:rFonts w:ascii="Courier New" w:hAnsi="Courier New" w:cs="Courier New" w:hint="default"/>
      </w:rPr>
    </w:lvl>
    <w:lvl w:ilvl="8" w:tplc="ED044D74">
      <w:start w:val="1"/>
      <w:numFmt w:val="bullet"/>
      <w:lvlText w:val=""/>
      <w:lvlJc w:val="left"/>
      <w:pPr>
        <w:ind w:left="6337" w:hanging="360"/>
      </w:pPr>
      <w:rPr>
        <w:rFonts w:ascii="Wingdings" w:hAnsi="Wingdings" w:hint="default"/>
      </w:rPr>
    </w:lvl>
  </w:abstractNum>
  <w:abstractNum w:abstractNumId="3" w15:restartNumberingAfterBreak="0">
    <w:nsid w:val="0C374E9B"/>
    <w:multiLevelType w:val="hybridMultilevel"/>
    <w:tmpl w:val="875668D2"/>
    <w:lvl w:ilvl="0" w:tplc="C0BA3C98">
      <w:start w:val="1"/>
      <w:numFmt w:val="decimal"/>
      <w:pStyle w:val="5"/>
      <w:lvlText w:val="%1."/>
      <w:lvlJc w:val="left"/>
      <w:pPr>
        <w:tabs>
          <w:tab w:val="num" w:pos="1492"/>
        </w:tabs>
        <w:ind w:left="1492" w:hanging="360"/>
      </w:pPr>
    </w:lvl>
    <w:lvl w:ilvl="1" w:tplc="08C6EA7C">
      <w:start w:val="1"/>
      <w:numFmt w:val="bullet"/>
      <w:lvlText w:val="o"/>
      <w:lvlJc w:val="left"/>
      <w:pPr>
        <w:ind w:left="1440" w:hanging="360"/>
      </w:pPr>
      <w:rPr>
        <w:rFonts w:ascii="Courier New" w:eastAsia="Courier New" w:hAnsi="Courier New" w:cs="Courier New" w:hint="default"/>
      </w:rPr>
    </w:lvl>
    <w:lvl w:ilvl="2" w:tplc="3E36FCBE">
      <w:start w:val="1"/>
      <w:numFmt w:val="bullet"/>
      <w:lvlText w:val="§"/>
      <w:lvlJc w:val="left"/>
      <w:pPr>
        <w:ind w:left="2160" w:hanging="360"/>
      </w:pPr>
      <w:rPr>
        <w:rFonts w:ascii="Wingdings" w:eastAsia="Wingdings" w:hAnsi="Wingdings" w:cs="Wingdings" w:hint="default"/>
      </w:rPr>
    </w:lvl>
    <w:lvl w:ilvl="3" w:tplc="D18A2014">
      <w:start w:val="1"/>
      <w:numFmt w:val="bullet"/>
      <w:lvlText w:val="·"/>
      <w:lvlJc w:val="left"/>
      <w:pPr>
        <w:ind w:left="2880" w:hanging="360"/>
      </w:pPr>
      <w:rPr>
        <w:rFonts w:ascii="Symbol" w:eastAsia="Symbol" w:hAnsi="Symbol" w:cs="Symbol" w:hint="default"/>
      </w:rPr>
    </w:lvl>
    <w:lvl w:ilvl="4" w:tplc="18A4C33E">
      <w:start w:val="1"/>
      <w:numFmt w:val="bullet"/>
      <w:lvlText w:val="o"/>
      <w:lvlJc w:val="left"/>
      <w:pPr>
        <w:ind w:left="3600" w:hanging="360"/>
      </w:pPr>
      <w:rPr>
        <w:rFonts w:ascii="Courier New" w:eastAsia="Courier New" w:hAnsi="Courier New" w:cs="Courier New" w:hint="default"/>
      </w:rPr>
    </w:lvl>
    <w:lvl w:ilvl="5" w:tplc="DB5CF5D4">
      <w:start w:val="1"/>
      <w:numFmt w:val="bullet"/>
      <w:lvlText w:val="§"/>
      <w:lvlJc w:val="left"/>
      <w:pPr>
        <w:ind w:left="4320" w:hanging="360"/>
      </w:pPr>
      <w:rPr>
        <w:rFonts w:ascii="Wingdings" w:eastAsia="Wingdings" w:hAnsi="Wingdings" w:cs="Wingdings" w:hint="default"/>
      </w:rPr>
    </w:lvl>
    <w:lvl w:ilvl="6" w:tplc="69E29D88">
      <w:start w:val="1"/>
      <w:numFmt w:val="bullet"/>
      <w:lvlText w:val="·"/>
      <w:lvlJc w:val="left"/>
      <w:pPr>
        <w:ind w:left="5040" w:hanging="360"/>
      </w:pPr>
      <w:rPr>
        <w:rFonts w:ascii="Symbol" w:eastAsia="Symbol" w:hAnsi="Symbol" w:cs="Symbol" w:hint="default"/>
      </w:rPr>
    </w:lvl>
    <w:lvl w:ilvl="7" w:tplc="D0388EC2">
      <w:start w:val="1"/>
      <w:numFmt w:val="bullet"/>
      <w:lvlText w:val="o"/>
      <w:lvlJc w:val="left"/>
      <w:pPr>
        <w:ind w:left="5760" w:hanging="360"/>
      </w:pPr>
      <w:rPr>
        <w:rFonts w:ascii="Courier New" w:eastAsia="Courier New" w:hAnsi="Courier New" w:cs="Courier New" w:hint="default"/>
      </w:rPr>
    </w:lvl>
    <w:lvl w:ilvl="8" w:tplc="447215E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5C612D2"/>
    <w:multiLevelType w:val="hybridMultilevel"/>
    <w:tmpl w:val="857EA756"/>
    <w:lvl w:ilvl="0" w:tplc="16EE2EEA">
      <w:start w:val="1"/>
      <w:numFmt w:val="decimal"/>
      <w:lvlText w:val="%1."/>
      <w:lvlJc w:val="left"/>
      <w:pPr>
        <w:ind w:left="360" w:hanging="360"/>
      </w:pPr>
    </w:lvl>
    <w:lvl w:ilvl="1" w:tplc="4E548642">
      <w:start w:val="1"/>
      <w:numFmt w:val="lowerLetter"/>
      <w:lvlText w:val="%2."/>
      <w:lvlJc w:val="left"/>
      <w:pPr>
        <w:ind w:left="1080" w:hanging="360"/>
      </w:pPr>
    </w:lvl>
    <w:lvl w:ilvl="2" w:tplc="355208B4">
      <w:start w:val="1"/>
      <w:numFmt w:val="lowerRoman"/>
      <w:lvlText w:val="%3."/>
      <w:lvlJc w:val="right"/>
      <w:pPr>
        <w:ind w:left="1800" w:hanging="180"/>
      </w:pPr>
    </w:lvl>
    <w:lvl w:ilvl="3" w:tplc="49BAE80E">
      <w:start w:val="1"/>
      <w:numFmt w:val="decimal"/>
      <w:lvlText w:val="%4."/>
      <w:lvlJc w:val="left"/>
      <w:pPr>
        <w:ind w:left="2520" w:hanging="360"/>
      </w:pPr>
    </w:lvl>
    <w:lvl w:ilvl="4" w:tplc="1B4ECB14">
      <w:start w:val="1"/>
      <w:numFmt w:val="lowerLetter"/>
      <w:lvlText w:val="%5."/>
      <w:lvlJc w:val="left"/>
      <w:pPr>
        <w:ind w:left="3240" w:hanging="360"/>
      </w:pPr>
    </w:lvl>
    <w:lvl w:ilvl="5" w:tplc="6CC42954">
      <w:start w:val="1"/>
      <w:numFmt w:val="lowerRoman"/>
      <w:lvlText w:val="%6."/>
      <w:lvlJc w:val="right"/>
      <w:pPr>
        <w:ind w:left="3960" w:hanging="180"/>
      </w:pPr>
    </w:lvl>
    <w:lvl w:ilvl="6" w:tplc="C07CFD62">
      <w:start w:val="1"/>
      <w:numFmt w:val="decimal"/>
      <w:lvlText w:val="%7."/>
      <w:lvlJc w:val="left"/>
      <w:pPr>
        <w:ind w:left="4680" w:hanging="360"/>
      </w:pPr>
    </w:lvl>
    <w:lvl w:ilvl="7" w:tplc="230283B0">
      <w:start w:val="1"/>
      <w:numFmt w:val="lowerLetter"/>
      <w:lvlText w:val="%8."/>
      <w:lvlJc w:val="left"/>
      <w:pPr>
        <w:ind w:left="5400" w:hanging="360"/>
      </w:pPr>
    </w:lvl>
    <w:lvl w:ilvl="8" w:tplc="824284DE">
      <w:start w:val="1"/>
      <w:numFmt w:val="lowerRoman"/>
      <w:lvlText w:val="%9."/>
      <w:lvlJc w:val="right"/>
      <w:pPr>
        <w:ind w:left="6120" w:hanging="180"/>
      </w:pPr>
    </w:lvl>
  </w:abstractNum>
  <w:abstractNum w:abstractNumId="5" w15:restartNumberingAfterBreak="0">
    <w:nsid w:val="1BBB1E11"/>
    <w:multiLevelType w:val="hybridMultilevel"/>
    <w:tmpl w:val="4F4C84E4"/>
    <w:lvl w:ilvl="0" w:tplc="8BE8E262">
      <w:start w:val="1"/>
      <w:numFmt w:val="bullet"/>
      <w:lvlText w:val=""/>
      <w:lvlJc w:val="left"/>
      <w:pPr>
        <w:ind w:left="1429" w:hanging="360"/>
      </w:pPr>
      <w:rPr>
        <w:rFonts w:ascii="Symbol" w:hAnsi="Symbol" w:hint="default"/>
      </w:rPr>
    </w:lvl>
    <w:lvl w:ilvl="1" w:tplc="59987F7A">
      <w:start w:val="1"/>
      <w:numFmt w:val="bullet"/>
      <w:lvlText w:val="o"/>
      <w:lvlJc w:val="left"/>
      <w:pPr>
        <w:ind w:left="2149" w:hanging="360"/>
      </w:pPr>
      <w:rPr>
        <w:rFonts w:ascii="Courier New" w:hAnsi="Courier New" w:cs="Courier New" w:hint="default"/>
      </w:rPr>
    </w:lvl>
    <w:lvl w:ilvl="2" w:tplc="DE6C571A">
      <w:start w:val="1"/>
      <w:numFmt w:val="bullet"/>
      <w:lvlText w:val=""/>
      <w:lvlJc w:val="left"/>
      <w:pPr>
        <w:ind w:left="2869" w:hanging="360"/>
      </w:pPr>
      <w:rPr>
        <w:rFonts w:ascii="Wingdings" w:hAnsi="Wingdings" w:hint="default"/>
      </w:rPr>
    </w:lvl>
    <w:lvl w:ilvl="3" w:tplc="0058B2D0">
      <w:start w:val="1"/>
      <w:numFmt w:val="bullet"/>
      <w:lvlText w:val=""/>
      <w:lvlJc w:val="left"/>
      <w:pPr>
        <w:ind w:left="3589" w:hanging="360"/>
      </w:pPr>
      <w:rPr>
        <w:rFonts w:ascii="Symbol" w:hAnsi="Symbol" w:hint="default"/>
      </w:rPr>
    </w:lvl>
    <w:lvl w:ilvl="4" w:tplc="75E41382">
      <w:start w:val="1"/>
      <w:numFmt w:val="bullet"/>
      <w:lvlText w:val="o"/>
      <w:lvlJc w:val="left"/>
      <w:pPr>
        <w:ind w:left="4309" w:hanging="360"/>
      </w:pPr>
      <w:rPr>
        <w:rFonts w:ascii="Courier New" w:hAnsi="Courier New" w:cs="Courier New" w:hint="default"/>
      </w:rPr>
    </w:lvl>
    <w:lvl w:ilvl="5" w:tplc="A7526338">
      <w:start w:val="1"/>
      <w:numFmt w:val="bullet"/>
      <w:lvlText w:val=""/>
      <w:lvlJc w:val="left"/>
      <w:pPr>
        <w:ind w:left="5029" w:hanging="360"/>
      </w:pPr>
      <w:rPr>
        <w:rFonts w:ascii="Wingdings" w:hAnsi="Wingdings" w:hint="default"/>
      </w:rPr>
    </w:lvl>
    <w:lvl w:ilvl="6" w:tplc="D74E4D64">
      <w:start w:val="1"/>
      <w:numFmt w:val="bullet"/>
      <w:lvlText w:val=""/>
      <w:lvlJc w:val="left"/>
      <w:pPr>
        <w:ind w:left="5749" w:hanging="360"/>
      </w:pPr>
      <w:rPr>
        <w:rFonts w:ascii="Symbol" w:hAnsi="Symbol" w:hint="default"/>
      </w:rPr>
    </w:lvl>
    <w:lvl w:ilvl="7" w:tplc="55F04098">
      <w:start w:val="1"/>
      <w:numFmt w:val="bullet"/>
      <w:lvlText w:val="o"/>
      <w:lvlJc w:val="left"/>
      <w:pPr>
        <w:ind w:left="6469" w:hanging="360"/>
      </w:pPr>
      <w:rPr>
        <w:rFonts w:ascii="Courier New" w:hAnsi="Courier New" w:cs="Courier New" w:hint="default"/>
      </w:rPr>
    </w:lvl>
    <w:lvl w:ilvl="8" w:tplc="57747D5A">
      <w:start w:val="1"/>
      <w:numFmt w:val="bullet"/>
      <w:lvlText w:val=""/>
      <w:lvlJc w:val="left"/>
      <w:pPr>
        <w:ind w:left="7189" w:hanging="360"/>
      </w:pPr>
      <w:rPr>
        <w:rFonts w:ascii="Wingdings" w:hAnsi="Wingdings" w:hint="default"/>
      </w:rPr>
    </w:lvl>
  </w:abstractNum>
  <w:abstractNum w:abstractNumId="6" w15:restartNumberingAfterBreak="0">
    <w:nsid w:val="1F536A03"/>
    <w:multiLevelType w:val="hybridMultilevel"/>
    <w:tmpl w:val="974A840A"/>
    <w:lvl w:ilvl="0" w:tplc="063455BA">
      <w:start w:val="1"/>
      <w:numFmt w:val="bullet"/>
      <w:lvlText w:val=""/>
      <w:lvlJc w:val="left"/>
      <w:pPr>
        <w:ind w:left="1429" w:hanging="360"/>
      </w:pPr>
      <w:rPr>
        <w:rFonts w:ascii="Symbol" w:hAnsi="Symbol" w:hint="default"/>
      </w:rPr>
    </w:lvl>
    <w:lvl w:ilvl="1" w:tplc="125CB9DE">
      <w:start w:val="1"/>
      <w:numFmt w:val="bullet"/>
      <w:lvlText w:val="o"/>
      <w:lvlJc w:val="left"/>
      <w:pPr>
        <w:ind w:left="2149" w:hanging="360"/>
      </w:pPr>
      <w:rPr>
        <w:rFonts w:ascii="Courier New" w:hAnsi="Courier New" w:cs="Courier New" w:hint="default"/>
      </w:rPr>
    </w:lvl>
    <w:lvl w:ilvl="2" w:tplc="F7B0A07A">
      <w:start w:val="1"/>
      <w:numFmt w:val="bullet"/>
      <w:lvlText w:val=""/>
      <w:lvlJc w:val="left"/>
      <w:pPr>
        <w:ind w:left="2869" w:hanging="360"/>
      </w:pPr>
      <w:rPr>
        <w:rFonts w:ascii="Wingdings" w:hAnsi="Wingdings" w:hint="default"/>
      </w:rPr>
    </w:lvl>
    <w:lvl w:ilvl="3" w:tplc="EA0EB06A">
      <w:start w:val="1"/>
      <w:numFmt w:val="bullet"/>
      <w:lvlText w:val=""/>
      <w:lvlJc w:val="left"/>
      <w:pPr>
        <w:ind w:left="3589" w:hanging="360"/>
      </w:pPr>
      <w:rPr>
        <w:rFonts w:ascii="Symbol" w:hAnsi="Symbol" w:hint="default"/>
      </w:rPr>
    </w:lvl>
    <w:lvl w:ilvl="4" w:tplc="4A96AD30">
      <w:start w:val="1"/>
      <w:numFmt w:val="bullet"/>
      <w:lvlText w:val="o"/>
      <w:lvlJc w:val="left"/>
      <w:pPr>
        <w:ind w:left="4309" w:hanging="360"/>
      </w:pPr>
      <w:rPr>
        <w:rFonts w:ascii="Courier New" w:hAnsi="Courier New" w:cs="Courier New" w:hint="default"/>
      </w:rPr>
    </w:lvl>
    <w:lvl w:ilvl="5" w:tplc="B264209A">
      <w:start w:val="1"/>
      <w:numFmt w:val="bullet"/>
      <w:lvlText w:val=""/>
      <w:lvlJc w:val="left"/>
      <w:pPr>
        <w:ind w:left="5029" w:hanging="360"/>
      </w:pPr>
      <w:rPr>
        <w:rFonts w:ascii="Wingdings" w:hAnsi="Wingdings" w:hint="default"/>
      </w:rPr>
    </w:lvl>
    <w:lvl w:ilvl="6" w:tplc="08B20552">
      <w:start w:val="1"/>
      <w:numFmt w:val="bullet"/>
      <w:lvlText w:val=""/>
      <w:lvlJc w:val="left"/>
      <w:pPr>
        <w:ind w:left="5749" w:hanging="360"/>
      </w:pPr>
      <w:rPr>
        <w:rFonts w:ascii="Symbol" w:hAnsi="Symbol" w:hint="default"/>
      </w:rPr>
    </w:lvl>
    <w:lvl w:ilvl="7" w:tplc="61764AA4">
      <w:start w:val="1"/>
      <w:numFmt w:val="bullet"/>
      <w:lvlText w:val="o"/>
      <w:lvlJc w:val="left"/>
      <w:pPr>
        <w:ind w:left="6469" w:hanging="360"/>
      </w:pPr>
      <w:rPr>
        <w:rFonts w:ascii="Courier New" w:hAnsi="Courier New" w:cs="Courier New" w:hint="default"/>
      </w:rPr>
    </w:lvl>
    <w:lvl w:ilvl="8" w:tplc="DA9C3B1A">
      <w:start w:val="1"/>
      <w:numFmt w:val="bullet"/>
      <w:lvlText w:val=""/>
      <w:lvlJc w:val="left"/>
      <w:pPr>
        <w:ind w:left="7189" w:hanging="360"/>
      </w:pPr>
      <w:rPr>
        <w:rFonts w:ascii="Wingdings" w:hAnsi="Wingdings" w:hint="default"/>
      </w:rPr>
    </w:lvl>
  </w:abstractNum>
  <w:abstractNum w:abstractNumId="7" w15:restartNumberingAfterBreak="0">
    <w:nsid w:val="25B71EE5"/>
    <w:multiLevelType w:val="hybridMultilevel"/>
    <w:tmpl w:val="DC345EDE"/>
    <w:lvl w:ilvl="0" w:tplc="C74C58C6">
      <w:start w:val="1"/>
      <w:numFmt w:val="decimal"/>
      <w:lvlText w:val="%1)"/>
      <w:lvlJc w:val="left"/>
      <w:pPr>
        <w:ind w:left="1068" w:hanging="360"/>
      </w:pPr>
    </w:lvl>
    <w:lvl w:ilvl="1" w:tplc="223A529C">
      <w:start w:val="1"/>
      <w:numFmt w:val="lowerLetter"/>
      <w:lvlText w:val="%2."/>
      <w:lvlJc w:val="left"/>
      <w:pPr>
        <w:ind w:left="1789" w:hanging="360"/>
      </w:pPr>
    </w:lvl>
    <w:lvl w:ilvl="2" w:tplc="B128BBC8">
      <w:start w:val="1"/>
      <w:numFmt w:val="lowerRoman"/>
      <w:lvlText w:val="%3."/>
      <w:lvlJc w:val="right"/>
      <w:pPr>
        <w:ind w:left="2509" w:hanging="180"/>
      </w:pPr>
    </w:lvl>
    <w:lvl w:ilvl="3" w:tplc="6D7499B8">
      <w:start w:val="1"/>
      <w:numFmt w:val="decimal"/>
      <w:lvlText w:val="%4."/>
      <w:lvlJc w:val="left"/>
      <w:pPr>
        <w:ind w:left="3229" w:hanging="360"/>
      </w:pPr>
    </w:lvl>
    <w:lvl w:ilvl="4" w:tplc="8E9C5F3A">
      <w:start w:val="1"/>
      <w:numFmt w:val="lowerLetter"/>
      <w:lvlText w:val="%5."/>
      <w:lvlJc w:val="left"/>
      <w:pPr>
        <w:ind w:left="3949" w:hanging="360"/>
      </w:pPr>
    </w:lvl>
    <w:lvl w:ilvl="5" w:tplc="CA4A2990">
      <w:start w:val="1"/>
      <w:numFmt w:val="lowerRoman"/>
      <w:lvlText w:val="%6."/>
      <w:lvlJc w:val="right"/>
      <w:pPr>
        <w:ind w:left="4669" w:hanging="180"/>
      </w:pPr>
    </w:lvl>
    <w:lvl w:ilvl="6" w:tplc="E3F6D284">
      <w:start w:val="1"/>
      <w:numFmt w:val="decimal"/>
      <w:lvlText w:val="%7."/>
      <w:lvlJc w:val="left"/>
      <w:pPr>
        <w:ind w:left="5389" w:hanging="360"/>
      </w:pPr>
    </w:lvl>
    <w:lvl w:ilvl="7" w:tplc="B71AEBD0">
      <w:start w:val="1"/>
      <w:numFmt w:val="lowerLetter"/>
      <w:lvlText w:val="%8."/>
      <w:lvlJc w:val="left"/>
      <w:pPr>
        <w:ind w:left="6109" w:hanging="360"/>
      </w:pPr>
    </w:lvl>
    <w:lvl w:ilvl="8" w:tplc="2BDCE512">
      <w:start w:val="1"/>
      <w:numFmt w:val="lowerRoman"/>
      <w:lvlText w:val="%9."/>
      <w:lvlJc w:val="right"/>
      <w:pPr>
        <w:ind w:left="6829" w:hanging="180"/>
      </w:pPr>
    </w:lvl>
  </w:abstractNum>
  <w:abstractNum w:abstractNumId="8" w15:restartNumberingAfterBreak="0">
    <w:nsid w:val="2D3F078B"/>
    <w:multiLevelType w:val="hybridMultilevel"/>
    <w:tmpl w:val="3EA47556"/>
    <w:lvl w:ilvl="0" w:tplc="C060BF60">
      <w:start w:val="1"/>
      <w:numFmt w:val="decimal"/>
      <w:pStyle w:val="a"/>
      <w:lvlText w:val="%1."/>
      <w:lvlJc w:val="left"/>
      <w:pPr>
        <w:ind w:left="720" w:hanging="360"/>
      </w:pPr>
      <w:rPr>
        <w:rFonts w:hint="default"/>
      </w:rPr>
    </w:lvl>
    <w:lvl w:ilvl="1" w:tplc="55480FEC">
      <w:start w:val="1"/>
      <w:numFmt w:val="lowerLetter"/>
      <w:lvlText w:val="%2."/>
      <w:lvlJc w:val="left"/>
      <w:pPr>
        <w:ind w:left="1440" w:hanging="360"/>
      </w:pPr>
    </w:lvl>
    <w:lvl w:ilvl="2" w:tplc="2A2C4F36">
      <w:start w:val="1"/>
      <w:numFmt w:val="lowerRoman"/>
      <w:lvlText w:val="%3."/>
      <w:lvlJc w:val="right"/>
      <w:pPr>
        <w:ind w:left="2160" w:hanging="180"/>
      </w:pPr>
    </w:lvl>
    <w:lvl w:ilvl="3" w:tplc="4EA8016E">
      <w:start w:val="1"/>
      <w:numFmt w:val="decimal"/>
      <w:lvlText w:val="%4."/>
      <w:lvlJc w:val="left"/>
      <w:pPr>
        <w:ind w:left="2880" w:hanging="360"/>
      </w:pPr>
    </w:lvl>
    <w:lvl w:ilvl="4" w:tplc="455089BA">
      <w:start w:val="1"/>
      <w:numFmt w:val="lowerLetter"/>
      <w:lvlText w:val="%5."/>
      <w:lvlJc w:val="left"/>
      <w:pPr>
        <w:ind w:left="3600" w:hanging="360"/>
      </w:pPr>
    </w:lvl>
    <w:lvl w:ilvl="5" w:tplc="132CEE94">
      <w:start w:val="1"/>
      <w:numFmt w:val="lowerRoman"/>
      <w:lvlText w:val="%6."/>
      <w:lvlJc w:val="right"/>
      <w:pPr>
        <w:ind w:left="4320" w:hanging="180"/>
      </w:pPr>
    </w:lvl>
    <w:lvl w:ilvl="6" w:tplc="255C7F1A">
      <w:start w:val="1"/>
      <w:numFmt w:val="decimal"/>
      <w:lvlText w:val="%7."/>
      <w:lvlJc w:val="left"/>
      <w:pPr>
        <w:ind w:left="5040" w:hanging="360"/>
      </w:pPr>
    </w:lvl>
    <w:lvl w:ilvl="7" w:tplc="8AAEA078">
      <w:start w:val="1"/>
      <w:numFmt w:val="lowerLetter"/>
      <w:lvlText w:val="%8."/>
      <w:lvlJc w:val="left"/>
      <w:pPr>
        <w:ind w:left="5760" w:hanging="360"/>
      </w:pPr>
    </w:lvl>
    <w:lvl w:ilvl="8" w:tplc="88C0ACE6">
      <w:start w:val="1"/>
      <w:numFmt w:val="lowerRoman"/>
      <w:lvlText w:val="%9."/>
      <w:lvlJc w:val="right"/>
      <w:pPr>
        <w:ind w:left="6480" w:hanging="180"/>
      </w:pPr>
    </w:lvl>
  </w:abstractNum>
  <w:abstractNum w:abstractNumId="9" w15:restartNumberingAfterBreak="0">
    <w:nsid w:val="2E7D30B0"/>
    <w:multiLevelType w:val="hybridMultilevel"/>
    <w:tmpl w:val="0D6653D0"/>
    <w:lvl w:ilvl="0" w:tplc="C47E8E80">
      <w:start w:val="1"/>
      <w:numFmt w:val="decimal"/>
      <w:lvlText w:val="%1."/>
      <w:lvlJc w:val="left"/>
      <w:pPr>
        <w:ind w:left="720" w:hanging="360"/>
      </w:pPr>
    </w:lvl>
    <w:lvl w:ilvl="1" w:tplc="560A250C">
      <w:start w:val="1"/>
      <w:numFmt w:val="lowerLetter"/>
      <w:lvlText w:val="%2."/>
      <w:lvlJc w:val="left"/>
      <w:pPr>
        <w:ind w:left="1440" w:hanging="360"/>
      </w:pPr>
    </w:lvl>
    <w:lvl w:ilvl="2" w:tplc="BCAA7744">
      <w:start w:val="1"/>
      <w:numFmt w:val="lowerRoman"/>
      <w:lvlText w:val="%3."/>
      <w:lvlJc w:val="right"/>
      <w:pPr>
        <w:ind w:left="2160" w:hanging="180"/>
      </w:pPr>
    </w:lvl>
    <w:lvl w:ilvl="3" w:tplc="C8F8911C">
      <w:start w:val="1"/>
      <w:numFmt w:val="decimal"/>
      <w:lvlText w:val="%4."/>
      <w:lvlJc w:val="left"/>
      <w:pPr>
        <w:ind w:left="2880" w:hanging="360"/>
      </w:pPr>
    </w:lvl>
    <w:lvl w:ilvl="4" w:tplc="6B10DA0A">
      <w:start w:val="1"/>
      <w:numFmt w:val="lowerLetter"/>
      <w:lvlText w:val="%5."/>
      <w:lvlJc w:val="left"/>
      <w:pPr>
        <w:ind w:left="3600" w:hanging="360"/>
      </w:pPr>
    </w:lvl>
    <w:lvl w:ilvl="5" w:tplc="39B2B860">
      <w:start w:val="1"/>
      <w:numFmt w:val="lowerRoman"/>
      <w:lvlText w:val="%6."/>
      <w:lvlJc w:val="right"/>
      <w:pPr>
        <w:ind w:left="4320" w:hanging="180"/>
      </w:pPr>
    </w:lvl>
    <w:lvl w:ilvl="6" w:tplc="BAD2BEC0">
      <w:start w:val="1"/>
      <w:numFmt w:val="decimal"/>
      <w:lvlText w:val="%7."/>
      <w:lvlJc w:val="left"/>
      <w:pPr>
        <w:ind w:left="5040" w:hanging="360"/>
      </w:pPr>
    </w:lvl>
    <w:lvl w:ilvl="7" w:tplc="64A0C8B2">
      <w:start w:val="1"/>
      <w:numFmt w:val="lowerLetter"/>
      <w:lvlText w:val="%8."/>
      <w:lvlJc w:val="left"/>
      <w:pPr>
        <w:ind w:left="5760" w:hanging="360"/>
      </w:pPr>
    </w:lvl>
    <w:lvl w:ilvl="8" w:tplc="0C52080A">
      <w:start w:val="1"/>
      <w:numFmt w:val="lowerRoman"/>
      <w:lvlText w:val="%9."/>
      <w:lvlJc w:val="right"/>
      <w:pPr>
        <w:ind w:left="6480" w:hanging="180"/>
      </w:pPr>
    </w:lvl>
  </w:abstractNum>
  <w:abstractNum w:abstractNumId="10" w15:restartNumberingAfterBreak="0">
    <w:nsid w:val="31CF1D4D"/>
    <w:multiLevelType w:val="hybridMultilevel"/>
    <w:tmpl w:val="A25E8AF0"/>
    <w:lvl w:ilvl="0" w:tplc="9EFEE17A">
      <w:start w:val="1"/>
      <w:numFmt w:val="bullet"/>
      <w:pStyle w:val="-1"/>
      <w:lvlText w:val=""/>
      <w:lvlJc w:val="left"/>
      <w:pPr>
        <w:tabs>
          <w:tab w:val="num" w:pos="709"/>
        </w:tabs>
        <w:ind w:left="709" w:hanging="352"/>
      </w:pPr>
      <w:rPr>
        <w:rFonts w:ascii="Wingdings" w:hAnsi="Wingdings"/>
      </w:rPr>
    </w:lvl>
    <w:lvl w:ilvl="1" w:tplc="8376ADFE">
      <w:start w:val="1"/>
      <w:numFmt w:val="bullet"/>
      <w:lvlText w:val="o"/>
      <w:lvlJc w:val="left"/>
      <w:pPr>
        <w:ind w:left="1440" w:hanging="360"/>
      </w:pPr>
      <w:rPr>
        <w:rFonts w:ascii="Courier New" w:eastAsia="Courier New" w:hAnsi="Courier New" w:cs="Courier New" w:hint="default"/>
      </w:rPr>
    </w:lvl>
    <w:lvl w:ilvl="2" w:tplc="68FE7A72">
      <w:start w:val="1"/>
      <w:numFmt w:val="bullet"/>
      <w:lvlText w:val="§"/>
      <w:lvlJc w:val="left"/>
      <w:pPr>
        <w:ind w:left="2160" w:hanging="360"/>
      </w:pPr>
      <w:rPr>
        <w:rFonts w:ascii="Wingdings" w:eastAsia="Wingdings" w:hAnsi="Wingdings" w:cs="Wingdings" w:hint="default"/>
      </w:rPr>
    </w:lvl>
    <w:lvl w:ilvl="3" w:tplc="D744EAF0">
      <w:start w:val="1"/>
      <w:numFmt w:val="bullet"/>
      <w:lvlText w:val="·"/>
      <w:lvlJc w:val="left"/>
      <w:pPr>
        <w:ind w:left="2880" w:hanging="360"/>
      </w:pPr>
      <w:rPr>
        <w:rFonts w:ascii="Symbol" w:eastAsia="Symbol" w:hAnsi="Symbol" w:cs="Symbol" w:hint="default"/>
      </w:rPr>
    </w:lvl>
    <w:lvl w:ilvl="4" w:tplc="810623E6">
      <w:start w:val="1"/>
      <w:numFmt w:val="bullet"/>
      <w:lvlText w:val="o"/>
      <w:lvlJc w:val="left"/>
      <w:pPr>
        <w:ind w:left="3600" w:hanging="360"/>
      </w:pPr>
      <w:rPr>
        <w:rFonts w:ascii="Courier New" w:eastAsia="Courier New" w:hAnsi="Courier New" w:cs="Courier New" w:hint="default"/>
      </w:rPr>
    </w:lvl>
    <w:lvl w:ilvl="5" w:tplc="7B0295FA">
      <w:start w:val="1"/>
      <w:numFmt w:val="bullet"/>
      <w:lvlText w:val="§"/>
      <w:lvlJc w:val="left"/>
      <w:pPr>
        <w:ind w:left="4320" w:hanging="360"/>
      </w:pPr>
      <w:rPr>
        <w:rFonts w:ascii="Wingdings" w:eastAsia="Wingdings" w:hAnsi="Wingdings" w:cs="Wingdings" w:hint="default"/>
      </w:rPr>
    </w:lvl>
    <w:lvl w:ilvl="6" w:tplc="3A44BD34">
      <w:start w:val="1"/>
      <w:numFmt w:val="bullet"/>
      <w:lvlText w:val="·"/>
      <w:lvlJc w:val="left"/>
      <w:pPr>
        <w:ind w:left="5040" w:hanging="360"/>
      </w:pPr>
      <w:rPr>
        <w:rFonts w:ascii="Symbol" w:eastAsia="Symbol" w:hAnsi="Symbol" w:cs="Symbol" w:hint="default"/>
      </w:rPr>
    </w:lvl>
    <w:lvl w:ilvl="7" w:tplc="EAE60142">
      <w:start w:val="1"/>
      <w:numFmt w:val="bullet"/>
      <w:lvlText w:val="o"/>
      <w:lvlJc w:val="left"/>
      <w:pPr>
        <w:ind w:left="5760" w:hanging="360"/>
      </w:pPr>
      <w:rPr>
        <w:rFonts w:ascii="Courier New" w:eastAsia="Courier New" w:hAnsi="Courier New" w:cs="Courier New" w:hint="default"/>
      </w:rPr>
    </w:lvl>
    <w:lvl w:ilvl="8" w:tplc="B6FC5D0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25521B7"/>
    <w:multiLevelType w:val="hybridMultilevel"/>
    <w:tmpl w:val="3F146312"/>
    <w:lvl w:ilvl="0" w:tplc="2E54B298">
      <w:start w:val="1"/>
      <w:numFmt w:val="bullet"/>
      <w:lvlText w:val=""/>
      <w:lvlJc w:val="left"/>
      <w:pPr>
        <w:ind w:left="1068" w:hanging="360"/>
      </w:pPr>
      <w:rPr>
        <w:rFonts w:ascii="Symbol" w:hAnsi="Symbol" w:hint="default"/>
      </w:rPr>
    </w:lvl>
    <w:lvl w:ilvl="1" w:tplc="287C95E2">
      <w:start w:val="1"/>
      <w:numFmt w:val="lowerLetter"/>
      <w:lvlText w:val="%2."/>
      <w:lvlJc w:val="left"/>
      <w:pPr>
        <w:ind w:left="1789" w:hanging="360"/>
      </w:pPr>
    </w:lvl>
    <w:lvl w:ilvl="2" w:tplc="9D3A4250">
      <w:start w:val="1"/>
      <w:numFmt w:val="lowerRoman"/>
      <w:lvlText w:val="%3."/>
      <w:lvlJc w:val="right"/>
      <w:pPr>
        <w:ind w:left="2509" w:hanging="180"/>
      </w:pPr>
    </w:lvl>
    <w:lvl w:ilvl="3" w:tplc="7AD486BA">
      <w:start w:val="1"/>
      <w:numFmt w:val="decimal"/>
      <w:lvlText w:val="%4."/>
      <w:lvlJc w:val="left"/>
      <w:pPr>
        <w:ind w:left="3229" w:hanging="360"/>
      </w:pPr>
    </w:lvl>
    <w:lvl w:ilvl="4" w:tplc="02C47222">
      <w:start w:val="1"/>
      <w:numFmt w:val="lowerLetter"/>
      <w:lvlText w:val="%5."/>
      <w:lvlJc w:val="left"/>
      <w:pPr>
        <w:ind w:left="3949" w:hanging="360"/>
      </w:pPr>
    </w:lvl>
    <w:lvl w:ilvl="5" w:tplc="0A3E5EE8">
      <w:start w:val="1"/>
      <w:numFmt w:val="lowerRoman"/>
      <w:lvlText w:val="%6."/>
      <w:lvlJc w:val="right"/>
      <w:pPr>
        <w:ind w:left="4669" w:hanging="180"/>
      </w:pPr>
    </w:lvl>
    <w:lvl w:ilvl="6" w:tplc="6BAE894A">
      <w:start w:val="1"/>
      <w:numFmt w:val="decimal"/>
      <w:lvlText w:val="%7."/>
      <w:lvlJc w:val="left"/>
      <w:pPr>
        <w:ind w:left="5389" w:hanging="360"/>
      </w:pPr>
    </w:lvl>
    <w:lvl w:ilvl="7" w:tplc="3B4AF7B8">
      <w:start w:val="1"/>
      <w:numFmt w:val="lowerLetter"/>
      <w:lvlText w:val="%8."/>
      <w:lvlJc w:val="left"/>
      <w:pPr>
        <w:ind w:left="6109" w:hanging="360"/>
      </w:pPr>
    </w:lvl>
    <w:lvl w:ilvl="8" w:tplc="18249B96">
      <w:start w:val="1"/>
      <w:numFmt w:val="lowerRoman"/>
      <w:lvlText w:val="%9."/>
      <w:lvlJc w:val="right"/>
      <w:pPr>
        <w:ind w:left="6829" w:hanging="180"/>
      </w:pPr>
    </w:lvl>
  </w:abstractNum>
  <w:abstractNum w:abstractNumId="12" w15:restartNumberingAfterBreak="0">
    <w:nsid w:val="32C73F69"/>
    <w:multiLevelType w:val="hybridMultilevel"/>
    <w:tmpl w:val="ABA67586"/>
    <w:lvl w:ilvl="0" w:tplc="0B809836">
      <w:start w:val="1"/>
      <w:numFmt w:val="decimal"/>
      <w:suff w:val="space"/>
      <w:lvlText w:val="%1)"/>
      <w:lvlJc w:val="left"/>
    </w:lvl>
    <w:lvl w:ilvl="1" w:tplc="FF6C7D24">
      <w:start w:val="1"/>
      <w:numFmt w:val="bullet"/>
      <w:lvlText w:val="o"/>
      <w:lvlJc w:val="left"/>
      <w:pPr>
        <w:ind w:left="1440" w:hanging="360"/>
      </w:pPr>
      <w:rPr>
        <w:rFonts w:ascii="Courier New" w:eastAsia="Courier New" w:hAnsi="Courier New" w:cs="Courier New" w:hint="default"/>
      </w:rPr>
    </w:lvl>
    <w:lvl w:ilvl="2" w:tplc="2EC6C224">
      <w:start w:val="1"/>
      <w:numFmt w:val="bullet"/>
      <w:lvlText w:val="§"/>
      <w:lvlJc w:val="left"/>
      <w:pPr>
        <w:ind w:left="2160" w:hanging="360"/>
      </w:pPr>
      <w:rPr>
        <w:rFonts w:ascii="Wingdings" w:eastAsia="Wingdings" w:hAnsi="Wingdings" w:cs="Wingdings" w:hint="default"/>
      </w:rPr>
    </w:lvl>
    <w:lvl w:ilvl="3" w:tplc="7812B262">
      <w:start w:val="1"/>
      <w:numFmt w:val="bullet"/>
      <w:lvlText w:val="·"/>
      <w:lvlJc w:val="left"/>
      <w:pPr>
        <w:ind w:left="2880" w:hanging="360"/>
      </w:pPr>
      <w:rPr>
        <w:rFonts w:ascii="Symbol" w:eastAsia="Symbol" w:hAnsi="Symbol" w:cs="Symbol" w:hint="default"/>
      </w:rPr>
    </w:lvl>
    <w:lvl w:ilvl="4" w:tplc="F6E40BFC">
      <w:start w:val="1"/>
      <w:numFmt w:val="bullet"/>
      <w:lvlText w:val="o"/>
      <w:lvlJc w:val="left"/>
      <w:pPr>
        <w:ind w:left="3600" w:hanging="360"/>
      </w:pPr>
      <w:rPr>
        <w:rFonts w:ascii="Courier New" w:eastAsia="Courier New" w:hAnsi="Courier New" w:cs="Courier New" w:hint="default"/>
      </w:rPr>
    </w:lvl>
    <w:lvl w:ilvl="5" w:tplc="06B6DE5A">
      <w:start w:val="1"/>
      <w:numFmt w:val="bullet"/>
      <w:lvlText w:val="§"/>
      <w:lvlJc w:val="left"/>
      <w:pPr>
        <w:ind w:left="4320" w:hanging="360"/>
      </w:pPr>
      <w:rPr>
        <w:rFonts w:ascii="Wingdings" w:eastAsia="Wingdings" w:hAnsi="Wingdings" w:cs="Wingdings" w:hint="default"/>
      </w:rPr>
    </w:lvl>
    <w:lvl w:ilvl="6" w:tplc="D7407476">
      <w:start w:val="1"/>
      <w:numFmt w:val="bullet"/>
      <w:lvlText w:val="·"/>
      <w:lvlJc w:val="left"/>
      <w:pPr>
        <w:ind w:left="5040" w:hanging="360"/>
      </w:pPr>
      <w:rPr>
        <w:rFonts w:ascii="Symbol" w:eastAsia="Symbol" w:hAnsi="Symbol" w:cs="Symbol" w:hint="default"/>
      </w:rPr>
    </w:lvl>
    <w:lvl w:ilvl="7" w:tplc="68F27806">
      <w:start w:val="1"/>
      <w:numFmt w:val="bullet"/>
      <w:lvlText w:val="o"/>
      <w:lvlJc w:val="left"/>
      <w:pPr>
        <w:ind w:left="5760" w:hanging="360"/>
      </w:pPr>
      <w:rPr>
        <w:rFonts w:ascii="Courier New" w:eastAsia="Courier New" w:hAnsi="Courier New" w:cs="Courier New" w:hint="default"/>
      </w:rPr>
    </w:lvl>
    <w:lvl w:ilvl="8" w:tplc="17A806C2">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3114254"/>
    <w:multiLevelType w:val="hybridMultilevel"/>
    <w:tmpl w:val="AB86BF82"/>
    <w:lvl w:ilvl="0" w:tplc="5FBC1AB6">
      <w:start w:val="1"/>
      <w:numFmt w:val="decimal"/>
      <w:pStyle w:val="2"/>
      <w:lvlText w:val="%1."/>
      <w:lvlJc w:val="left"/>
      <w:pPr>
        <w:tabs>
          <w:tab w:val="num" w:pos="643"/>
        </w:tabs>
        <w:ind w:left="643" w:hanging="360"/>
      </w:pPr>
    </w:lvl>
    <w:lvl w:ilvl="1" w:tplc="099629C6">
      <w:start w:val="1"/>
      <w:numFmt w:val="bullet"/>
      <w:lvlText w:val="o"/>
      <w:lvlJc w:val="left"/>
      <w:pPr>
        <w:ind w:left="1440" w:hanging="360"/>
      </w:pPr>
      <w:rPr>
        <w:rFonts w:ascii="Courier New" w:eastAsia="Courier New" w:hAnsi="Courier New" w:cs="Courier New" w:hint="default"/>
      </w:rPr>
    </w:lvl>
    <w:lvl w:ilvl="2" w:tplc="DC4E5F52">
      <w:start w:val="1"/>
      <w:numFmt w:val="bullet"/>
      <w:lvlText w:val="§"/>
      <w:lvlJc w:val="left"/>
      <w:pPr>
        <w:ind w:left="2160" w:hanging="360"/>
      </w:pPr>
      <w:rPr>
        <w:rFonts w:ascii="Wingdings" w:eastAsia="Wingdings" w:hAnsi="Wingdings" w:cs="Wingdings" w:hint="default"/>
      </w:rPr>
    </w:lvl>
    <w:lvl w:ilvl="3" w:tplc="6742C6C6">
      <w:start w:val="1"/>
      <w:numFmt w:val="bullet"/>
      <w:lvlText w:val="·"/>
      <w:lvlJc w:val="left"/>
      <w:pPr>
        <w:ind w:left="2880" w:hanging="360"/>
      </w:pPr>
      <w:rPr>
        <w:rFonts w:ascii="Symbol" w:eastAsia="Symbol" w:hAnsi="Symbol" w:cs="Symbol" w:hint="default"/>
      </w:rPr>
    </w:lvl>
    <w:lvl w:ilvl="4" w:tplc="580E8346">
      <w:start w:val="1"/>
      <w:numFmt w:val="bullet"/>
      <w:lvlText w:val="o"/>
      <w:lvlJc w:val="left"/>
      <w:pPr>
        <w:ind w:left="3600" w:hanging="360"/>
      </w:pPr>
      <w:rPr>
        <w:rFonts w:ascii="Courier New" w:eastAsia="Courier New" w:hAnsi="Courier New" w:cs="Courier New" w:hint="default"/>
      </w:rPr>
    </w:lvl>
    <w:lvl w:ilvl="5" w:tplc="A71A0208">
      <w:start w:val="1"/>
      <w:numFmt w:val="bullet"/>
      <w:lvlText w:val="§"/>
      <w:lvlJc w:val="left"/>
      <w:pPr>
        <w:ind w:left="4320" w:hanging="360"/>
      </w:pPr>
      <w:rPr>
        <w:rFonts w:ascii="Wingdings" w:eastAsia="Wingdings" w:hAnsi="Wingdings" w:cs="Wingdings" w:hint="default"/>
      </w:rPr>
    </w:lvl>
    <w:lvl w:ilvl="6" w:tplc="6C5C7D74">
      <w:start w:val="1"/>
      <w:numFmt w:val="bullet"/>
      <w:lvlText w:val="·"/>
      <w:lvlJc w:val="left"/>
      <w:pPr>
        <w:ind w:left="5040" w:hanging="360"/>
      </w:pPr>
      <w:rPr>
        <w:rFonts w:ascii="Symbol" w:eastAsia="Symbol" w:hAnsi="Symbol" w:cs="Symbol" w:hint="default"/>
      </w:rPr>
    </w:lvl>
    <w:lvl w:ilvl="7" w:tplc="285812C8">
      <w:start w:val="1"/>
      <w:numFmt w:val="bullet"/>
      <w:lvlText w:val="o"/>
      <w:lvlJc w:val="left"/>
      <w:pPr>
        <w:ind w:left="5760" w:hanging="360"/>
      </w:pPr>
      <w:rPr>
        <w:rFonts w:ascii="Courier New" w:eastAsia="Courier New" w:hAnsi="Courier New" w:cs="Courier New" w:hint="default"/>
      </w:rPr>
    </w:lvl>
    <w:lvl w:ilvl="8" w:tplc="E35CF91E">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AA33BA4"/>
    <w:multiLevelType w:val="hybridMultilevel"/>
    <w:tmpl w:val="9466917A"/>
    <w:lvl w:ilvl="0" w:tplc="A41088E4">
      <w:start w:val="1"/>
      <w:numFmt w:val="decimal"/>
      <w:lvlText w:val="%1."/>
      <w:lvlJc w:val="left"/>
      <w:pPr>
        <w:ind w:left="1440" w:hanging="360"/>
      </w:pPr>
      <w:rPr>
        <w:b w:val="0"/>
      </w:rPr>
    </w:lvl>
    <w:lvl w:ilvl="1" w:tplc="1654FB9C">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3D227F76"/>
    <w:multiLevelType w:val="hybridMultilevel"/>
    <w:tmpl w:val="2BDCDD1C"/>
    <w:lvl w:ilvl="0" w:tplc="F6663BC8">
      <w:start w:val="1"/>
      <w:numFmt w:val="bullet"/>
      <w:lvlText w:val=""/>
      <w:lvlJc w:val="left"/>
      <w:pPr>
        <w:ind w:left="360" w:hanging="360"/>
      </w:pPr>
      <w:rPr>
        <w:rFonts w:ascii="Symbol" w:hAnsi="Symbol" w:hint="default"/>
      </w:rPr>
    </w:lvl>
    <w:lvl w:ilvl="1" w:tplc="C45C7F6E">
      <w:start w:val="1"/>
      <w:numFmt w:val="bullet"/>
      <w:lvlText w:val="o"/>
      <w:lvlJc w:val="left"/>
      <w:pPr>
        <w:ind w:left="1080" w:hanging="360"/>
      </w:pPr>
      <w:rPr>
        <w:rFonts w:ascii="Courier New" w:hAnsi="Courier New" w:cs="Courier New" w:hint="default"/>
      </w:rPr>
    </w:lvl>
    <w:lvl w:ilvl="2" w:tplc="0F8EFC4E">
      <w:start w:val="1"/>
      <w:numFmt w:val="bullet"/>
      <w:lvlText w:val=""/>
      <w:lvlJc w:val="left"/>
      <w:pPr>
        <w:ind w:left="1800" w:hanging="360"/>
      </w:pPr>
      <w:rPr>
        <w:rFonts w:ascii="Wingdings" w:hAnsi="Wingdings" w:hint="default"/>
      </w:rPr>
    </w:lvl>
    <w:lvl w:ilvl="3" w:tplc="EB387D10">
      <w:start w:val="1"/>
      <w:numFmt w:val="bullet"/>
      <w:lvlText w:val=""/>
      <w:lvlJc w:val="left"/>
      <w:pPr>
        <w:ind w:left="2520" w:hanging="360"/>
      </w:pPr>
      <w:rPr>
        <w:rFonts w:ascii="Symbol" w:hAnsi="Symbol" w:hint="default"/>
      </w:rPr>
    </w:lvl>
    <w:lvl w:ilvl="4" w:tplc="65F00B5A">
      <w:start w:val="1"/>
      <w:numFmt w:val="bullet"/>
      <w:lvlText w:val="o"/>
      <w:lvlJc w:val="left"/>
      <w:pPr>
        <w:ind w:left="3240" w:hanging="360"/>
      </w:pPr>
      <w:rPr>
        <w:rFonts w:ascii="Courier New" w:hAnsi="Courier New" w:cs="Courier New" w:hint="default"/>
      </w:rPr>
    </w:lvl>
    <w:lvl w:ilvl="5" w:tplc="FBB03AC4">
      <w:start w:val="1"/>
      <w:numFmt w:val="bullet"/>
      <w:lvlText w:val=""/>
      <w:lvlJc w:val="left"/>
      <w:pPr>
        <w:ind w:left="3960" w:hanging="360"/>
      </w:pPr>
      <w:rPr>
        <w:rFonts w:ascii="Wingdings" w:hAnsi="Wingdings" w:hint="default"/>
      </w:rPr>
    </w:lvl>
    <w:lvl w:ilvl="6" w:tplc="E0E66752">
      <w:start w:val="1"/>
      <w:numFmt w:val="bullet"/>
      <w:lvlText w:val=""/>
      <w:lvlJc w:val="left"/>
      <w:pPr>
        <w:ind w:left="4680" w:hanging="360"/>
      </w:pPr>
      <w:rPr>
        <w:rFonts w:ascii="Symbol" w:hAnsi="Symbol" w:hint="default"/>
      </w:rPr>
    </w:lvl>
    <w:lvl w:ilvl="7" w:tplc="15B8B8B4">
      <w:start w:val="1"/>
      <w:numFmt w:val="bullet"/>
      <w:lvlText w:val="o"/>
      <w:lvlJc w:val="left"/>
      <w:pPr>
        <w:ind w:left="5400" w:hanging="360"/>
      </w:pPr>
      <w:rPr>
        <w:rFonts w:ascii="Courier New" w:hAnsi="Courier New" w:cs="Courier New" w:hint="default"/>
      </w:rPr>
    </w:lvl>
    <w:lvl w:ilvl="8" w:tplc="75907200">
      <w:start w:val="1"/>
      <w:numFmt w:val="bullet"/>
      <w:lvlText w:val=""/>
      <w:lvlJc w:val="left"/>
      <w:pPr>
        <w:ind w:left="6120" w:hanging="360"/>
      </w:pPr>
      <w:rPr>
        <w:rFonts w:ascii="Wingdings" w:hAnsi="Wingdings" w:hint="default"/>
      </w:rPr>
    </w:lvl>
  </w:abstractNum>
  <w:abstractNum w:abstractNumId="16" w15:restartNumberingAfterBreak="0">
    <w:nsid w:val="3D830E13"/>
    <w:multiLevelType w:val="hybridMultilevel"/>
    <w:tmpl w:val="1E669CB6"/>
    <w:lvl w:ilvl="0" w:tplc="A3102CCC">
      <w:start w:val="1"/>
      <w:numFmt w:val="decimal"/>
      <w:pStyle w:val="a0"/>
      <w:lvlText w:val="%1."/>
      <w:lvlJc w:val="left"/>
      <w:pPr>
        <w:tabs>
          <w:tab w:val="num" w:pos="360"/>
        </w:tabs>
        <w:ind w:left="360" w:hanging="360"/>
      </w:pPr>
    </w:lvl>
    <w:lvl w:ilvl="1" w:tplc="1408EF72">
      <w:start w:val="1"/>
      <w:numFmt w:val="bullet"/>
      <w:lvlText w:val="o"/>
      <w:lvlJc w:val="left"/>
      <w:pPr>
        <w:ind w:left="1440" w:hanging="360"/>
      </w:pPr>
      <w:rPr>
        <w:rFonts w:ascii="Courier New" w:eastAsia="Courier New" w:hAnsi="Courier New" w:cs="Courier New" w:hint="default"/>
      </w:rPr>
    </w:lvl>
    <w:lvl w:ilvl="2" w:tplc="87EE2546">
      <w:start w:val="1"/>
      <w:numFmt w:val="bullet"/>
      <w:lvlText w:val="§"/>
      <w:lvlJc w:val="left"/>
      <w:pPr>
        <w:ind w:left="2160" w:hanging="360"/>
      </w:pPr>
      <w:rPr>
        <w:rFonts w:ascii="Wingdings" w:eastAsia="Wingdings" w:hAnsi="Wingdings" w:cs="Wingdings" w:hint="default"/>
      </w:rPr>
    </w:lvl>
    <w:lvl w:ilvl="3" w:tplc="6E2E5FBA">
      <w:start w:val="1"/>
      <w:numFmt w:val="bullet"/>
      <w:lvlText w:val="·"/>
      <w:lvlJc w:val="left"/>
      <w:pPr>
        <w:ind w:left="2880" w:hanging="360"/>
      </w:pPr>
      <w:rPr>
        <w:rFonts w:ascii="Symbol" w:eastAsia="Symbol" w:hAnsi="Symbol" w:cs="Symbol" w:hint="default"/>
      </w:rPr>
    </w:lvl>
    <w:lvl w:ilvl="4" w:tplc="BF64F27C">
      <w:start w:val="1"/>
      <w:numFmt w:val="bullet"/>
      <w:lvlText w:val="o"/>
      <w:lvlJc w:val="left"/>
      <w:pPr>
        <w:ind w:left="3600" w:hanging="360"/>
      </w:pPr>
      <w:rPr>
        <w:rFonts w:ascii="Courier New" w:eastAsia="Courier New" w:hAnsi="Courier New" w:cs="Courier New" w:hint="default"/>
      </w:rPr>
    </w:lvl>
    <w:lvl w:ilvl="5" w:tplc="43F8E2E6">
      <w:start w:val="1"/>
      <w:numFmt w:val="bullet"/>
      <w:lvlText w:val="§"/>
      <w:lvlJc w:val="left"/>
      <w:pPr>
        <w:ind w:left="4320" w:hanging="360"/>
      </w:pPr>
      <w:rPr>
        <w:rFonts w:ascii="Wingdings" w:eastAsia="Wingdings" w:hAnsi="Wingdings" w:cs="Wingdings" w:hint="default"/>
      </w:rPr>
    </w:lvl>
    <w:lvl w:ilvl="6" w:tplc="546AFADA">
      <w:start w:val="1"/>
      <w:numFmt w:val="bullet"/>
      <w:lvlText w:val="·"/>
      <w:lvlJc w:val="left"/>
      <w:pPr>
        <w:ind w:left="5040" w:hanging="360"/>
      </w:pPr>
      <w:rPr>
        <w:rFonts w:ascii="Symbol" w:eastAsia="Symbol" w:hAnsi="Symbol" w:cs="Symbol" w:hint="default"/>
      </w:rPr>
    </w:lvl>
    <w:lvl w:ilvl="7" w:tplc="420A0D58">
      <w:start w:val="1"/>
      <w:numFmt w:val="bullet"/>
      <w:lvlText w:val="o"/>
      <w:lvlJc w:val="left"/>
      <w:pPr>
        <w:ind w:left="5760" w:hanging="360"/>
      </w:pPr>
      <w:rPr>
        <w:rFonts w:ascii="Courier New" w:eastAsia="Courier New" w:hAnsi="Courier New" w:cs="Courier New" w:hint="default"/>
      </w:rPr>
    </w:lvl>
    <w:lvl w:ilvl="8" w:tplc="69A68CAA">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3DF791D"/>
    <w:multiLevelType w:val="hybridMultilevel"/>
    <w:tmpl w:val="5FEA0F7E"/>
    <w:lvl w:ilvl="0" w:tplc="A8F07832">
      <w:start w:val="1"/>
      <w:numFmt w:val="bullet"/>
      <w:pStyle w:val="a1"/>
      <w:lvlText w:val=""/>
      <w:lvlJc w:val="left"/>
      <w:pPr>
        <w:tabs>
          <w:tab w:val="num" w:pos="360"/>
        </w:tabs>
        <w:ind w:left="360" w:hanging="360"/>
      </w:pPr>
      <w:rPr>
        <w:rFonts w:ascii="Symbol" w:hAnsi="Symbol" w:hint="default"/>
      </w:rPr>
    </w:lvl>
    <w:lvl w:ilvl="1" w:tplc="7A8021EA">
      <w:start w:val="1"/>
      <w:numFmt w:val="bullet"/>
      <w:lvlText w:val="o"/>
      <w:lvlJc w:val="left"/>
      <w:pPr>
        <w:ind w:left="1440" w:hanging="360"/>
      </w:pPr>
      <w:rPr>
        <w:rFonts w:ascii="Courier New" w:eastAsia="Courier New" w:hAnsi="Courier New" w:cs="Courier New" w:hint="default"/>
      </w:rPr>
    </w:lvl>
    <w:lvl w:ilvl="2" w:tplc="74B4B33A">
      <w:start w:val="1"/>
      <w:numFmt w:val="bullet"/>
      <w:lvlText w:val="§"/>
      <w:lvlJc w:val="left"/>
      <w:pPr>
        <w:ind w:left="2160" w:hanging="360"/>
      </w:pPr>
      <w:rPr>
        <w:rFonts w:ascii="Wingdings" w:eastAsia="Wingdings" w:hAnsi="Wingdings" w:cs="Wingdings" w:hint="default"/>
      </w:rPr>
    </w:lvl>
    <w:lvl w:ilvl="3" w:tplc="59101FD6">
      <w:start w:val="1"/>
      <w:numFmt w:val="bullet"/>
      <w:lvlText w:val="·"/>
      <w:lvlJc w:val="left"/>
      <w:pPr>
        <w:ind w:left="2880" w:hanging="360"/>
      </w:pPr>
      <w:rPr>
        <w:rFonts w:ascii="Symbol" w:eastAsia="Symbol" w:hAnsi="Symbol" w:cs="Symbol" w:hint="default"/>
      </w:rPr>
    </w:lvl>
    <w:lvl w:ilvl="4" w:tplc="CD26C420">
      <w:start w:val="1"/>
      <w:numFmt w:val="bullet"/>
      <w:lvlText w:val="o"/>
      <w:lvlJc w:val="left"/>
      <w:pPr>
        <w:ind w:left="3600" w:hanging="360"/>
      </w:pPr>
      <w:rPr>
        <w:rFonts w:ascii="Courier New" w:eastAsia="Courier New" w:hAnsi="Courier New" w:cs="Courier New" w:hint="default"/>
      </w:rPr>
    </w:lvl>
    <w:lvl w:ilvl="5" w:tplc="812E4670">
      <w:start w:val="1"/>
      <w:numFmt w:val="bullet"/>
      <w:lvlText w:val="§"/>
      <w:lvlJc w:val="left"/>
      <w:pPr>
        <w:ind w:left="4320" w:hanging="360"/>
      </w:pPr>
      <w:rPr>
        <w:rFonts w:ascii="Wingdings" w:eastAsia="Wingdings" w:hAnsi="Wingdings" w:cs="Wingdings" w:hint="default"/>
      </w:rPr>
    </w:lvl>
    <w:lvl w:ilvl="6" w:tplc="BDD2C0BA">
      <w:start w:val="1"/>
      <w:numFmt w:val="bullet"/>
      <w:lvlText w:val="·"/>
      <w:lvlJc w:val="left"/>
      <w:pPr>
        <w:ind w:left="5040" w:hanging="360"/>
      </w:pPr>
      <w:rPr>
        <w:rFonts w:ascii="Symbol" w:eastAsia="Symbol" w:hAnsi="Symbol" w:cs="Symbol" w:hint="default"/>
      </w:rPr>
    </w:lvl>
    <w:lvl w:ilvl="7" w:tplc="167CE0EC">
      <w:start w:val="1"/>
      <w:numFmt w:val="bullet"/>
      <w:lvlText w:val="o"/>
      <w:lvlJc w:val="left"/>
      <w:pPr>
        <w:ind w:left="5760" w:hanging="360"/>
      </w:pPr>
      <w:rPr>
        <w:rFonts w:ascii="Courier New" w:eastAsia="Courier New" w:hAnsi="Courier New" w:cs="Courier New" w:hint="default"/>
      </w:rPr>
    </w:lvl>
    <w:lvl w:ilvl="8" w:tplc="6E4268B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44121EE0"/>
    <w:multiLevelType w:val="hybridMultilevel"/>
    <w:tmpl w:val="59FA3252"/>
    <w:lvl w:ilvl="0" w:tplc="C71C0C9C">
      <w:start w:val="1"/>
      <w:numFmt w:val="decimal"/>
      <w:lvlText w:val="%1."/>
      <w:lvlJc w:val="left"/>
      <w:pPr>
        <w:ind w:left="720" w:hanging="360"/>
      </w:pPr>
    </w:lvl>
    <w:lvl w:ilvl="1" w:tplc="2CBEFBDA">
      <w:start w:val="1"/>
      <w:numFmt w:val="lowerLetter"/>
      <w:lvlText w:val="%2."/>
      <w:lvlJc w:val="left"/>
      <w:pPr>
        <w:ind w:left="1440" w:hanging="360"/>
      </w:pPr>
    </w:lvl>
    <w:lvl w:ilvl="2" w:tplc="5FD04D56">
      <w:start w:val="1"/>
      <w:numFmt w:val="lowerRoman"/>
      <w:lvlText w:val="%3."/>
      <w:lvlJc w:val="right"/>
      <w:pPr>
        <w:ind w:left="2160" w:hanging="180"/>
      </w:pPr>
    </w:lvl>
    <w:lvl w:ilvl="3" w:tplc="5B7060E4">
      <w:start w:val="1"/>
      <w:numFmt w:val="decimal"/>
      <w:lvlText w:val="%4."/>
      <w:lvlJc w:val="left"/>
      <w:pPr>
        <w:ind w:left="2880" w:hanging="360"/>
      </w:pPr>
    </w:lvl>
    <w:lvl w:ilvl="4" w:tplc="8A488606">
      <w:start w:val="1"/>
      <w:numFmt w:val="lowerLetter"/>
      <w:lvlText w:val="%5."/>
      <w:lvlJc w:val="left"/>
      <w:pPr>
        <w:ind w:left="3600" w:hanging="360"/>
      </w:pPr>
    </w:lvl>
    <w:lvl w:ilvl="5" w:tplc="33A6D96C">
      <w:start w:val="1"/>
      <w:numFmt w:val="lowerRoman"/>
      <w:lvlText w:val="%6."/>
      <w:lvlJc w:val="right"/>
      <w:pPr>
        <w:ind w:left="4320" w:hanging="180"/>
      </w:pPr>
    </w:lvl>
    <w:lvl w:ilvl="6" w:tplc="7E866F5C">
      <w:start w:val="1"/>
      <w:numFmt w:val="decimal"/>
      <w:lvlText w:val="%7."/>
      <w:lvlJc w:val="left"/>
      <w:pPr>
        <w:ind w:left="5040" w:hanging="360"/>
      </w:pPr>
    </w:lvl>
    <w:lvl w:ilvl="7" w:tplc="9580E22E">
      <w:start w:val="1"/>
      <w:numFmt w:val="lowerLetter"/>
      <w:lvlText w:val="%8."/>
      <w:lvlJc w:val="left"/>
      <w:pPr>
        <w:ind w:left="5760" w:hanging="360"/>
      </w:pPr>
    </w:lvl>
    <w:lvl w:ilvl="8" w:tplc="90AA5FE8">
      <w:start w:val="1"/>
      <w:numFmt w:val="lowerRoman"/>
      <w:lvlText w:val="%9."/>
      <w:lvlJc w:val="right"/>
      <w:pPr>
        <w:ind w:left="6480" w:hanging="180"/>
      </w:pPr>
    </w:lvl>
  </w:abstractNum>
  <w:abstractNum w:abstractNumId="19" w15:restartNumberingAfterBreak="0">
    <w:nsid w:val="46AC04B1"/>
    <w:multiLevelType w:val="hybridMultilevel"/>
    <w:tmpl w:val="5A945482"/>
    <w:lvl w:ilvl="0" w:tplc="86365302">
      <w:start w:val="1"/>
      <w:numFmt w:val="bullet"/>
      <w:lvlText w:val=""/>
      <w:lvlJc w:val="left"/>
      <w:pPr>
        <w:tabs>
          <w:tab w:val="num" w:pos="720"/>
        </w:tabs>
        <w:ind w:left="720" w:hanging="360"/>
      </w:pPr>
      <w:rPr>
        <w:rFonts w:ascii="Symbol" w:hAnsi="Symbol" w:hint="default"/>
        <w:sz w:val="20"/>
      </w:rPr>
    </w:lvl>
    <w:lvl w:ilvl="1" w:tplc="F060441E">
      <w:start w:val="1"/>
      <w:numFmt w:val="bullet"/>
      <w:lvlText w:val="o"/>
      <w:lvlJc w:val="left"/>
      <w:pPr>
        <w:tabs>
          <w:tab w:val="num" w:pos="1440"/>
        </w:tabs>
        <w:ind w:left="1440" w:hanging="360"/>
      </w:pPr>
      <w:rPr>
        <w:rFonts w:ascii="Courier New" w:hAnsi="Courier New" w:cs="Times New Roman" w:hint="default"/>
        <w:sz w:val="20"/>
      </w:rPr>
    </w:lvl>
    <w:lvl w:ilvl="2" w:tplc="843C6070">
      <w:start w:val="1"/>
      <w:numFmt w:val="bullet"/>
      <w:lvlText w:val=""/>
      <w:lvlJc w:val="left"/>
      <w:pPr>
        <w:tabs>
          <w:tab w:val="num" w:pos="2160"/>
        </w:tabs>
        <w:ind w:left="2160" w:hanging="360"/>
      </w:pPr>
      <w:rPr>
        <w:rFonts w:ascii="Wingdings" w:hAnsi="Wingdings" w:hint="default"/>
        <w:sz w:val="20"/>
      </w:rPr>
    </w:lvl>
    <w:lvl w:ilvl="3" w:tplc="06C8748C">
      <w:start w:val="1"/>
      <w:numFmt w:val="bullet"/>
      <w:lvlText w:val=""/>
      <w:lvlJc w:val="left"/>
      <w:pPr>
        <w:tabs>
          <w:tab w:val="num" w:pos="2880"/>
        </w:tabs>
        <w:ind w:left="2880" w:hanging="360"/>
      </w:pPr>
      <w:rPr>
        <w:rFonts w:ascii="Wingdings" w:hAnsi="Wingdings" w:hint="default"/>
        <w:sz w:val="20"/>
      </w:rPr>
    </w:lvl>
    <w:lvl w:ilvl="4" w:tplc="7812AA3C">
      <w:start w:val="1"/>
      <w:numFmt w:val="bullet"/>
      <w:lvlText w:val=""/>
      <w:lvlJc w:val="left"/>
      <w:pPr>
        <w:tabs>
          <w:tab w:val="num" w:pos="3600"/>
        </w:tabs>
        <w:ind w:left="3600" w:hanging="360"/>
      </w:pPr>
      <w:rPr>
        <w:rFonts w:ascii="Wingdings" w:hAnsi="Wingdings" w:hint="default"/>
        <w:sz w:val="20"/>
      </w:rPr>
    </w:lvl>
    <w:lvl w:ilvl="5" w:tplc="6D20DC72">
      <w:start w:val="1"/>
      <w:numFmt w:val="bullet"/>
      <w:lvlText w:val=""/>
      <w:lvlJc w:val="left"/>
      <w:pPr>
        <w:tabs>
          <w:tab w:val="num" w:pos="4320"/>
        </w:tabs>
        <w:ind w:left="4320" w:hanging="360"/>
      </w:pPr>
      <w:rPr>
        <w:rFonts w:ascii="Wingdings" w:hAnsi="Wingdings" w:hint="default"/>
        <w:sz w:val="20"/>
      </w:rPr>
    </w:lvl>
    <w:lvl w:ilvl="6" w:tplc="81ECA9B6">
      <w:start w:val="1"/>
      <w:numFmt w:val="bullet"/>
      <w:lvlText w:val=""/>
      <w:lvlJc w:val="left"/>
      <w:pPr>
        <w:tabs>
          <w:tab w:val="num" w:pos="5040"/>
        </w:tabs>
        <w:ind w:left="5040" w:hanging="360"/>
      </w:pPr>
      <w:rPr>
        <w:rFonts w:ascii="Wingdings" w:hAnsi="Wingdings" w:hint="default"/>
        <w:sz w:val="20"/>
      </w:rPr>
    </w:lvl>
    <w:lvl w:ilvl="7" w:tplc="2A6E04F2">
      <w:start w:val="1"/>
      <w:numFmt w:val="bullet"/>
      <w:lvlText w:val=""/>
      <w:lvlJc w:val="left"/>
      <w:pPr>
        <w:tabs>
          <w:tab w:val="num" w:pos="5760"/>
        </w:tabs>
        <w:ind w:left="5760" w:hanging="360"/>
      </w:pPr>
      <w:rPr>
        <w:rFonts w:ascii="Wingdings" w:hAnsi="Wingdings" w:hint="default"/>
        <w:sz w:val="20"/>
      </w:rPr>
    </w:lvl>
    <w:lvl w:ilvl="8" w:tplc="F24C14C0">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482ECB"/>
    <w:multiLevelType w:val="hybridMultilevel"/>
    <w:tmpl w:val="E020D266"/>
    <w:lvl w:ilvl="0" w:tplc="31ECA03E">
      <w:start w:val="1"/>
      <w:numFmt w:val="bullet"/>
      <w:lvlText w:val=""/>
      <w:lvlJc w:val="left"/>
      <w:pPr>
        <w:ind w:left="360" w:hanging="360"/>
      </w:pPr>
      <w:rPr>
        <w:rFonts w:ascii="Symbol" w:hAnsi="Symbol" w:hint="default"/>
      </w:rPr>
    </w:lvl>
    <w:lvl w:ilvl="1" w:tplc="1A8CBB4A">
      <w:start w:val="1"/>
      <w:numFmt w:val="bullet"/>
      <w:lvlText w:val="o"/>
      <w:lvlJc w:val="left"/>
      <w:pPr>
        <w:ind w:left="1080" w:hanging="360"/>
      </w:pPr>
      <w:rPr>
        <w:rFonts w:ascii="Courier New" w:hAnsi="Courier New" w:cs="Courier New" w:hint="default"/>
      </w:rPr>
    </w:lvl>
    <w:lvl w:ilvl="2" w:tplc="83885EC0">
      <w:start w:val="1"/>
      <w:numFmt w:val="bullet"/>
      <w:lvlText w:val=""/>
      <w:lvlJc w:val="left"/>
      <w:pPr>
        <w:ind w:left="1800" w:hanging="360"/>
      </w:pPr>
      <w:rPr>
        <w:rFonts w:ascii="Wingdings" w:hAnsi="Wingdings" w:hint="default"/>
      </w:rPr>
    </w:lvl>
    <w:lvl w:ilvl="3" w:tplc="8A5ED702">
      <w:start w:val="1"/>
      <w:numFmt w:val="bullet"/>
      <w:lvlText w:val=""/>
      <w:lvlJc w:val="left"/>
      <w:pPr>
        <w:ind w:left="2520" w:hanging="360"/>
      </w:pPr>
      <w:rPr>
        <w:rFonts w:ascii="Symbol" w:hAnsi="Symbol" w:hint="default"/>
      </w:rPr>
    </w:lvl>
    <w:lvl w:ilvl="4" w:tplc="F558E57C">
      <w:start w:val="1"/>
      <w:numFmt w:val="bullet"/>
      <w:lvlText w:val="o"/>
      <w:lvlJc w:val="left"/>
      <w:pPr>
        <w:ind w:left="3240" w:hanging="360"/>
      </w:pPr>
      <w:rPr>
        <w:rFonts w:ascii="Courier New" w:hAnsi="Courier New" w:cs="Courier New" w:hint="default"/>
      </w:rPr>
    </w:lvl>
    <w:lvl w:ilvl="5" w:tplc="55E47C8C">
      <w:start w:val="1"/>
      <w:numFmt w:val="bullet"/>
      <w:lvlText w:val=""/>
      <w:lvlJc w:val="left"/>
      <w:pPr>
        <w:ind w:left="3960" w:hanging="360"/>
      </w:pPr>
      <w:rPr>
        <w:rFonts w:ascii="Wingdings" w:hAnsi="Wingdings" w:hint="default"/>
      </w:rPr>
    </w:lvl>
    <w:lvl w:ilvl="6" w:tplc="7948244A">
      <w:start w:val="1"/>
      <w:numFmt w:val="bullet"/>
      <w:lvlText w:val=""/>
      <w:lvlJc w:val="left"/>
      <w:pPr>
        <w:ind w:left="4680" w:hanging="360"/>
      </w:pPr>
      <w:rPr>
        <w:rFonts w:ascii="Symbol" w:hAnsi="Symbol" w:hint="default"/>
      </w:rPr>
    </w:lvl>
    <w:lvl w:ilvl="7" w:tplc="75B2A932">
      <w:start w:val="1"/>
      <w:numFmt w:val="bullet"/>
      <w:lvlText w:val="o"/>
      <w:lvlJc w:val="left"/>
      <w:pPr>
        <w:ind w:left="5400" w:hanging="360"/>
      </w:pPr>
      <w:rPr>
        <w:rFonts w:ascii="Courier New" w:hAnsi="Courier New" w:cs="Courier New" w:hint="default"/>
      </w:rPr>
    </w:lvl>
    <w:lvl w:ilvl="8" w:tplc="7DF003D2">
      <w:start w:val="1"/>
      <w:numFmt w:val="bullet"/>
      <w:lvlText w:val=""/>
      <w:lvlJc w:val="left"/>
      <w:pPr>
        <w:ind w:left="6120" w:hanging="360"/>
      </w:pPr>
      <w:rPr>
        <w:rFonts w:ascii="Wingdings" w:hAnsi="Wingdings" w:hint="default"/>
      </w:rPr>
    </w:lvl>
  </w:abstractNum>
  <w:abstractNum w:abstractNumId="21" w15:restartNumberingAfterBreak="0">
    <w:nsid w:val="54366FA4"/>
    <w:multiLevelType w:val="hybridMultilevel"/>
    <w:tmpl w:val="4EFEC412"/>
    <w:lvl w:ilvl="0" w:tplc="59BA8DB0">
      <w:start w:val="1"/>
      <w:numFmt w:val="bullet"/>
      <w:lvlText w:val=""/>
      <w:lvlJc w:val="left"/>
      <w:pPr>
        <w:ind w:left="360" w:hanging="360"/>
      </w:pPr>
      <w:rPr>
        <w:rFonts w:ascii="Symbol" w:hAnsi="Symbol" w:hint="default"/>
      </w:rPr>
    </w:lvl>
    <w:lvl w:ilvl="1" w:tplc="138677AE">
      <w:start w:val="1"/>
      <w:numFmt w:val="bullet"/>
      <w:lvlText w:val="o"/>
      <w:lvlJc w:val="left"/>
      <w:pPr>
        <w:ind w:left="1080" w:hanging="360"/>
      </w:pPr>
      <w:rPr>
        <w:rFonts w:ascii="Courier New" w:hAnsi="Courier New" w:cs="Courier New" w:hint="default"/>
      </w:rPr>
    </w:lvl>
    <w:lvl w:ilvl="2" w:tplc="EB245F68">
      <w:start w:val="1"/>
      <w:numFmt w:val="bullet"/>
      <w:lvlText w:val=""/>
      <w:lvlJc w:val="left"/>
      <w:pPr>
        <w:ind w:left="1800" w:hanging="360"/>
      </w:pPr>
      <w:rPr>
        <w:rFonts w:ascii="Wingdings" w:hAnsi="Wingdings" w:hint="default"/>
      </w:rPr>
    </w:lvl>
    <w:lvl w:ilvl="3" w:tplc="94B6B8BA">
      <w:start w:val="1"/>
      <w:numFmt w:val="bullet"/>
      <w:lvlText w:val=""/>
      <w:lvlJc w:val="left"/>
      <w:pPr>
        <w:ind w:left="2520" w:hanging="360"/>
      </w:pPr>
      <w:rPr>
        <w:rFonts w:ascii="Symbol" w:hAnsi="Symbol" w:hint="default"/>
      </w:rPr>
    </w:lvl>
    <w:lvl w:ilvl="4" w:tplc="708872F4">
      <w:start w:val="1"/>
      <w:numFmt w:val="bullet"/>
      <w:lvlText w:val="o"/>
      <w:lvlJc w:val="left"/>
      <w:pPr>
        <w:ind w:left="3240" w:hanging="360"/>
      </w:pPr>
      <w:rPr>
        <w:rFonts w:ascii="Courier New" w:hAnsi="Courier New" w:cs="Courier New" w:hint="default"/>
      </w:rPr>
    </w:lvl>
    <w:lvl w:ilvl="5" w:tplc="67827BE8">
      <w:start w:val="1"/>
      <w:numFmt w:val="bullet"/>
      <w:lvlText w:val=""/>
      <w:lvlJc w:val="left"/>
      <w:pPr>
        <w:ind w:left="3960" w:hanging="360"/>
      </w:pPr>
      <w:rPr>
        <w:rFonts w:ascii="Wingdings" w:hAnsi="Wingdings" w:hint="default"/>
      </w:rPr>
    </w:lvl>
    <w:lvl w:ilvl="6" w:tplc="CEA2921A">
      <w:start w:val="1"/>
      <w:numFmt w:val="bullet"/>
      <w:lvlText w:val=""/>
      <w:lvlJc w:val="left"/>
      <w:pPr>
        <w:ind w:left="4680" w:hanging="360"/>
      </w:pPr>
      <w:rPr>
        <w:rFonts w:ascii="Symbol" w:hAnsi="Symbol" w:hint="default"/>
      </w:rPr>
    </w:lvl>
    <w:lvl w:ilvl="7" w:tplc="5726C816">
      <w:start w:val="1"/>
      <w:numFmt w:val="bullet"/>
      <w:lvlText w:val="o"/>
      <w:lvlJc w:val="left"/>
      <w:pPr>
        <w:ind w:left="5400" w:hanging="360"/>
      </w:pPr>
      <w:rPr>
        <w:rFonts w:ascii="Courier New" w:hAnsi="Courier New" w:cs="Courier New" w:hint="default"/>
      </w:rPr>
    </w:lvl>
    <w:lvl w:ilvl="8" w:tplc="9A46E10A">
      <w:start w:val="1"/>
      <w:numFmt w:val="bullet"/>
      <w:lvlText w:val=""/>
      <w:lvlJc w:val="left"/>
      <w:pPr>
        <w:ind w:left="6120" w:hanging="360"/>
      </w:pPr>
      <w:rPr>
        <w:rFonts w:ascii="Wingdings" w:hAnsi="Wingdings" w:hint="default"/>
      </w:rPr>
    </w:lvl>
  </w:abstractNum>
  <w:abstractNum w:abstractNumId="22" w15:restartNumberingAfterBreak="0">
    <w:nsid w:val="5AB06579"/>
    <w:multiLevelType w:val="multilevel"/>
    <w:tmpl w:val="627EDCC6"/>
    <w:styleLink w:val="AVlist"/>
    <w:lvl w:ilvl="0">
      <w:start w:val="1"/>
      <w:numFmt w:val="decimal"/>
      <w:pStyle w:val="AVlist"/>
      <w:lvlText w:val="%1."/>
      <w:lvlJc w:val="left"/>
      <w:pPr>
        <w:tabs>
          <w:tab w:val="num" w:pos="454"/>
        </w:tabs>
        <w:ind w:left="454" w:hanging="454"/>
      </w:pPr>
      <w:rPr>
        <w:rFonts w:ascii="Arial" w:hAnsi="Arial" w:hint="default"/>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814"/>
        </w:tabs>
        <w:ind w:left="1814" w:hanging="793"/>
      </w:pPr>
      <w:rPr>
        <w:rFonts w:hint="default"/>
      </w:rPr>
    </w:lvl>
    <w:lvl w:ilvl="3">
      <w:start w:val="1"/>
      <w:numFmt w:val="decimal"/>
      <w:lvlText w:val="%1.%2.%3.%4."/>
      <w:lvlJc w:val="left"/>
      <w:pPr>
        <w:tabs>
          <w:tab w:val="num" w:pos="2778"/>
        </w:tabs>
        <w:ind w:left="2778" w:hanging="964"/>
      </w:pPr>
      <w:rPr>
        <w:rFonts w:hint="default"/>
      </w:rPr>
    </w:lvl>
    <w:lvl w:ilvl="4">
      <w:start w:val="1"/>
      <w:numFmt w:val="bullet"/>
      <w:lvlText w:val=""/>
      <w:lvlJc w:val="left"/>
      <w:pPr>
        <w:tabs>
          <w:tab w:val="num" w:pos="3119"/>
        </w:tabs>
        <w:ind w:left="3119" w:hanging="341"/>
      </w:pPr>
      <w:rPr>
        <w:rFonts w:ascii="Wingdings" w:hAnsi="Wingdings" w:hint="default"/>
      </w:rPr>
    </w:lvl>
    <w:lvl w:ilvl="5">
      <w:start w:val="1"/>
      <w:numFmt w:val="bullet"/>
      <w:lvlText w:val=""/>
      <w:lvlJc w:val="left"/>
      <w:pPr>
        <w:tabs>
          <w:tab w:val="num" w:pos="3459"/>
        </w:tabs>
        <w:ind w:left="3459" w:hanging="340"/>
      </w:pPr>
      <w:rPr>
        <w:rFonts w:ascii="Wingdings" w:hAnsi="Wingdings" w:hint="default"/>
        <w:color w:val="auto"/>
      </w:rPr>
    </w:lvl>
    <w:lvl w:ilvl="6">
      <w:start w:val="1"/>
      <w:numFmt w:val="bullet"/>
      <w:lvlText w:val=""/>
      <w:lvlJc w:val="left"/>
      <w:pPr>
        <w:tabs>
          <w:tab w:val="num" w:pos="3799"/>
        </w:tabs>
        <w:ind w:left="3799" w:hanging="340"/>
      </w:pPr>
      <w:rPr>
        <w:rFonts w:ascii="Wingdings" w:hAnsi="Wingdings" w:hint="default"/>
      </w:rPr>
    </w:lvl>
    <w:lvl w:ilvl="7">
      <w:start w:val="1"/>
      <w:numFmt w:val="bullet"/>
      <w:lvlText w:val=""/>
      <w:lvlJc w:val="left"/>
      <w:pPr>
        <w:tabs>
          <w:tab w:val="num" w:pos="4139"/>
        </w:tabs>
        <w:ind w:left="4139" w:hanging="340"/>
      </w:pPr>
      <w:rPr>
        <w:rFonts w:ascii="Wingdings" w:hAnsi="Wingdings" w:hint="default"/>
      </w:rPr>
    </w:lvl>
    <w:lvl w:ilvl="8">
      <w:start w:val="1"/>
      <w:numFmt w:val="bullet"/>
      <w:lvlText w:val=""/>
      <w:lvlJc w:val="left"/>
      <w:pPr>
        <w:tabs>
          <w:tab w:val="num" w:pos="4479"/>
        </w:tabs>
        <w:ind w:left="4479" w:hanging="340"/>
      </w:pPr>
      <w:rPr>
        <w:rFonts w:ascii="Wingdings" w:hAnsi="Wingdings" w:hint="default"/>
      </w:rPr>
    </w:lvl>
  </w:abstractNum>
  <w:abstractNum w:abstractNumId="23" w15:restartNumberingAfterBreak="0">
    <w:nsid w:val="5C5979B2"/>
    <w:multiLevelType w:val="hybridMultilevel"/>
    <w:tmpl w:val="EA58AFB2"/>
    <w:lvl w:ilvl="0" w:tplc="D12C11EA">
      <w:start w:val="1"/>
      <w:numFmt w:val="decimal"/>
      <w:pStyle w:val="30"/>
      <w:lvlText w:val="%1."/>
      <w:lvlJc w:val="left"/>
      <w:pPr>
        <w:tabs>
          <w:tab w:val="num" w:pos="926"/>
        </w:tabs>
        <w:ind w:left="926" w:hanging="360"/>
      </w:pPr>
    </w:lvl>
    <w:lvl w:ilvl="1" w:tplc="9B929718">
      <w:start w:val="1"/>
      <w:numFmt w:val="bullet"/>
      <w:lvlText w:val="o"/>
      <w:lvlJc w:val="left"/>
      <w:pPr>
        <w:ind w:left="1440" w:hanging="360"/>
      </w:pPr>
      <w:rPr>
        <w:rFonts w:ascii="Courier New" w:eastAsia="Courier New" w:hAnsi="Courier New" w:cs="Courier New" w:hint="default"/>
      </w:rPr>
    </w:lvl>
    <w:lvl w:ilvl="2" w:tplc="0A6C3F30">
      <w:start w:val="1"/>
      <w:numFmt w:val="bullet"/>
      <w:lvlText w:val="§"/>
      <w:lvlJc w:val="left"/>
      <w:pPr>
        <w:ind w:left="2160" w:hanging="360"/>
      </w:pPr>
      <w:rPr>
        <w:rFonts w:ascii="Wingdings" w:eastAsia="Wingdings" w:hAnsi="Wingdings" w:cs="Wingdings" w:hint="default"/>
      </w:rPr>
    </w:lvl>
    <w:lvl w:ilvl="3" w:tplc="91724566">
      <w:start w:val="1"/>
      <w:numFmt w:val="bullet"/>
      <w:lvlText w:val="·"/>
      <w:lvlJc w:val="left"/>
      <w:pPr>
        <w:ind w:left="2880" w:hanging="360"/>
      </w:pPr>
      <w:rPr>
        <w:rFonts w:ascii="Symbol" w:eastAsia="Symbol" w:hAnsi="Symbol" w:cs="Symbol" w:hint="default"/>
      </w:rPr>
    </w:lvl>
    <w:lvl w:ilvl="4" w:tplc="DCDA2CA0">
      <w:start w:val="1"/>
      <w:numFmt w:val="bullet"/>
      <w:lvlText w:val="o"/>
      <w:lvlJc w:val="left"/>
      <w:pPr>
        <w:ind w:left="3600" w:hanging="360"/>
      </w:pPr>
      <w:rPr>
        <w:rFonts w:ascii="Courier New" w:eastAsia="Courier New" w:hAnsi="Courier New" w:cs="Courier New" w:hint="default"/>
      </w:rPr>
    </w:lvl>
    <w:lvl w:ilvl="5" w:tplc="48CAF046">
      <w:start w:val="1"/>
      <w:numFmt w:val="bullet"/>
      <w:lvlText w:val="§"/>
      <w:lvlJc w:val="left"/>
      <w:pPr>
        <w:ind w:left="4320" w:hanging="360"/>
      </w:pPr>
      <w:rPr>
        <w:rFonts w:ascii="Wingdings" w:eastAsia="Wingdings" w:hAnsi="Wingdings" w:cs="Wingdings" w:hint="default"/>
      </w:rPr>
    </w:lvl>
    <w:lvl w:ilvl="6" w:tplc="3B7C8320">
      <w:start w:val="1"/>
      <w:numFmt w:val="bullet"/>
      <w:lvlText w:val="·"/>
      <w:lvlJc w:val="left"/>
      <w:pPr>
        <w:ind w:left="5040" w:hanging="360"/>
      </w:pPr>
      <w:rPr>
        <w:rFonts w:ascii="Symbol" w:eastAsia="Symbol" w:hAnsi="Symbol" w:cs="Symbol" w:hint="default"/>
      </w:rPr>
    </w:lvl>
    <w:lvl w:ilvl="7" w:tplc="E2D80894">
      <w:start w:val="1"/>
      <w:numFmt w:val="bullet"/>
      <w:lvlText w:val="o"/>
      <w:lvlJc w:val="left"/>
      <w:pPr>
        <w:ind w:left="5760" w:hanging="360"/>
      </w:pPr>
      <w:rPr>
        <w:rFonts w:ascii="Courier New" w:eastAsia="Courier New" w:hAnsi="Courier New" w:cs="Courier New" w:hint="default"/>
      </w:rPr>
    </w:lvl>
    <w:lvl w:ilvl="8" w:tplc="6E0A042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D9E359F"/>
    <w:multiLevelType w:val="hybridMultilevel"/>
    <w:tmpl w:val="C5B2B4FA"/>
    <w:styleLink w:val="1"/>
    <w:lvl w:ilvl="0" w:tplc="555AEF20">
      <w:start w:val="1"/>
      <w:numFmt w:val="decimal"/>
      <w:pStyle w:val="1"/>
      <w:lvlText w:val="%1."/>
      <w:lvlJc w:val="left"/>
      <w:pPr>
        <w:tabs>
          <w:tab w:val="left" w:pos="709"/>
          <w:tab w:val="left" w:pos="851"/>
          <w:tab w:val="left" w:pos="993"/>
        </w:tabs>
        <w:ind w:left="284" w:hanging="284"/>
      </w:pPr>
      <w:rPr>
        <w:rFonts w:hAnsi="Arial Unicode MS"/>
        <w:caps w:val="0"/>
        <w:smallCaps w:val="0"/>
        <w:strike w:val="0"/>
        <w:color w:val="000000"/>
        <w:spacing w:val="0"/>
        <w:position w:val="0"/>
        <w:highlight w:val="none"/>
        <w:vertAlign w:val="baseline"/>
      </w:rPr>
    </w:lvl>
    <w:lvl w:ilvl="1" w:tplc="300C92EE">
      <w:start w:val="1"/>
      <w:numFmt w:val="lowerLetter"/>
      <w:lvlText w:val="%2."/>
      <w:lvlJc w:val="left"/>
      <w:pPr>
        <w:tabs>
          <w:tab w:val="left" w:pos="284"/>
          <w:tab w:val="left" w:pos="709"/>
          <w:tab w:val="left" w:pos="851"/>
          <w:tab w:val="left" w:pos="993"/>
        </w:tabs>
        <w:ind w:left="152" w:hanging="132"/>
      </w:pPr>
      <w:rPr>
        <w:rFonts w:hAnsi="Arial Unicode MS"/>
        <w:caps w:val="0"/>
        <w:smallCaps w:val="0"/>
        <w:strike w:val="0"/>
        <w:color w:val="000000"/>
        <w:spacing w:val="0"/>
        <w:position w:val="0"/>
        <w:highlight w:val="none"/>
        <w:vertAlign w:val="baseline"/>
      </w:rPr>
    </w:lvl>
    <w:lvl w:ilvl="2" w:tplc="3ECEE634">
      <w:start w:val="1"/>
      <w:numFmt w:val="lowerRoman"/>
      <w:lvlText w:val="%3."/>
      <w:lvlJc w:val="left"/>
      <w:pPr>
        <w:tabs>
          <w:tab w:val="left" w:pos="284"/>
          <w:tab w:val="left" w:pos="993"/>
        </w:tabs>
        <w:ind w:left="872" w:hanging="469"/>
      </w:pPr>
      <w:rPr>
        <w:rFonts w:hAnsi="Arial Unicode MS"/>
        <w:caps w:val="0"/>
        <w:smallCaps w:val="0"/>
        <w:strike w:val="0"/>
        <w:color w:val="000000"/>
        <w:spacing w:val="0"/>
        <w:position w:val="0"/>
        <w:highlight w:val="none"/>
        <w:vertAlign w:val="baseline"/>
      </w:rPr>
    </w:lvl>
    <w:lvl w:ilvl="3" w:tplc="0C9649DC">
      <w:start w:val="1"/>
      <w:numFmt w:val="decimal"/>
      <w:lvlText w:val="%4."/>
      <w:lvlJc w:val="left"/>
      <w:pPr>
        <w:tabs>
          <w:tab w:val="left" w:pos="284"/>
          <w:tab w:val="left" w:pos="709"/>
          <w:tab w:val="left" w:pos="851"/>
          <w:tab w:val="left" w:pos="993"/>
        </w:tabs>
        <w:ind w:left="1592" w:hanging="532"/>
      </w:pPr>
      <w:rPr>
        <w:rFonts w:hAnsi="Arial Unicode MS"/>
        <w:caps w:val="0"/>
        <w:smallCaps w:val="0"/>
        <w:strike w:val="0"/>
        <w:color w:val="000000"/>
        <w:spacing w:val="0"/>
        <w:position w:val="0"/>
        <w:highlight w:val="none"/>
        <w:vertAlign w:val="baseline"/>
      </w:rPr>
    </w:lvl>
    <w:lvl w:ilvl="4" w:tplc="006C94A0">
      <w:start w:val="1"/>
      <w:numFmt w:val="lowerLetter"/>
      <w:lvlText w:val="%5."/>
      <w:lvlJc w:val="left"/>
      <w:pPr>
        <w:tabs>
          <w:tab w:val="left" w:pos="284"/>
          <w:tab w:val="left" w:pos="709"/>
          <w:tab w:val="left" w:pos="851"/>
          <w:tab w:val="left" w:pos="993"/>
        </w:tabs>
        <w:ind w:left="2312" w:hanging="520"/>
      </w:pPr>
      <w:rPr>
        <w:rFonts w:hAnsi="Arial Unicode MS"/>
        <w:caps w:val="0"/>
        <w:smallCaps w:val="0"/>
        <w:strike w:val="0"/>
        <w:color w:val="000000"/>
        <w:spacing w:val="0"/>
        <w:position w:val="0"/>
        <w:highlight w:val="none"/>
        <w:vertAlign w:val="baseline"/>
      </w:rPr>
    </w:lvl>
    <w:lvl w:ilvl="5" w:tplc="2CE0F47A">
      <w:start w:val="1"/>
      <w:numFmt w:val="lowerRoman"/>
      <w:lvlText w:val="%6."/>
      <w:lvlJc w:val="left"/>
      <w:pPr>
        <w:tabs>
          <w:tab w:val="left" w:pos="284"/>
          <w:tab w:val="left" w:pos="709"/>
          <w:tab w:val="left" w:pos="851"/>
          <w:tab w:val="left" w:pos="993"/>
        </w:tabs>
        <w:ind w:left="3032" w:hanging="433"/>
      </w:pPr>
      <w:rPr>
        <w:rFonts w:hAnsi="Arial Unicode MS"/>
        <w:caps w:val="0"/>
        <w:smallCaps w:val="0"/>
        <w:strike w:val="0"/>
        <w:color w:val="000000"/>
        <w:spacing w:val="0"/>
        <w:position w:val="0"/>
        <w:highlight w:val="none"/>
        <w:vertAlign w:val="baseline"/>
      </w:rPr>
    </w:lvl>
    <w:lvl w:ilvl="6" w:tplc="A8A45052">
      <w:start w:val="1"/>
      <w:numFmt w:val="decimal"/>
      <w:lvlText w:val="%7."/>
      <w:lvlJc w:val="left"/>
      <w:pPr>
        <w:tabs>
          <w:tab w:val="left" w:pos="284"/>
          <w:tab w:val="left" w:pos="709"/>
          <w:tab w:val="left" w:pos="851"/>
          <w:tab w:val="left" w:pos="993"/>
        </w:tabs>
        <w:ind w:left="3752" w:hanging="496"/>
      </w:pPr>
      <w:rPr>
        <w:rFonts w:hAnsi="Arial Unicode MS"/>
        <w:caps w:val="0"/>
        <w:smallCaps w:val="0"/>
        <w:strike w:val="0"/>
        <w:color w:val="000000"/>
        <w:spacing w:val="0"/>
        <w:position w:val="0"/>
        <w:highlight w:val="none"/>
        <w:vertAlign w:val="baseline"/>
      </w:rPr>
    </w:lvl>
    <w:lvl w:ilvl="7" w:tplc="F2DA1836">
      <w:start w:val="1"/>
      <w:numFmt w:val="lowerLetter"/>
      <w:lvlText w:val="%8."/>
      <w:lvlJc w:val="left"/>
      <w:pPr>
        <w:tabs>
          <w:tab w:val="left" w:pos="284"/>
          <w:tab w:val="left" w:pos="709"/>
          <w:tab w:val="left" w:pos="851"/>
          <w:tab w:val="left" w:pos="993"/>
        </w:tabs>
        <w:ind w:left="4472" w:hanging="484"/>
      </w:pPr>
      <w:rPr>
        <w:rFonts w:hAnsi="Arial Unicode MS"/>
        <w:caps w:val="0"/>
        <w:smallCaps w:val="0"/>
        <w:strike w:val="0"/>
        <w:color w:val="000000"/>
        <w:spacing w:val="0"/>
        <w:position w:val="0"/>
        <w:highlight w:val="none"/>
        <w:vertAlign w:val="baseline"/>
      </w:rPr>
    </w:lvl>
    <w:lvl w:ilvl="8" w:tplc="1EA61970">
      <w:start w:val="1"/>
      <w:numFmt w:val="lowerRoman"/>
      <w:lvlText w:val="%9."/>
      <w:lvlJc w:val="left"/>
      <w:pPr>
        <w:tabs>
          <w:tab w:val="left" w:pos="284"/>
          <w:tab w:val="left" w:pos="709"/>
          <w:tab w:val="left" w:pos="851"/>
          <w:tab w:val="left" w:pos="993"/>
        </w:tabs>
        <w:ind w:left="5192" w:hanging="397"/>
      </w:pPr>
      <w:rPr>
        <w:rFonts w:hAnsi="Arial Unicode MS"/>
        <w:caps w:val="0"/>
        <w:smallCaps w:val="0"/>
        <w:strike w:val="0"/>
        <w:color w:val="000000"/>
        <w:spacing w:val="0"/>
        <w:position w:val="0"/>
        <w:highlight w:val="none"/>
        <w:vertAlign w:val="baseline"/>
      </w:rPr>
    </w:lvl>
  </w:abstractNum>
  <w:abstractNum w:abstractNumId="25" w15:restartNumberingAfterBreak="0">
    <w:nsid w:val="5E970106"/>
    <w:multiLevelType w:val="hybridMultilevel"/>
    <w:tmpl w:val="C4A20932"/>
    <w:lvl w:ilvl="0" w:tplc="3B5EF8E2">
      <w:start w:val="1"/>
      <w:numFmt w:val="bullet"/>
      <w:lvlText w:val=""/>
      <w:lvlJc w:val="left"/>
      <w:pPr>
        <w:tabs>
          <w:tab w:val="num" w:pos="720"/>
        </w:tabs>
        <w:ind w:left="720" w:hanging="360"/>
      </w:pPr>
      <w:rPr>
        <w:rFonts w:ascii="Symbol" w:hAnsi="Symbol" w:hint="default"/>
        <w:sz w:val="20"/>
      </w:rPr>
    </w:lvl>
    <w:lvl w:ilvl="1" w:tplc="B896D1AE">
      <w:start w:val="1"/>
      <w:numFmt w:val="bullet"/>
      <w:lvlText w:val="o"/>
      <w:lvlJc w:val="left"/>
      <w:pPr>
        <w:tabs>
          <w:tab w:val="num" w:pos="1440"/>
        </w:tabs>
        <w:ind w:left="1440" w:hanging="360"/>
      </w:pPr>
      <w:rPr>
        <w:rFonts w:ascii="Courier New" w:hAnsi="Courier New" w:hint="default"/>
        <w:sz w:val="20"/>
      </w:rPr>
    </w:lvl>
    <w:lvl w:ilvl="2" w:tplc="ADECA54A">
      <w:start w:val="1"/>
      <w:numFmt w:val="bullet"/>
      <w:lvlText w:val=""/>
      <w:lvlJc w:val="left"/>
      <w:pPr>
        <w:tabs>
          <w:tab w:val="num" w:pos="2160"/>
        </w:tabs>
        <w:ind w:left="2160" w:hanging="360"/>
      </w:pPr>
      <w:rPr>
        <w:rFonts w:ascii="Wingdings" w:hAnsi="Wingdings" w:hint="default"/>
        <w:sz w:val="20"/>
      </w:rPr>
    </w:lvl>
    <w:lvl w:ilvl="3" w:tplc="AF7CBF60">
      <w:start w:val="1"/>
      <w:numFmt w:val="bullet"/>
      <w:lvlText w:val=""/>
      <w:lvlJc w:val="left"/>
      <w:pPr>
        <w:tabs>
          <w:tab w:val="num" w:pos="2880"/>
        </w:tabs>
        <w:ind w:left="2880" w:hanging="360"/>
      </w:pPr>
      <w:rPr>
        <w:rFonts w:ascii="Wingdings" w:hAnsi="Wingdings" w:hint="default"/>
        <w:sz w:val="20"/>
      </w:rPr>
    </w:lvl>
    <w:lvl w:ilvl="4" w:tplc="4BD0DE6E">
      <w:start w:val="1"/>
      <w:numFmt w:val="bullet"/>
      <w:lvlText w:val=""/>
      <w:lvlJc w:val="left"/>
      <w:pPr>
        <w:tabs>
          <w:tab w:val="num" w:pos="3600"/>
        </w:tabs>
        <w:ind w:left="3600" w:hanging="360"/>
      </w:pPr>
      <w:rPr>
        <w:rFonts w:ascii="Wingdings" w:hAnsi="Wingdings" w:hint="default"/>
        <w:sz w:val="20"/>
      </w:rPr>
    </w:lvl>
    <w:lvl w:ilvl="5" w:tplc="9D460FEA">
      <w:start w:val="1"/>
      <w:numFmt w:val="bullet"/>
      <w:lvlText w:val=""/>
      <w:lvlJc w:val="left"/>
      <w:pPr>
        <w:tabs>
          <w:tab w:val="num" w:pos="4320"/>
        </w:tabs>
        <w:ind w:left="4320" w:hanging="360"/>
      </w:pPr>
      <w:rPr>
        <w:rFonts w:ascii="Wingdings" w:hAnsi="Wingdings" w:hint="default"/>
        <w:sz w:val="20"/>
      </w:rPr>
    </w:lvl>
    <w:lvl w:ilvl="6" w:tplc="E1F65074">
      <w:start w:val="1"/>
      <w:numFmt w:val="bullet"/>
      <w:lvlText w:val=""/>
      <w:lvlJc w:val="left"/>
      <w:pPr>
        <w:tabs>
          <w:tab w:val="num" w:pos="5040"/>
        </w:tabs>
        <w:ind w:left="5040" w:hanging="360"/>
      </w:pPr>
      <w:rPr>
        <w:rFonts w:ascii="Wingdings" w:hAnsi="Wingdings" w:hint="default"/>
        <w:sz w:val="20"/>
      </w:rPr>
    </w:lvl>
    <w:lvl w:ilvl="7" w:tplc="D2F0F5A8">
      <w:start w:val="1"/>
      <w:numFmt w:val="bullet"/>
      <w:lvlText w:val=""/>
      <w:lvlJc w:val="left"/>
      <w:pPr>
        <w:tabs>
          <w:tab w:val="num" w:pos="5760"/>
        </w:tabs>
        <w:ind w:left="5760" w:hanging="360"/>
      </w:pPr>
      <w:rPr>
        <w:rFonts w:ascii="Wingdings" w:hAnsi="Wingdings" w:hint="default"/>
        <w:sz w:val="20"/>
      </w:rPr>
    </w:lvl>
    <w:lvl w:ilvl="8" w:tplc="FA28845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B434C3"/>
    <w:multiLevelType w:val="hybridMultilevel"/>
    <w:tmpl w:val="C4E411C6"/>
    <w:styleLink w:val="LFO15"/>
    <w:lvl w:ilvl="0" w:tplc="43B03B88">
      <w:start w:val="1"/>
      <w:numFmt w:val="decimal"/>
      <w:pStyle w:val="References"/>
      <w:lvlText w:val="%1."/>
      <w:lvlJc w:val="left"/>
      <w:pPr>
        <w:ind w:left="340" w:hanging="340"/>
      </w:pPr>
      <w:rPr>
        <w:rFonts w:ascii="Times New Roman" w:hAnsi="Times New Roman"/>
        <w:sz w:val="28"/>
      </w:rPr>
    </w:lvl>
    <w:lvl w:ilvl="1" w:tplc="1ABC144A">
      <w:start w:val="1"/>
      <w:numFmt w:val="lowerLetter"/>
      <w:lvlText w:val="%2."/>
      <w:lvlJc w:val="left"/>
      <w:pPr>
        <w:ind w:left="1440" w:hanging="360"/>
      </w:pPr>
    </w:lvl>
    <w:lvl w:ilvl="2" w:tplc="D9C2803C">
      <w:start w:val="1"/>
      <w:numFmt w:val="lowerRoman"/>
      <w:lvlText w:val="%3."/>
      <w:lvlJc w:val="right"/>
      <w:pPr>
        <w:ind w:left="2160" w:hanging="180"/>
      </w:pPr>
    </w:lvl>
    <w:lvl w:ilvl="3" w:tplc="F6CC9876">
      <w:start w:val="1"/>
      <w:numFmt w:val="decimal"/>
      <w:lvlText w:val="%4."/>
      <w:lvlJc w:val="left"/>
      <w:pPr>
        <w:ind w:left="2880" w:hanging="360"/>
      </w:pPr>
    </w:lvl>
    <w:lvl w:ilvl="4" w:tplc="70F4CE6C">
      <w:start w:val="1"/>
      <w:numFmt w:val="lowerLetter"/>
      <w:lvlText w:val="%5."/>
      <w:lvlJc w:val="left"/>
      <w:pPr>
        <w:ind w:left="3600" w:hanging="360"/>
      </w:pPr>
    </w:lvl>
    <w:lvl w:ilvl="5" w:tplc="BD0AA980">
      <w:start w:val="1"/>
      <w:numFmt w:val="lowerRoman"/>
      <w:lvlText w:val="%6."/>
      <w:lvlJc w:val="right"/>
      <w:pPr>
        <w:ind w:left="4320" w:hanging="180"/>
      </w:pPr>
    </w:lvl>
    <w:lvl w:ilvl="6" w:tplc="262CCC6E">
      <w:start w:val="1"/>
      <w:numFmt w:val="decimal"/>
      <w:lvlText w:val="%7."/>
      <w:lvlJc w:val="left"/>
      <w:pPr>
        <w:ind w:left="5040" w:hanging="360"/>
      </w:pPr>
    </w:lvl>
    <w:lvl w:ilvl="7" w:tplc="2AA44116">
      <w:start w:val="1"/>
      <w:numFmt w:val="lowerLetter"/>
      <w:lvlText w:val="%8."/>
      <w:lvlJc w:val="left"/>
      <w:pPr>
        <w:ind w:left="5760" w:hanging="360"/>
      </w:pPr>
    </w:lvl>
    <w:lvl w:ilvl="8" w:tplc="74C65EBE">
      <w:start w:val="1"/>
      <w:numFmt w:val="lowerRoman"/>
      <w:lvlText w:val="%9."/>
      <w:lvlJc w:val="right"/>
      <w:pPr>
        <w:ind w:left="6480" w:hanging="180"/>
      </w:pPr>
    </w:lvl>
  </w:abstractNum>
  <w:abstractNum w:abstractNumId="27" w15:restartNumberingAfterBreak="0">
    <w:nsid w:val="613030D7"/>
    <w:multiLevelType w:val="hybridMultilevel"/>
    <w:tmpl w:val="CB6C718A"/>
    <w:lvl w:ilvl="0" w:tplc="1568B108">
      <w:start w:val="1"/>
      <w:numFmt w:val="bullet"/>
      <w:lvlText w:val=""/>
      <w:lvlJc w:val="left"/>
      <w:pPr>
        <w:tabs>
          <w:tab w:val="num" w:pos="720"/>
        </w:tabs>
        <w:ind w:left="720" w:hanging="360"/>
      </w:pPr>
      <w:rPr>
        <w:rFonts w:ascii="Symbol" w:hAnsi="Symbol" w:hint="default"/>
        <w:sz w:val="20"/>
      </w:rPr>
    </w:lvl>
    <w:lvl w:ilvl="1" w:tplc="13B69E80">
      <w:start w:val="1"/>
      <w:numFmt w:val="bullet"/>
      <w:lvlText w:val="o"/>
      <w:lvlJc w:val="left"/>
      <w:pPr>
        <w:tabs>
          <w:tab w:val="num" w:pos="1440"/>
        </w:tabs>
        <w:ind w:left="1440" w:hanging="360"/>
      </w:pPr>
      <w:rPr>
        <w:rFonts w:ascii="Courier New" w:hAnsi="Courier New" w:hint="default"/>
        <w:sz w:val="20"/>
      </w:rPr>
    </w:lvl>
    <w:lvl w:ilvl="2" w:tplc="12D285EE">
      <w:start w:val="1"/>
      <w:numFmt w:val="bullet"/>
      <w:lvlText w:val=""/>
      <w:lvlJc w:val="left"/>
      <w:pPr>
        <w:tabs>
          <w:tab w:val="num" w:pos="2160"/>
        </w:tabs>
        <w:ind w:left="2160" w:hanging="360"/>
      </w:pPr>
      <w:rPr>
        <w:rFonts w:ascii="Wingdings" w:hAnsi="Wingdings" w:hint="default"/>
        <w:sz w:val="20"/>
      </w:rPr>
    </w:lvl>
    <w:lvl w:ilvl="3" w:tplc="6C768D16">
      <w:start w:val="1"/>
      <w:numFmt w:val="bullet"/>
      <w:lvlText w:val=""/>
      <w:lvlJc w:val="left"/>
      <w:pPr>
        <w:tabs>
          <w:tab w:val="num" w:pos="2880"/>
        </w:tabs>
        <w:ind w:left="2880" w:hanging="360"/>
      </w:pPr>
      <w:rPr>
        <w:rFonts w:ascii="Wingdings" w:hAnsi="Wingdings" w:hint="default"/>
        <w:sz w:val="20"/>
      </w:rPr>
    </w:lvl>
    <w:lvl w:ilvl="4" w:tplc="ED1ABFAE">
      <w:start w:val="1"/>
      <w:numFmt w:val="bullet"/>
      <w:lvlText w:val=""/>
      <w:lvlJc w:val="left"/>
      <w:pPr>
        <w:tabs>
          <w:tab w:val="num" w:pos="3600"/>
        </w:tabs>
        <w:ind w:left="3600" w:hanging="360"/>
      </w:pPr>
      <w:rPr>
        <w:rFonts w:ascii="Wingdings" w:hAnsi="Wingdings" w:hint="default"/>
        <w:sz w:val="20"/>
      </w:rPr>
    </w:lvl>
    <w:lvl w:ilvl="5" w:tplc="F05A2C3C">
      <w:start w:val="1"/>
      <w:numFmt w:val="bullet"/>
      <w:lvlText w:val=""/>
      <w:lvlJc w:val="left"/>
      <w:pPr>
        <w:tabs>
          <w:tab w:val="num" w:pos="4320"/>
        </w:tabs>
        <w:ind w:left="4320" w:hanging="360"/>
      </w:pPr>
      <w:rPr>
        <w:rFonts w:ascii="Wingdings" w:hAnsi="Wingdings" w:hint="default"/>
        <w:sz w:val="20"/>
      </w:rPr>
    </w:lvl>
    <w:lvl w:ilvl="6" w:tplc="446E8652">
      <w:start w:val="1"/>
      <w:numFmt w:val="bullet"/>
      <w:lvlText w:val=""/>
      <w:lvlJc w:val="left"/>
      <w:pPr>
        <w:tabs>
          <w:tab w:val="num" w:pos="5040"/>
        </w:tabs>
        <w:ind w:left="5040" w:hanging="360"/>
      </w:pPr>
      <w:rPr>
        <w:rFonts w:ascii="Wingdings" w:hAnsi="Wingdings" w:hint="default"/>
        <w:sz w:val="20"/>
      </w:rPr>
    </w:lvl>
    <w:lvl w:ilvl="7" w:tplc="9EC47348">
      <w:start w:val="1"/>
      <w:numFmt w:val="bullet"/>
      <w:lvlText w:val=""/>
      <w:lvlJc w:val="left"/>
      <w:pPr>
        <w:tabs>
          <w:tab w:val="num" w:pos="5760"/>
        </w:tabs>
        <w:ind w:left="5760" w:hanging="360"/>
      </w:pPr>
      <w:rPr>
        <w:rFonts w:ascii="Wingdings" w:hAnsi="Wingdings" w:hint="default"/>
        <w:sz w:val="20"/>
      </w:rPr>
    </w:lvl>
    <w:lvl w:ilvl="8" w:tplc="12B63A6A">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3421A"/>
    <w:multiLevelType w:val="hybridMultilevel"/>
    <w:tmpl w:val="1D14CA84"/>
    <w:lvl w:ilvl="0" w:tplc="A3C2C5EE">
      <w:start w:val="1"/>
      <w:numFmt w:val="bullet"/>
      <w:lvlText w:val=""/>
      <w:lvlJc w:val="left"/>
      <w:pPr>
        <w:ind w:left="577" w:hanging="360"/>
      </w:pPr>
      <w:rPr>
        <w:rFonts w:ascii="Symbol" w:hAnsi="Symbol" w:hint="default"/>
      </w:rPr>
    </w:lvl>
    <w:lvl w:ilvl="1" w:tplc="B8E47F8A">
      <w:start w:val="1"/>
      <w:numFmt w:val="bullet"/>
      <w:lvlText w:val="o"/>
      <w:lvlJc w:val="left"/>
      <w:pPr>
        <w:ind w:left="1297" w:hanging="360"/>
      </w:pPr>
      <w:rPr>
        <w:rFonts w:ascii="Courier New" w:hAnsi="Courier New" w:cs="Courier New" w:hint="default"/>
      </w:rPr>
    </w:lvl>
    <w:lvl w:ilvl="2" w:tplc="458A3B78">
      <w:start w:val="1"/>
      <w:numFmt w:val="bullet"/>
      <w:lvlText w:val=""/>
      <w:lvlJc w:val="left"/>
      <w:pPr>
        <w:ind w:left="2017" w:hanging="360"/>
      </w:pPr>
      <w:rPr>
        <w:rFonts w:ascii="Wingdings" w:hAnsi="Wingdings" w:hint="default"/>
      </w:rPr>
    </w:lvl>
    <w:lvl w:ilvl="3" w:tplc="F4B66ED8">
      <w:start w:val="1"/>
      <w:numFmt w:val="bullet"/>
      <w:lvlText w:val=""/>
      <w:lvlJc w:val="left"/>
      <w:pPr>
        <w:ind w:left="2737" w:hanging="360"/>
      </w:pPr>
      <w:rPr>
        <w:rFonts w:ascii="Symbol" w:hAnsi="Symbol" w:hint="default"/>
      </w:rPr>
    </w:lvl>
    <w:lvl w:ilvl="4" w:tplc="E0244986">
      <w:start w:val="1"/>
      <w:numFmt w:val="bullet"/>
      <w:lvlText w:val="o"/>
      <w:lvlJc w:val="left"/>
      <w:pPr>
        <w:ind w:left="3457" w:hanging="360"/>
      </w:pPr>
      <w:rPr>
        <w:rFonts w:ascii="Courier New" w:hAnsi="Courier New" w:cs="Courier New" w:hint="default"/>
      </w:rPr>
    </w:lvl>
    <w:lvl w:ilvl="5" w:tplc="317E3242">
      <w:start w:val="1"/>
      <w:numFmt w:val="bullet"/>
      <w:lvlText w:val=""/>
      <w:lvlJc w:val="left"/>
      <w:pPr>
        <w:ind w:left="4177" w:hanging="360"/>
      </w:pPr>
      <w:rPr>
        <w:rFonts w:ascii="Wingdings" w:hAnsi="Wingdings" w:hint="default"/>
      </w:rPr>
    </w:lvl>
    <w:lvl w:ilvl="6" w:tplc="852EA864">
      <w:start w:val="1"/>
      <w:numFmt w:val="bullet"/>
      <w:lvlText w:val=""/>
      <w:lvlJc w:val="left"/>
      <w:pPr>
        <w:ind w:left="4897" w:hanging="360"/>
      </w:pPr>
      <w:rPr>
        <w:rFonts w:ascii="Symbol" w:hAnsi="Symbol" w:hint="default"/>
      </w:rPr>
    </w:lvl>
    <w:lvl w:ilvl="7" w:tplc="9CB4479E">
      <w:start w:val="1"/>
      <w:numFmt w:val="bullet"/>
      <w:lvlText w:val="o"/>
      <w:lvlJc w:val="left"/>
      <w:pPr>
        <w:ind w:left="5617" w:hanging="360"/>
      </w:pPr>
      <w:rPr>
        <w:rFonts w:ascii="Courier New" w:hAnsi="Courier New" w:cs="Courier New" w:hint="default"/>
      </w:rPr>
    </w:lvl>
    <w:lvl w:ilvl="8" w:tplc="CC101B76">
      <w:start w:val="1"/>
      <w:numFmt w:val="bullet"/>
      <w:lvlText w:val=""/>
      <w:lvlJc w:val="left"/>
      <w:pPr>
        <w:ind w:left="6337" w:hanging="360"/>
      </w:pPr>
      <w:rPr>
        <w:rFonts w:ascii="Wingdings" w:hAnsi="Wingdings" w:hint="default"/>
      </w:rPr>
    </w:lvl>
  </w:abstractNum>
  <w:abstractNum w:abstractNumId="29" w15:restartNumberingAfterBreak="0">
    <w:nsid w:val="64A9674A"/>
    <w:multiLevelType w:val="hybridMultilevel"/>
    <w:tmpl w:val="96E2C690"/>
    <w:lvl w:ilvl="0" w:tplc="0D8C163C">
      <w:start w:val="1"/>
      <w:numFmt w:val="bullet"/>
      <w:lvlText w:val="–"/>
      <w:lvlJc w:val="left"/>
      <w:pPr>
        <w:ind w:left="1418" w:hanging="360"/>
      </w:pPr>
      <w:rPr>
        <w:rFonts w:ascii="Liberation Sans" w:eastAsia="Liberation Sans" w:hAnsi="Liberation Sans" w:cs="Liberation Sans" w:hint="default"/>
      </w:rPr>
    </w:lvl>
    <w:lvl w:ilvl="1" w:tplc="5DB2DE8E">
      <w:start w:val="1"/>
      <w:numFmt w:val="bullet"/>
      <w:lvlText w:val="o"/>
      <w:lvlJc w:val="left"/>
      <w:pPr>
        <w:ind w:left="2138" w:hanging="360"/>
      </w:pPr>
      <w:rPr>
        <w:rFonts w:ascii="Courier New" w:eastAsia="Courier New" w:hAnsi="Courier New" w:cs="Courier New" w:hint="default"/>
      </w:rPr>
    </w:lvl>
    <w:lvl w:ilvl="2" w:tplc="904674A6">
      <w:start w:val="1"/>
      <w:numFmt w:val="bullet"/>
      <w:lvlText w:val="§"/>
      <w:lvlJc w:val="left"/>
      <w:pPr>
        <w:ind w:left="2858" w:hanging="360"/>
      </w:pPr>
      <w:rPr>
        <w:rFonts w:ascii="Wingdings" w:eastAsia="Wingdings" w:hAnsi="Wingdings" w:cs="Wingdings" w:hint="default"/>
      </w:rPr>
    </w:lvl>
    <w:lvl w:ilvl="3" w:tplc="8DA2E07A">
      <w:start w:val="1"/>
      <w:numFmt w:val="bullet"/>
      <w:lvlText w:val="·"/>
      <w:lvlJc w:val="left"/>
      <w:pPr>
        <w:ind w:left="3578" w:hanging="360"/>
      </w:pPr>
      <w:rPr>
        <w:rFonts w:ascii="Symbol" w:eastAsia="Symbol" w:hAnsi="Symbol" w:cs="Symbol" w:hint="default"/>
      </w:rPr>
    </w:lvl>
    <w:lvl w:ilvl="4" w:tplc="64E8ADE4">
      <w:start w:val="1"/>
      <w:numFmt w:val="bullet"/>
      <w:lvlText w:val="o"/>
      <w:lvlJc w:val="left"/>
      <w:pPr>
        <w:ind w:left="4298" w:hanging="360"/>
      </w:pPr>
      <w:rPr>
        <w:rFonts w:ascii="Courier New" w:eastAsia="Courier New" w:hAnsi="Courier New" w:cs="Courier New" w:hint="default"/>
      </w:rPr>
    </w:lvl>
    <w:lvl w:ilvl="5" w:tplc="8AEE757A">
      <w:start w:val="1"/>
      <w:numFmt w:val="bullet"/>
      <w:lvlText w:val="§"/>
      <w:lvlJc w:val="left"/>
      <w:pPr>
        <w:ind w:left="5018" w:hanging="360"/>
      </w:pPr>
      <w:rPr>
        <w:rFonts w:ascii="Wingdings" w:eastAsia="Wingdings" w:hAnsi="Wingdings" w:cs="Wingdings" w:hint="default"/>
      </w:rPr>
    </w:lvl>
    <w:lvl w:ilvl="6" w:tplc="2856DCF8">
      <w:start w:val="1"/>
      <w:numFmt w:val="bullet"/>
      <w:lvlText w:val="·"/>
      <w:lvlJc w:val="left"/>
      <w:pPr>
        <w:ind w:left="5738" w:hanging="360"/>
      </w:pPr>
      <w:rPr>
        <w:rFonts w:ascii="Symbol" w:eastAsia="Symbol" w:hAnsi="Symbol" w:cs="Symbol" w:hint="default"/>
      </w:rPr>
    </w:lvl>
    <w:lvl w:ilvl="7" w:tplc="C7A0F15C">
      <w:start w:val="1"/>
      <w:numFmt w:val="bullet"/>
      <w:lvlText w:val="o"/>
      <w:lvlJc w:val="left"/>
      <w:pPr>
        <w:ind w:left="6458" w:hanging="360"/>
      </w:pPr>
      <w:rPr>
        <w:rFonts w:ascii="Courier New" w:eastAsia="Courier New" w:hAnsi="Courier New" w:cs="Courier New" w:hint="default"/>
      </w:rPr>
    </w:lvl>
    <w:lvl w:ilvl="8" w:tplc="DF72991A">
      <w:start w:val="1"/>
      <w:numFmt w:val="bullet"/>
      <w:lvlText w:val="§"/>
      <w:lvlJc w:val="left"/>
      <w:pPr>
        <w:ind w:left="7178" w:hanging="360"/>
      </w:pPr>
      <w:rPr>
        <w:rFonts w:ascii="Wingdings" w:eastAsia="Wingdings" w:hAnsi="Wingdings" w:cs="Wingdings" w:hint="default"/>
      </w:rPr>
    </w:lvl>
  </w:abstractNum>
  <w:abstractNum w:abstractNumId="30" w15:restartNumberingAfterBreak="0">
    <w:nsid w:val="66BC0131"/>
    <w:multiLevelType w:val="hybridMultilevel"/>
    <w:tmpl w:val="E32A46E6"/>
    <w:lvl w:ilvl="0" w:tplc="687CCC9A">
      <w:start w:val="1"/>
      <w:numFmt w:val="bullet"/>
      <w:pStyle w:val="50"/>
      <w:lvlText w:val=""/>
      <w:lvlJc w:val="left"/>
      <w:pPr>
        <w:tabs>
          <w:tab w:val="num" w:pos="1492"/>
        </w:tabs>
        <w:ind w:left="1492" w:hanging="360"/>
      </w:pPr>
      <w:rPr>
        <w:rFonts w:ascii="Symbol" w:hAnsi="Symbol" w:hint="default"/>
      </w:rPr>
    </w:lvl>
    <w:lvl w:ilvl="1" w:tplc="D018C8E4">
      <w:start w:val="1"/>
      <w:numFmt w:val="bullet"/>
      <w:lvlText w:val="o"/>
      <w:lvlJc w:val="left"/>
      <w:pPr>
        <w:ind w:left="1440" w:hanging="360"/>
      </w:pPr>
      <w:rPr>
        <w:rFonts w:ascii="Courier New" w:eastAsia="Courier New" w:hAnsi="Courier New" w:cs="Courier New" w:hint="default"/>
      </w:rPr>
    </w:lvl>
    <w:lvl w:ilvl="2" w:tplc="478C5B26">
      <w:start w:val="1"/>
      <w:numFmt w:val="bullet"/>
      <w:lvlText w:val="§"/>
      <w:lvlJc w:val="left"/>
      <w:pPr>
        <w:ind w:left="2160" w:hanging="360"/>
      </w:pPr>
      <w:rPr>
        <w:rFonts w:ascii="Wingdings" w:eastAsia="Wingdings" w:hAnsi="Wingdings" w:cs="Wingdings" w:hint="default"/>
      </w:rPr>
    </w:lvl>
    <w:lvl w:ilvl="3" w:tplc="26667E72">
      <w:start w:val="1"/>
      <w:numFmt w:val="bullet"/>
      <w:lvlText w:val="·"/>
      <w:lvlJc w:val="left"/>
      <w:pPr>
        <w:ind w:left="2880" w:hanging="360"/>
      </w:pPr>
      <w:rPr>
        <w:rFonts w:ascii="Symbol" w:eastAsia="Symbol" w:hAnsi="Symbol" w:cs="Symbol" w:hint="default"/>
      </w:rPr>
    </w:lvl>
    <w:lvl w:ilvl="4" w:tplc="58BEFA0E">
      <w:start w:val="1"/>
      <w:numFmt w:val="bullet"/>
      <w:lvlText w:val="o"/>
      <w:lvlJc w:val="left"/>
      <w:pPr>
        <w:ind w:left="3600" w:hanging="360"/>
      </w:pPr>
      <w:rPr>
        <w:rFonts w:ascii="Courier New" w:eastAsia="Courier New" w:hAnsi="Courier New" w:cs="Courier New" w:hint="default"/>
      </w:rPr>
    </w:lvl>
    <w:lvl w:ilvl="5" w:tplc="8898AFD6">
      <w:start w:val="1"/>
      <w:numFmt w:val="bullet"/>
      <w:lvlText w:val="§"/>
      <w:lvlJc w:val="left"/>
      <w:pPr>
        <w:ind w:left="4320" w:hanging="360"/>
      </w:pPr>
      <w:rPr>
        <w:rFonts w:ascii="Wingdings" w:eastAsia="Wingdings" w:hAnsi="Wingdings" w:cs="Wingdings" w:hint="default"/>
      </w:rPr>
    </w:lvl>
    <w:lvl w:ilvl="6" w:tplc="20E07A34">
      <w:start w:val="1"/>
      <w:numFmt w:val="bullet"/>
      <w:lvlText w:val="·"/>
      <w:lvlJc w:val="left"/>
      <w:pPr>
        <w:ind w:left="5040" w:hanging="360"/>
      </w:pPr>
      <w:rPr>
        <w:rFonts w:ascii="Symbol" w:eastAsia="Symbol" w:hAnsi="Symbol" w:cs="Symbol" w:hint="default"/>
      </w:rPr>
    </w:lvl>
    <w:lvl w:ilvl="7" w:tplc="8C1C739E">
      <w:start w:val="1"/>
      <w:numFmt w:val="bullet"/>
      <w:lvlText w:val="o"/>
      <w:lvlJc w:val="left"/>
      <w:pPr>
        <w:ind w:left="5760" w:hanging="360"/>
      </w:pPr>
      <w:rPr>
        <w:rFonts w:ascii="Courier New" w:eastAsia="Courier New" w:hAnsi="Courier New" w:cs="Courier New" w:hint="default"/>
      </w:rPr>
    </w:lvl>
    <w:lvl w:ilvl="8" w:tplc="F126FA88">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66DB1E7A"/>
    <w:multiLevelType w:val="hybridMultilevel"/>
    <w:tmpl w:val="D68408B6"/>
    <w:lvl w:ilvl="0" w:tplc="8AE28502">
      <w:start w:val="1"/>
      <w:numFmt w:val="decimal"/>
      <w:lvlText w:val="%1."/>
      <w:lvlJc w:val="left"/>
      <w:pPr>
        <w:ind w:left="720" w:hanging="360"/>
      </w:pPr>
    </w:lvl>
    <w:lvl w:ilvl="1" w:tplc="2B3AA564">
      <w:start w:val="1"/>
      <w:numFmt w:val="lowerLetter"/>
      <w:lvlText w:val="%2."/>
      <w:lvlJc w:val="left"/>
      <w:pPr>
        <w:ind w:left="1440" w:hanging="360"/>
      </w:pPr>
    </w:lvl>
    <w:lvl w:ilvl="2" w:tplc="7F8EF428">
      <w:start w:val="1"/>
      <w:numFmt w:val="lowerRoman"/>
      <w:lvlText w:val="%3."/>
      <w:lvlJc w:val="right"/>
      <w:pPr>
        <w:ind w:left="2160" w:hanging="180"/>
      </w:pPr>
    </w:lvl>
    <w:lvl w:ilvl="3" w:tplc="4F6A0796">
      <w:start w:val="1"/>
      <w:numFmt w:val="decimal"/>
      <w:lvlText w:val="%4."/>
      <w:lvlJc w:val="left"/>
      <w:pPr>
        <w:ind w:left="2880" w:hanging="360"/>
      </w:pPr>
    </w:lvl>
    <w:lvl w:ilvl="4" w:tplc="73AE5436">
      <w:start w:val="1"/>
      <w:numFmt w:val="lowerLetter"/>
      <w:lvlText w:val="%5."/>
      <w:lvlJc w:val="left"/>
      <w:pPr>
        <w:ind w:left="3600" w:hanging="360"/>
      </w:pPr>
    </w:lvl>
    <w:lvl w:ilvl="5" w:tplc="0E54FF50">
      <w:start w:val="1"/>
      <w:numFmt w:val="lowerRoman"/>
      <w:lvlText w:val="%6."/>
      <w:lvlJc w:val="right"/>
      <w:pPr>
        <w:ind w:left="4320" w:hanging="180"/>
      </w:pPr>
    </w:lvl>
    <w:lvl w:ilvl="6" w:tplc="284C5636">
      <w:start w:val="1"/>
      <w:numFmt w:val="decimal"/>
      <w:lvlText w:val="%7."/>
      <w:lvlJc w:val="left"/>
      <w:pPr>
        <w:ind w:left="5040" w:hanging="360"/>
      </w:pPr>
    </w:lvl>
    <w:lvl w:ilvl="7" w:tplc="E55EC2E0">
      <w:start w:val="1"/>
      <w:numFmt w:val="lowerLetter"/>
      <w:lvlText w:val="%8."/>
      <w:lvlJc w:val="left"/>
      <w:pPr>
        <w:ind w:left="5760" w:hanging="360"/>
      </w:pPr>
    </w:lvl>
    <w:lvl w:ilvl="8" w:tplc="84A0603E">
      <w:start w:val="1"/>
      <w:numFmt w:val="lowerRoman"/>
      <w:lvlText w:val="%9."/>
      <w:lvlJc w:val="right"/>
      <w:pPr>
        <w:ind w:left="6480" w:hanging="180"/>
      </w:pPr>
    </w:lvl>
  </w:abstractNum>
  <w:abstractNum w:abstractNumId="32" w15:restartNumberingAfterBreak="0">
    <w:nsid w:val="67AD35F2"/>
    <w:multiLevelType w:val="hybridMultilevel"/>
    <w:tmpl w:val="99D891A2"/>
    <w:lvl w:ilvl="0" w:tplc="8376BC88">
      <w:start w:val="1"/>
      <w:numFmt w:val="bullet"/>
      <w:pStyle w:val="20"/>
      <w:lvlText w:val=""/>
      <w:lvlJc w:val="left"/>
      <w:pPr>
        <w:tabs>
          <w:tab w:val="num" w:pos="643"/>
        </w:tabs>
        <w:ind w:left="643" w:hanging="360"/>
      </w:pPr>
      <w:rPr>
        <w:rFonts w:ascii="Symbol" w:hAnsi="Symbol" w:hint="default"/>
      </w:rPr>
    </w:lvl>
    <w:lvl w:ilvl="1" w:tplc="5AF6EFB0">
      <w:start w:val="1"/>
      <w:numFmt w:val="bullet"/>
      <w:lvlText w:val="o"/>
      <w:lvlJc w:val="left"/>
      <w:pPr>
        <w:ind w:left="1440" w:hanging="360"/>
      </w:pPr>
      <w:rPr>
        <w:rFonts w:ascii="Courier New" w:eastAsia="Courier New" w:hAnsi="Courier New" w:cs="Courier New" w:hint="default"/>
      </w:rPr>
    </w:lvl>
    <w:lvl w:ilvl="2" w:tplc="BB182FFE">
      <w:start w:val="1"/>
      <w:numFmt w:val="bullet"/>
      <w:lvlText w:val="§"/>
      <w:lvlJc w:val="left"/>
      <w:pPr>
        <w:ind w:left="2160" w:hanging="360"/>
      </w:pPr>
      <w:rPr>
        <w:rFonts w:ascii="Wingdings" w:eastAsia="Wingdings" w:hAnsi="Wingdings" w:cs="Wingdings" w:hint="default"/>
      </w:rPr>
    </w:lvl>
    <w:lvl w:ilvl="3" w:tplc="82E40CBA">
      <w:start w:val="1"/>
      <w:numFmt w:val="bullet"/>
      <w:lvlText w:val="·"/>
      <w:lvlJc w:val="left"/>
      <w:pPr>
        <w:ind w:left="2880" w:hanging="360"/>
      </w:pPr>
      <w:rPr>
        <w:rFonts w:ascii="Symbol" w:eastAsia="Symbol" w:hAnsi="Symbol" w:cs="Symbol" w:hint="default"/>
      </w:rPr>
    </w:lvl>
    <w:lvl w:ilvl="4" w:tplc="83FE0BA0">
      <w:start w:val="1"/>
      <w:numFmt w:val="bullet"/>
      <w:lvlText w:val="o"/>
      <w:lvlJc w:val="left"/>
      <w:pPr>
        <w:ind w:left="3600" w:hanging="360"/>
      </w:pPr>
      <w:rPr>
        <w:rFonts w:ascii="Courier New" w:eastAsia="Courier New" w:hAnsi="Courier New" w:cs="Courier New" w:hint="default"/>
      </w:rPr>
    </w:lvl>
    <w:lvl w:ilvl="5" w:tplc="7B0CFF50">
      <w:start w:val="1"/>
      <w:numFmt w:val="bullet"/>
      <w:lvlText w:val="§"/>
      <w:lvlJc w:val="left"/>
      <w:pPr>
        <w:ind w:left="4320" w:hanging="360"/>
      </w:pPr>
      <w:rPr>
        <w:rFonts w:ascii="Wingdings" w:eastAsia="Wingdings" w:hAnsi="Wingdings" w:cs="Wingdings" w:hint="default"/>
      </w:rPr>
    </w:lvl>
    <w:lvl w:ilvl="6" w:tplc="58BA515E">
      <w:start w:val="1"/>
      <w:numFmt w:val="bullet"/>
      <w:lvlText w:val="·"/>
      <w:lvlJc w:val="left"/>
      <w:pPr>
        <w:ind w:left="5040" w:hanging="360"/>
      </w:pPr>
      <w:rPr>
        <w:rFonts w:ascii="Symbol" w:eastAsia="Symbol" w:hAnsi="Symbol" w:cs="Symbol" w:hint="default"/>
      </w:rPr>
    </w:lvl>
    <w:lvl w:ilvl="7" w:tplc="E9AC0354">
      <w:start w:val="1"/>
      <w:numFmt w:val="bullet"/>
      <w:lvlText w:val="o"/>
      <w:lvlJc w:val="left"/>
      <w:pPr>
        <w:ind w:left="5760" w:hanging="360"/>
      </w:pPr>
      <w:rPr>
        <w:rFonts w:ascii="Courier New" w:eastAsia="Courier New" w:hAnsi="Courier New" w:cs="Courier New" w:hint="default"/>
      </w:rPr>
    </w:lvl>
    <w:lvl w:ilvl="8" w:tplc="2288196E">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7BB4E7E"/>
    <w:multiLevelType w:val="hybridMultilevel"/>
    <w:tmpl w:val="F5B85AF6"/>
    <w:lvl w:ilvl="0" w:tplc="F562457C">
      <w:start w:val="1"/>
      <w:numFmt w:val="bullet"/>
      <w:lvlText w:val=""/>
      <w:lvlJc w:val="left"/>
      <w:pPr>
        <w:ind w:left="577" w:hanging="360"/>
      </w:pPr>
      <w:rPr>
        <w:rFonts w:ascii="Symbol" w:hAnsi="Symbol" w:hint="default"/>
      </w:rPr>
    </w:lvl>
    <w:lvl w:ilvl="1" w:tplc="FEC682E2">
      <w:start w:val="1"/>
      <w:numFmt w:val="bullet"/>
      <w:lvlText w:val="o"/>
      <w:lvlJc w:val="left"/>
      <w:pPr>
        <w:ind w:left="1297" w:hanging="360"/>
      </w:pPr>
      <w:rPr>
        <w:rFonts w:ascii="Courier New" w:hAnsi="Courier New" w:cs="Courier New" w:hint="default"/>
      </w:rPr>
    </w:lvl>
    <w:lvl w:ilvl="2" w:tplc="97AE6FF2">
      <w:start w:val="1"/>
      <w:numFmt w:val="bullet"/>
      <w:lvlText w:val=""/>
      <w:lvlJc w:val="left"/>
      <w:pPr>
        <w:ind w:left="2017" w:hanging="360"/>
      </w:pPr>
      <w:rPr>
        <w:rFonts w:ascii="Wingdings" w:hAnsi="Wingdings" w:hint="default"/>
      </w:rPr>
    </w:lvl>
    <w:lvl w:ilvl="3" w:tplc="3A5EA49C">
      <w:start w:val="1"/>
      <w:numFmt w:val="bullet"/>
      <w:lvlText w:val=""/>
      <w:lvlJc w:val="left"/>
      <w:pPr>
        <w:ind w:left="2737" w:hanging="360"/>
      </w:pPr>
      <w:rPr>
        <w:rFonts w:ascii="Symbol" w:hAnsi="Symbol" w:hint="default"/>
      </w:rPr>
    </w:lvl>
    <w:lvl w:ilvl="4" w:tplc="9FA64FEA">
      <w:start w:val="1"/>
      <w:numFmt w:val="bullet"/>
      <w:lvlText w:val="o"/>
      <w:lvlJc w:val="left"/>
      <w:pPr>
        <w:ind w:left="3457" w:hanging="360"/>
      </w:pPr>
      <w:rPr>
        <w:rFonts w:ascii="Courier New" w:hAnsi="Courier New" w:cs="Courier New" w:hint="default"/>
      </w:rPr>
    </w:lvl>
    <w:lvl w:ilvl="5" w:tplc="4B322FEE">
      <w:start w:val="1"/>
      <w:numFmt w:val="bullet"/>
      <w:lvlText w:val=""/>
      <w:lvlJc w:val="left"/>
      <w:pPr>
        <w:ind w:left="4177" w:hanging="360"/>
      </w:pPr>
      <w:rPr>
        <w:rFonts w:ascii="Wingdings" w:hAnsi="Wingdings" w:hint="default"/>
      </w:rPr>
    </w:lvl>
    <w:lvl w:ilvl="6" w:tplc="380CAE5A">
      <w:start w:val="1"/>
      <w:numFmt w:val="bullet"/>
      <w:lvlText w:val=""/>
      <w:lvlJc w:val="left"/>
      <w:pPr>
        <w:ind w:left="4897" w:hanging="360"/>
      </w:pPr>
      <w:rPr>
        <w:rFonts w:ascii="Symbol" w:hAnsi="Symbol" w:hint="default"/>
      </w:rPr>
    </w:lvl>
    <w:lvl w:ilvl="7" w:tplc="4112D374">
      <w:start w:val="1"/>
      <w:numFmt w:val="bullet"/>
      <w:lvlText w:val="o"/>
      <w:lvlJc w:val="left"/>
      <w:pPr>
        <w:ind w:left="5617" w:hanging="360"/>
      </w:pPr>
      <w:rPr>
        <w:rFonts w:ascii="Courier New" w:hAnsi="Courier New" w:cs="Courier New" w:hint="default"/>
      </w:rPr>
    </w:lvl>
    <w:lvl w:ilvl="8" w:tplc="92F6527E">
      <w:start w:val="1"/>
      <w:numFmt w:val="bullet"/>
      <w:lvlText w:val=""/>
      <w:lvlJc w:val="left"/>
      <w:pPr>
        <w:ind w:left="6337" w:hanging="360"/>
      </w:pPr>
      <w:rPr>
        <w:rFonts w:ascii="Wingdings" w:hAnsi="Wingdings" w:hint="default"/>
      </w:rPr>
    </w:lvl>
  </w:abstractNum>
  <w:abstractNum w:abstractNumId="34" w15:restartNumberingAfterBreak="0">
    <w:nsid w:val="6ADF4DB4"/>
    <w:multiLevelType w:val="hybridMultilevel"/>
    <w:tmpl w:val="73982040"/>
    <w:lvl w:ilvl="0" w:tplc="89948DD2">
      <w:start w:val="1"/>
      <w:numFmt w:val="bullet"/>
      <w:lvlText w:val=""/>
      <w:lvlJc w:val="left"/>
      <w:pPr>
        <w:ind w:left="360" w:hanging="360"/>
      </w:pPr>
      <w:rPr>
        <w:rFonts w:ascii="Symbol" w:hAnsi="Symbol" w:hint="default"/>
      </w:rPr>
    </w:lvl>
    <w:lvl w:ilvl="1" w:tplc="132E107E">
      <w:start w:val="1"/>
      <w:numFmt w:val="bullet"/>
      <w:lvlText w:val="o"/>
      <w:lvlJc w:val="left"/>
      <w:pPr>
        <w:ind w:left="1080" w:hanging="360"/>
      </w:pPr>
      <w:rPr>
        <w:rFonts w:ascii="Courier New" w:hAnsi="Courier New" w:cs="Courier New" w:hint="default"/>
      </w:rPr>
    </w:lvl>
    <w:lvl w:ilvl="2" w:tplc="EDECF636">
      <w:start w:val="1"/>
      <w:numFmt w:val="bullet"/>
      <w:lvlText w:val=""/>
      <w:lvlJc w:val="left"/>
      <w:pPr>
        <w:ind w:left="1800" w:hanging="360"/>
      </w:pPr>
      <w:rPr>
        <w:rFonts w:ascii="Wingdings" w:hAnsi="Wingdings" w:hint="default"/>
      </w:rPr>
    </w:lvl>
    <w:lvl w:ilvl="3" w:tplc="352E767A">
      <w:start w:val="1"/>
      <w:numFmt w:val="bullet"/>
      <w:lvlText w:val=""/>
      <w:lvlJc w:val="left"/>
      <w:pPr>
        <w:ind w:left="2520" w:hanging="360"/>
      </w:pPr>
      <w:rPr>
        <w:rFonts w:ascii="Symbol" w:hAnsi="Symbol" w:hint="default"/>
      </w:rPr>
    </w:lvl>
    <w:lvl w:ilvl="4" w:tplc="8C6C77E2">
      <w:start w:val="1"/>
      <w:numFmt w:val="bullet"/>
      <w:lvlText w:val="o"/>
      <w:lvlJc w:val="left"/>
      <w:pPr>
        <w:ind w:left="3240" w:hanging="360"/>
      </w:pPr>
      <w:rPr>
        <w:rFonts w:ascii="Courier New" w:hAnsi="Courier New" w:cs="Courier New" w:hint="default"/>
      </w:rPr>
    </w:lvl>
    <w:lvl w:ilvl="5" w:tplc="75384A1C">
      <w:start w:val="1"/>
      <w:numFmt w:val="bullet"/>
      <w:lvlText w:val=""/>
      <w:lvlJc w:val="left"/>
      <w:pPr>
        <w:ind w:left="3960" w:hanging="360"/>
      </w:pPr>
      <w:rPr>
        <w:rFonts w:ascii="Wingdings" w:hAnsi="Wingdings" w:hint="default"/>
      </w:rPr>
    </w:lvl>
    <w:lvl w:ilvl="6" w:tplc="A9C474A2">
      <w:start w:val="1"/>
      <w:numFmt w:val="bullet"/>
      <w:lvlText w:val=""/>
      <w:lvlJc w:val="left"/>
      <w:pPr>
        <w:ind w:left="4680" w:hanging="360"/>
      </w:pPr>
      <w:rPr>
        <w:rFonts w:ascii="Symbol" w:hAnsi="Symbol" w:hint="default"/>
      </w:rPr>
    </w:lvl>
    <w:lvl w:ilvl="7" w:tplc="F8CE8CF8">
      <w:start w:val="1"/>
      <w:numFmt w:val="bullet"/>
      <w:lvlText w:val="o"/>
      <w:lvlJc w:val="left"/>
      <w:pPr>
        <w:ind w:left="5400" w:hanging="360"/>
      </w:pPr>
      <w:rPr>
        <w:rFonts w:ascii="Courier New" w:hAnsi="Courier New" w:cs="Courier New" w:hint="default"/>
      </w:rPr>
    </w:lvl>
    <w:lvl w:ilvl="8" w:tplc="B00C44BE">
      <w:start w:val="1"/>
      <w:numFmt w:val="bullet"/>
      <w:lvlText w:val=""/>
      <w:lvlJc w:val="left"/>
      <w:pPr>
        <w:ind w:left="6120" w:hanging="360"/>
      </w:pPr>
      <w:rPr>
        <w:rFonts w:ascii="Wingdings" w:hAnsi="Wingdings" w:hint="default"/>
      </w:rPr>
    </w:lvl>
  </w:abstractNum>
  <w:abstractNum w:abstractNumId="35" w15:restartNumberingAfterBreak="0">
    <w:nsid w:val="6B851147"/>
    <w:multiLevelType w:val="hybridMultilevel"/>
    <w:tmpl w:val="1378427A"/>
    <w:lvl w:ilvl="0" w:tplc="BA24AAB8">
      <w:start w:val="1"/>
      <w:numFmt w:val="russianLower"/>
      <w:pStyle w:val="21050"/>
      <w:suff w:val="space"/>
      <w:lvlText w:val="%1)"/>
      <w:lvlJc w:val="left"/>
      <w:pPr>
        <w:ind w:left="0" w:firstLine="709"/>
      </w:pPr>
      <w:rPr>
        <w:rFonts w:hint="default"/>
      </w:rPr>
    </w:lvl>
    <w:lvl w:ilvl="1" w:tplc="D50E3A6C">
      <w:start w:val="1"/>
      <w:numFmt w:val="decimal"/>
      <w:suff w:val="space"/>
      <w:lvlText w:val="%2)"/>
      <w:lvlJc w:val="left"/>
      <w:pPr>
        <w:ind w:left="284" w:firstLine="709"/>
      </w:pPr>
      <w:rPr>
        <w:rFonts w:hint="default"/>
      </w:rPr>
    </w:lvl>
    <w:lvl w:ilvl="2" w:tplc="ADECCCA0">
      <w:start w:val="1"/>
      <w:numFmt w:val="none"/>
      <w:suff w:val="space"/>
      <w:lvlText w:val="-"/>
      <w:lvlJc w:val="right"/>
      <w:pPr>
        <w:ind w:left="568" w:firstLine="709"/>
      </w:pPr>
      <w:rPr>
        <w:rFonts w:hint="default"/>
      </w:rPr>
    </w:lvl>
    <w:lvl w:ilvl="3" w:tplc="CD002EA2">
      <w:start w:val="1"/>
      <w:numFmt w:val="decimal"/>
      <w:lvlText w:val="%4."/>
      <w:lvlJc w:val="left"/>
      <w:pPr>
        <w:ind w:left="852" w:firstLine="709"/>
      </w:pPr>
      <w:rPr>
        <w:rFonts w:hint="default"/>
      </w:rPr>
    </w:lvl>
    <w:lvl w:ilvl="4" w:tplc="65D4CE50">
      <w:start w:val="1"/>
      <w:numFmt w:val="lowerLetter"/>
      <w:lvlText w:val="%5."/>
      <w:lvlJc w:val="left"/>
      <w:pPr>
        <w:ind w:left="1136" w:firstLine="709"/>
      </w:pPr>
      <w:rPr>
        <w:rFonts w:hint="default"/>
      </w:rPr>
    </w:lvl>
    <w:lvl w:ilvl="5" w:tplc="757CB536">
      <w:start w:val="1"/>
      <w:numFmt w:val="lowerRoman"/>
      <w:lvlText w:val="%6."/>
      <w:lvlJc w:val="right"/>
      <w:pPr>
        <w:ind w:left="1420" w:firstLine="709"/>
      </w:pPr>
      <w:rPr>
        <w:rFonts w:hint="default"/>
      </w:rPr>
    </w:lvl>
    <w:lvl w:ilvl="6" w:tplc="74509208">
      <w:start w:val="1"/>
      <w:numFmt w:val="decimal"/>
      <w:lvlText w:val="%7."/>
      <w:lvlJc w:val="left"/>
      <w:pPr>
        <w:ind w:left="1704" w:firstLine="709"/>
      </w:pPr>
      <w:rPr>
        <w:rFonts w:hint="default"/>
      </w:rPr>
    </w:lvl>
    <w:lvl w:ilvl="7" w:tplc="CEB6C922">
      <w:start w:val="1"/>
      <w:numFmt w:val="lowerLetter"/>
      <w:lvlText w:val="%8."/>
      <w:lvlJc w:val="left"/>
      <w:pPr>
        <w:ind w:left="1988" w:firstLine="709"/>
      </w:pPr>
      <w:rPr>
        <w:rFonts w:hint="default"/>
      </w:rPr>
    </w:lvl>
    <w:lvl w:ilvl="8" w:tplc="D63A1234">
      <w:start w:val="1"/>
      <w:numFmt w:val="lowerRoman"/>
      <w:lvlText w:val="%9."/>
      <w:lvlJc w:val="right"/>
      <w:pPr>
        <w:ind w:left="2272" w:firstLine="709"/>
      </w:pPr>
      <w:rPr>
        <w:rFonts w:hint="default"/>
      </w:rPr>
    </w:lvl>
  </w:abstractNum>
  <w:abstractNum w:abstractNumId="36" w15:restartNumberingAfterBreak="0">
    <w:nsid w:val="6E882A6A"/>
    <w:multiLevelType w:val="hybridMultilevel"/>
    <w:tmpl w:val="A38CD42E"/>
    <w:lvl w:ilvl="0" w:tplc="60F4079E">
      <w:start w:val="1"/>
      <w:numFmt w:val="bullet"/>
      <w:pStyle w:val="4"/>
      <w:lvlText w:val=""/>
      <w:lvlJc w:val="left"/>
      <w:pPr>
        <w:tabs>
          <w:tab w:val="num" w:pos="1209"/>
        </w:tabs>
        <w:ind w:left="1209" w:hanging="360"/>
      </w:pPr>
      <w:rPr>
        <w:rFonts w:ascii="Symbol" w:hAnsi="Symbol" w:hint="default"/>
      </w:rPr>
    </w:lvl>
    <w:lvl w:ilvl="1" w:tplc="B41885B2">
      <w:start w:val="1"/>
      <w:numFmt w:val="bullet"/>
      <w:lvlText w:val="o"/>
      <w:lvlJc w:val="left"/>
      <w:pPr>
        <w:ind w:left="1440" w:hanging="360"/>
      </w:pPr>
      <w:rPr>
        <w:rFonts w:ascii="Courier New" w:eastAsia="Courier New" w:hAnsi="Courier New" w:cs="Courier New" w:hint="default"/>
      </w:rPr>
    </w:lvl>
    <w:lvl w:ilvl="2" w:tplc="86C850C0">
      <w:start w:val="1"/>
      <w:numFmt w:val="bullet"/>
      <w:lvlText w:val="§"/>
      <w:lvlJc w:val="left"/>
      <w:pPr>
        <w:ind w:left="2160" w:hanging="360"/>
      </w:pPr>
      <w:rPr>
        <w:rFonts w:ascii="Wingdings" w:eastAsia="Wingdings" w:hAnsi="Wingdings" w:cs="Wingdings" w:hint="default"/>
      </w:rPr>
    </w:lvl>
    <w:lvl w:ilvl="3" w:tplc="4B50CED0">
      <w:start w:val="1"/>
      <w:numFmt w:val="bullet"/>
      <w:lvlText w:val="·"/>
      <w:lvlJc w:val="left"/>
      <w:pPr>
        <w:ind w:left="2880" w:hanging="360"/>
      </w:pPr>
      <w:rPr>
        <w:rFonts w:ascii="Symbol" w:eastAsia="Symbol" w:hAnsi="Symbol" w:cs="Symbol" w:hint="default"/>
      </w:rPr>
    </w:lvl>
    <w:lvl w:ilvl="4" w:tplc="98FCA26C">
      <w:start w:val="1"/>
      <w:numFmt w:val="bullet"/>
      <w:lvlText w:val="o"/>
      <w:lvlJc w:val="left"/>
      <w:pPr>
        <w:ind w:left="3600" w:hanging="360"/>
      </w:pPr>
      <w:rPr>
        <w:rFonts w:ascii="Courier New" w:eastAsia="Courier New" w:hAnsi="Courier New" w:cs="Courier New" w:hint="default"/>
      </w:rPr>
    </w:lvl>
    <w:lvl w:ilvl="5" w:tplc="93E42EFC">
      <w:start w:val="1"/>
      <w:numFmt w:val="bullet"/>
      <w:lvlText w:val="§"/>
      <w:lvlJc w:val="left"/>
      <w:pPr>
        <w:ind w:left="4320" w:hanging="360"/>
      </w:pPr>
      <w:rPr>
        <w:rFonts w:ascii="Wingdings" w:eastAsia="Wingdings" w:hAnsi="Wingdings" w:cs="Wingdings" w:hint="default"/>
      </w:rPr>
    </w:lvl>
    <w:lvl w:ilvl="6" w:tplc="CA48D7F8">
      <w:start w:val="1"/>
      <w:numFmt w:val="bullet"/>
      <w:lvlText w:val="·"/>
      <w:lvlJc w:val="left"/>
      <w:pPr>
        <w:ind w:left="5040" w:hanging="360"/>
      </w:pPr>
      <w:rPr>
        <w:rFonts w:ascii="Symbol" w:eastAsia="Symbol" w:hAnsi="Symbol" w:cs="Symbol" w:hint="default"/>
      </w:rPr>
    </w:lvl>
    <w:lvl w:ilvl="7" w:tplc="DEAC235C">
      <w:start w:val="1"/>
      <w:numFmt w:val="bullet"/>
      <w:lvlText w:val="o"/>
      <w:lvlJc w:val="left"/>
      <w:pPr>
        <w:ind w:left="5760" w:hanging="360"/>
      </w:pPr>
      <w:rPr>
        <w:rFonts w:ascii="Courier New" w:eastAsia="Courier New" w:hAnsi="Courier New" w:cs="Courier New" w:hint="default"/>
      </w:rPr>
    </w:lvl>
    <w:lvl w:ilvl="8" w:tplc="E5EC354E">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6FED3474"/>
    <w:multiLevelType w:val="multilevel"/>
    <w:tmpl w:val="416AE1DE"/>
    <w:styleLink w:val="AVlistlev2"/>
    <w:lvl w:ilvl="0">
      <w:start w:val="1"/>
      <w:numFmt w:val="decimal"/>
      <w:pStyle w:val="AVlistlev2"/>
      <w:lvlText w:val="%1."/>
      <w:lvlJc w:val="left"/>
      <w:pPr>
        <w:tabs>
          <w:tab w:val="num" w:pos="567"/>
        </w:tabs>
        <w:ind w:left="454" w:hanging="454"/>
      </w:pPr>
      <w:rPr>
        <w:rFonts w:hint="default"/>
      </w:rPr>
    </w:lvl>
    <w:lvl w:ilvl="1">
      <w:start w:val="1"/>
      <w:numFmt w:val="decimal"/>
      <w:lvlText w:val="%1.%2."/>
      <w:lvlJc w:val="left"/>
      <w:pPr>
        <w:tabs>
          <w:tab w:val="num" w:pos="1021"/>
        </w:tabs>
        <w:ind w:left="1021" w:hanging="567"/>
      </w:pPr>
      <w:rPr>
        <w:rFonts w:hint="default"/>
      </w:rPr>
    </w:lvl>
    <w:lvl w:ilvl="2">
      <w:start w:val="1"/>
      <w:numFmt w:val="bullet"/>
      <w:lvlText w:val=""/>
      <w:lvlJc w:val="left"/>
      <w:pPr>
        <w:tabs>
          <w:tab w:val="num" w:pos="1361"/>
        </w:tabs>
        <w:ind w:left="1361" w:hanging="340"/>
      </w:pPr>
      <w:rPr>
        <w:rFonts w:ascii="Wingdings" w:hAnsi="Wingdings" w:hint="default"/>
        <w:color w:val="auto"/>
      </w:rPr>
    </w:lvl>
    <w:lvl w:ilvl="3">
      <w:start w:val="1"/>
      <w:numFmt w:val="bullet"/>
      <w:lvlText w:val=""/>
      <w:lvlJc w:val="left"/>
      <w:pPr>
        <w:tabs>
          <w:tab w:val="num" w:pos="1701"/>
        </w:tabs>
        <w:ind w:left="1701" w:hanging="340"/>
      </w:pPr>
      <w:rPr>
        <w:rFonts w:ascii="Wingdings" w:hAnsi="Wingdings" w:hint="default"/>
        <w:color w:val="auto"/>
      </w:rPr>
    </w:lvl>
    <w:lvl w:ilvl="4">
      <w:start w:val="1"/>
      <w:numFmt w:val="bullet"/>
      <w:lvlText w:val=""/>
      <w:lvlJc w:val="left"/>
      <w:pPr>
        <w:tabs>
          <w:tab w:val="num" w:pos="2041"/>
        </w:tabs>
        <w:ind w:left="2041" w:hanging="340"/>
      </w:pPr>
      <w:rPr>
        <w:rFonts w:ascii="Wingdings" w:hAnsi="Wingdings" w:hint="default"/>
        <w:color w:val="auto"/>
      </w:rPr>
    </w:lvl>
    <w:lvl w:ilvl="5">
      <w:start w:val="1"/>
      <w:numFmt w:val="bullet"/>
      <w:lvlText w:val=""/>
      <w:lvlJc w:val="left"/>
      <w:pPr>
        <w:tabs>
          <w:tab w:val="num" w:pos="2381"/>
        </w:tabs>
        <w:ind w:left="2381" w:hanging="340"/>
      </w:pPr>
      <w:rPr>
        <w:rFonts w:ascii="Wingdings" w:hAnsi="Wingdings" w:hint="default"/>
      </w:rPr>
    </w:lvl>
    <w:lvl w:ilvl="6">
      <w:start w:val="1"/>
      <w:numFmt w:val="bullet"/>
      <w:lvlText w:val=""/>
      <w:lvlJc w:val="left"/>
      <w:pPr>
        <w:tabs>
          <w:tab w:val="num" w:pos="2722"/>
        </w:tabs>
        <w:ind w:left="2722" w:hanging="341"/>
      </w:pPr>
      <w:rPr>
        <w:rFonts w:ascii="Wingdings" w:hAnsi="Wingdings" w:hint="default"/>
        <w:color w:val="auto"/>
      </w:rPr>
    </w:lvl>
    <w:lvl w:ilvl="7">
      <w:start w:val="1"/>
      <w:numFmt w:val="bullet"/>
      <w:lvlText w:val=""/>
      <w:lvlJc w:val="left"/>
      <w:pPr>
        <w:tabs>
          <w:tab w:val="num" w:pos="3062"/>
        </w:tabs>
        <w:ind w:left="3062" w:hanging="340"/>
      </w:pPr>
      <w:rPr>
        <w:rFonts w:ascii="Wingdings" w:hAnsi="Wingdings" w:hint="default"/>
        <w:color w:val="auto"/>
      </w:rPr>
    </w:lvl>
    <w:lvl w:ilvl="8">
      <w:start w:val="1"/>
      <w:numFmt w:val="bullet"/>
      <w:lvlText w:val=""/>
      <w:lvlJc w:val="left"/>
      <w:pPr>
        <w:tabs>
          <w:tab w:val="num" w:pos="3402"/>
        </w:tabs>
        <w:ind w:left="3402" w:hanging="340"/>
      </w:pPr>
      <w:rPr>
        <w:rFonts w:ascii="Wingdings" w:hAnsi="Wingdings" w:hint="default"/>
        <w:color w:val="auto"/>
      </w:rPr>
    </w:lvl>
  </w:abstractNum>
  <w:abstractNum w:abstractNumId="38" w15:restartNumberingAfterBreak="0">
    <w:nsid w:val="70455A35"/>
    <w:multiLevelType w:val="multilevel"/>
    <w:tmpl w:val="85D81308"/>
    <w:styleLink w:val="AVlistlev3"/>
    <w:lvl w:ilvl="0">
      <w:start w:val="1"/>
      <w:numFmt w:val="decimal"/>
      <w:pStyle w:val="AVlistlev3"/>
      <w:lvlText w:val="%1."/>
      <w:lvlJc w:val="left"/>
      <w:pPr>
        <w:tabs>
          <w:tab w:val="num" w:pos="454"/>
        </w:tabs>
        <w:ind w:left="454" w:hanging="454"/>
      </w:pPr>
      <w:rPr>
        <w:rFonts w:hint="default"/>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814"/>
        </w:tabs>
        <w:ind w:left="1814" w:hanging="793"/>
      </w:pPr>
      <w:rPr>
        <w:rFonts w:hint="default"/>
      </w:rPr>
    </w:lvl>
    <w:lvl w:ilvl="3">
      <w:start w:val="1"/>
      <w:numFmt w:val="bullet"/>
      <w:lvlText w:val=""/>
      <w:lvlJc w:val="left"/>
      <w:pPr>
        <w:tabs>
          <w:tab w:val="num" w:pos="2155"/>
        </w:tabs>
        <w:ind w:left="2155" w:hanging="341"/>
      </w:pPr>
      <w:rPr>
        <w:rFonts w:ascii="Wingdings" w:hAnsi="Wingdings" w:hint="default"/>
      </w:rPr>
    </w:lvl>
    <w:lvl w:ilvl="4">
      <w:start w:val="1"/>
      <w:numFmt w:val="bullet"/>
      <w:lvlText w:val=""/>
      <w:lvlJc w:val="left"/>
      <w:pPr>
        <w:tabs>
          <w:tab w:val="num" w:pos="2495"/>
        </w:tabs>
        <w:ind w:left="2495" w:hanging="340"/>
      </w:pPr>
      <w:rPr>
        <w:rFonts w:ascii="Wingdings" w:hAnsi="Wingdings" w:hint="default"/>
      </w:rPr>
    </w:lvl>
    <w:lvl w:ilvl="5">
      <w:start w:val="1"/>
      <w:numFmt w:val="bullet"/>
      <w:lvlText w:val=""/>
      <w:lvlJc w:val="left"/>
      <w:pPr>
        <w:tabs>
          <w:tab w:val="num" w:pos="2835"/>
        </w:tabs>
        <w:ind w:left="2835" w:hanging="340"/>
      </w:pPr>
      <w:rPr>
        <w:rFonts w:ascii="Wingdings" w:hAnsi="Wingdings" w:hint="default"/>
      </w:rPr>
    </w:lvl>
    <w:lvl w:ilvl="6">
      <w:start w:val="1"/>
      <w:numFmt w:val="bullet"/>
      <w:lvlText w:val=""/>
      <w:lvlJc w:val="left"/>
      <w:pPr>
        <w:tabs>
          <w:tab w:val="num" w:pos="3175"/>
        </w:tabs>
        <w:ind w:left="3175" w:hanging="340"/>
      </w:pPr>
      <w:rPr>
        <w:rFonts w:ascii="Wingdings" w:hAnsi="Wingdings" w:hint="default"/>
      </w:rPr>
    </w:lvl>
    <w:lvl w:ilvl="7">
      <w:start w:val="1"/>
      <w:numFmt w:val="bullet"/>
      <w:lvlText w:val=""/>
      <w:lvlJc w:val="left"/>
      <w:pPr>
        <w:tabs>
          <w:tab w:val="num" w:pos="3515"/>
        </w:tabs>
        <w:ind w:left="3515" w:hanging="340"/>
      </w:pPr>
      <w:rPr>
        <w:rFonts w:ascii="Wingdings" w:hAnsi="Wingdings" w:hint="default"/>
      </w:rPr>
    </w:lvl>
    <w:lvl w:ilvl="8">
      <w:start w:val="1"/>
      <w:numFmt w:val="bullet"/>
      <w:lvlText w:val=""/>
      <w:lvlJc w:val="left"/>
      <w:pPr>
        <w:tabs>
          <w:tab w:val="num" w:pos="3856"/>
        </w:tabs>
        <w:ind w:left="3856" w:hanging="341"/>
      </w:pPr>
      <w:rPr>
        <w:rFonts w:ascii="Wingdings" w:hAnsi="Wingdings" w:hint="default"/>
      </w:rPr>
    </w:lvl>
  </w:abstractNum>
  <w:abstractNum w:abstractNumId="39" w15:restartNumberingAfterBreak="0">
    <w:nsid w:val="7090183C"/>
    <w:multiLevelType w:val="hybridMultilevel"/>
    <w:tmpl w:val="C024C786"/>
    <w:lvl w:ilvl="0" w:tplc="19DED5D2">
      <w:start w:val="1"/>
      <w:numFmt w:val="bullet"/>
      <w:pStyle w:val="-2"/>
      <w:lvlText w:val=""/>
      <w:lvlJc w:val="left"/>
      <w:pPr>
        <w:tabs>
          <w:tab w:val="num" w:pos="1797"/>
        </w:tabs>
        <w:ind w:left="1797" w:hanging="360"/>
      </w:pPr>
      <w:rPr>
        <w:rFonts w:ascii="Symbol" w:hAnsi="Symbol" w:hint="default"/>
      </w:rPr>
    </w:lvl>
    <w:lvl w:ilvl="1" w:tplc="665C7382">
      <w:start w:val="1"/>
      <w:numFmt w:val="bullet"/>
      <w:lvlText w:val="-"/>
      <w:lvlJc w:val="left"/>
      <w:pPr>
        <w:ind w:left="1797" w:hanging="360"/>
      </w:pPr>
      <w:rPr>
        <w:rFonts w:ascii="Times New Roman" w:eastAsia="Calibri" w:hAnsi="Times New Roman" w:cs="Times New Roman" w:hint="default"/>
      </w:rPr>
    </w:lvl>
    <w:lvl w:ilvl="2" w:tplc="B4DCD3DC">
      <w:start w:val="1"/>
      <w:numFmt w:val="bullet"/>
      <w:lvlText w:val=""/>
      <w:lvlJc w:val="left"/>
      <w:pPr>
        <w:tabs>
          <w:tab w:val="num" w:pos="2517"/>
        </w:tabs>
        <w:ind w:left="2517" w:hanging="360"/>
      </w:pPr>
      <w:rPr>
        <w:rFonts w:ascii="Wingdings" w:hAnsi="Wingdings" w:hint="default"/>
      </w:rPr>
    </w:lvl>
    <w:lvl w:ilvl="3" w:tplc="47B8BFAE">
      <w:start w:val="1"/>
      <w:numFmt w:val="bullet"/>
      <w:lvlText w:val=""/>
      <w:lvlJc w:val="left"/>
      <w:pPr>
        <w:tabs>
          <w:tab w:val="num" w:pos="3237"/>
        </w:tabs>
        <w:ind w:left="3237" w:hanging="360"/>
      </w:pPr>
      <w:rPr>
        <w:rFonts w:ascii="Symbol" w:hAnsi="Symbol" w:hint="default"/>
      </w:rPr>
    </w:lvl>
    <w:lvl w:ilvl="4" w:tplc="190061D0">
      <w:start w:val="1"/>
      <w:numFmt w:val="bullet"/>
      <w:lvlText w:val="o"/>
      <w:lvlJc w:val="left"/>
      <w:pPr>
        <w:tabs>
          <w:tab w:val="num" w:pos="3957"/>
        </w:tabs>
        <w:ind w:left="3957" w:hanging="360"/>
      </w:pPr>
      <w:rPr>
        <w:rFonts w:ascii="Courier New" w:hAnsi="Courier New" w:cs="Courier New" w:hint="default"/>
      </w:rPr>
    </w:lvl>
    <w:lvl w:ilvl="5" w:tplc="E60286EE">
      <w:start w:val="1"/>
      <w:numFmt w:val="bullet"/>
      <w:lvlText w:val=""/>
      <w:lvlJc w:val="left"/>
      <w:pPr>
        <w:tabs>
          <w:tab w:val="num" w:pos="4677"/>
        </w:tabs>
        <w:ind w:left="4677" w:hanging="360"/>
      </w:pPr>
      <w:rPr>
        <w:rFonts w:ascii="Wingdings" w:hAnsi="Wingdings" w:hint="default"/>
      </w:rPr>
    </w:lvl>
    <w:lvl w:ilvl="6" w:tplc="CB4EFBC6">
      <w:start w:val="1"/>
      <w:numFmt w:val="bullet"/>
      <w:lvlText w:val=""/>
      <w:lvlJc w:val="left"/>
      <w:pPr>
        <w:tabs>
          <w:tab w:val="num" w:pos="5397"/>
        </w:tabs>
        <w:ind w:left="5397" w:hanging="360"/>
      </w:pPr>
      <w:rPr>
        <w:rFonts w:ascii="Symbol" w:hAnsi="Symbol" w:hint="default"/>
      </w:rPr>
    </w:lvl>
    <w:lvl w:ilvl="7" w:tplc="754C7B38">
      <w:start w:val="1"/>
      <w:numFmt w:val="bullet"/>
      <w:lvlText w:val="o"/>
      <w:lvlJc w:val="left"/>
      <w:pPr>
        <w:tabs>
          <w:tab w:val="num" w:pos="6117"/>
        </w:tabs>
        <w:ind w:left="6117" w:hanging="360"/>
      </w:pPr>
      <w:rPr>
        <w:rFonts w:ascii="Courier New" w:hAnsi="Courier New" w:cs="Courier New" w:hint="default"/>
      </w:rPr>
    </w:lvl>
    <w:lvl w:ilvl="8" w:tplc="978EAFCC">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72477064"/>
    <w:multiLevelType w:val="hybridMultilevel"/>
    <w:tmpl w:val="02F02440"/>
    <w:lvl w:ilvl="0" w:tplc="2B6ADE5E">
      <w:start w:val="1"/>
      <w:numFmt w:val="decimal"/>
      <w:pStyle w:val="40"/>
      <w:lvlText w:val="%1."/>
      <w:lvlJc w:val="left"/>
      <w:pPr>
        <w:tabs>
          <w:tab w:val="num" w:pos="1209"/>
        </w:tabs>
        <w:ind w:left="1209" w:hanging="360"/>
      </w:pPr>
    </w:lvl>
    <w:lvl w:ilvl="1" w:tplc="636CA67E">
      <w:start w:val="1"/>
      <w:numFmt w:val="bullet"/>
      <w:lvlText w:val="o"/>
      <w:lvlJc w:val="left"/>
      <w:pPr>
        <w:ind w:left="1440" w:hanging="360"/>
      </w:pPr>
      <w:rPr>
        <w:rFonts w:ascii="Courier New" w:eastAsia="Courier New" w:hAnsi="Courier New" w:cs="Courier New" w:hint="default"/>
      </w:rPr>
    </w:lvl>
    <w:lvl w:ilvl="2" w:tplc="BB5891E0">
      <w:start w:val="1"/>
      <w:numFmt w:val="bullet"/>
      <w:lvlText w:val="§"/>
      <w:lvlJc w:val="left"/>
      <w:pPr>
        <w:ind w:left="2160" w:hanging="360"/>
      </w:pPr>
      <w:rPr>
        <w:rFonts w:ascii="Wingdings" w:eastAsia="Wingdings" w:hAnsi="Wingdings" w:cs="Wingdings" w:hint="default"/>
      </w:rPr>
    </w:lvl>
    <w:lvl w:ilvl="3" w:tplc="AC92DA70">
      <w:start w:val="1"/>
      <w:numFmt w:val="bullet"/>
      <w:lvlText w:val="·"/>
      <w:lvlJc w:val="left"/>
      <w:pPr>
        <w:ind w:left="2880" w:hanging="360"/>
      </w:pPr>
      <w:rPr>
        <w:rFonts w:ascii="Symbol" w:eastAsia="Symbol" w:hAnsi="Symbol" w:cs="Symbol" w:hint="default"/>
      </w:rPr>
    </w:lvl>
    <w:lvl w:ilvl="4" w:tplc="7C8C9AF6">
      <w:start w:val="1"/>
      <w:numFmt w:val="bullet"/>
      <w:lvlText w:val="o"/>
      <w:lvlJc w:val="left"/>
      <w:pPr>
        <w:ind w:left="3600" w:hanging="360"/>
      </w:pPr>
      <w:rPr>
        <w:rFonts w:ascii="Courier New" w:eastAsia="Courier New" w:hAnsi="Courier New" w:cs="Courier New" w:hint="default"/>
      </w:rPr>
    </w:lvl>
    <w:lvl w:ilvl="5" w:tplc="4A4219FA">
      <w:start w:val="1"/>
      <w:numFmt w:val="bullet"/>
      <w:lvlText w:val="§"/>
      <w:lvlJc w:val="left"/>
      <w:pPr>
        <w:ind w:left="4320" w:hanging="360"/>
      </w:pPr>
      <w:rPr>
        <w:rFonts w:ascii="Wingdings" w:eastAsia="Wingdings" w:hAnsi="Wingdings" w:cs="Wingdings" w:hint="default"/>
      </w:rPr>
    </w:lvl>
    <w:lvl w:ilvl="6" w:tplc="F5D0C744">
      <w:start w:val="1"/>
      <w:numFmt w:val="bullet"/>
      <w:lvlText w:val="·"/>
      <w:lvlJc w:val="left"/>
      <w:pPr>
        <w:ind w:left="5040" w:hanging="360"/>
      </w:pPr>
      <w:rPr>
        <w:rFonts w:ascii="Symbol" w:eastAsia="Symbol" w:hAnsi="Symbol" w:cs="Symbol" w:hint="default"/>
      </w:rPr>
    </w:lvl>
    <w:lvl w:ilvl="7" w:tplc="0B16CAF6">
      <w:start w:val="1"/>
      <w:numFmt w:val="bullet"/>
      <w:lvlText w:val="o"/>
      <w:lvlJc w:val="left"/>
      <w:pPr>
        <w:ind w:left="5760" w:hanging="360"/>
      </w:pPr>
      <w:rPr>
        <w:rFonts w:ascii="Courier New" w:eastAsia="Courier New" w:hAnsi="Courier New" w:cs="Courier New" w:hint="default"/>
      </w:rPr>
    </w:lvl>
    <w:lvl w:ilvl="8" w:tplc="FDC29BEA">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73AC4BE0"/>
    <w:multiLevelType w:val="hybridMultilevel"/>
    <w:tmpl w:val="3E107542"/>
    <w:lvl w:ilvl="0" w:tplc="CA2A4410">
      <w:start w:val="1"/>
      <w:numFmt w:val="decimal"/>
      <w:lvlText w:val="%1."/>
      <w:lvlJc w:val="left"/>
      <w:pPr>
        <w:ind w:left="720" w:hanging="360"/>
      </w:pPr>
      <w:rPr>
        <w:rFonts w:hint="default"/>
      </w:rPr>
    </w:lvl>
    <w:lvl w:ilvl="1" w:tplc="7EFE373E">
      <w:start w:val="1"/>
      <w:numFmt w:val="lowerLetter"/>
      <w:lvlText w:val="%2."/>
      <w:lvlJc w:val="left"/>
      <w:pPr>
        <w:ind w:left="1440" w:hanging="360"/>
      </w:pPr>
    </w:lvl>
    <w:lvl w:ilvl="2" w:tplc="92B22120">
      <w:start w:val="1"/>
      <w:numFmt w:val="lowerRoman"/>
      <w:lvlText w:val="%3."/>
      <w:lvlJc w:val="right"/>
      <w:pPr>
        <w:ind w:left="2160" w:hanging="180"/>
      </w:pPr>
    </w:lvl>
    <w:lvl w:ilvl="3" w:tplc="3DB22E58">
      <w:start w:val="1"/>
      <w:numFmt w:val="decimal"/>
      <w:lvlText w:val="%4."/>
      <w:lvlJc w:val="left"/>
      <w:pPr>
        <w:ind w:left="2880" w:hanging="360"/>
      </w:pPr>
    </w:lvl>
    <w:lvl w:ilvl="4" w:tplc="3410A1E2">
      <w:start w:val="1"/>
      <w:numFmt w:val="lowerLetter"/>
      <w:lvlText w:val="%5."/>
      <w:lvlJc w:val="left"/>
      <w:pPr>
        <w:ind w:left="3600" w:hanging="360"/>
      </w:pPr>
    </w:lvl>
    <w:lvl w:ilvl="5" w:tplc="E30E3AB6">
      <w:start w:val="1"/>
      <w:numFmt w:val="lowerRoman"/>
      <w:lvlText w:val="%6."/>
      <w:lvlJc w:val="right"/>
      <w:pPr>
        <w:ind w:left="4320" w:hanging="180"/>
      </w:pPr>
    </w:lvl>
    <w:lvl w:ilvl="6" w:tplc="A086BFA8">
      <w:start w:val="1"/>
      <w:numFmt w:val="decimal"/>
      <w:lvlText w:val="%7."/>
      <w:lvlJc w:val="left"/>
      <w:pPr>
        <w:ind w:left="5040" w:hanging="360"/>
      </w:pPr>
    </w:lvl>
    <w:lvl w:ilvl="7" w:tplc="48462FB2">
      <w:start w:val="1"/>
      <w:numFmt w:val="lowerLetter"/>
      <w:lvlText w:val="%8."/>
      <w:lvlJc w:val="left"/>
      <w:pPr>
        <w:ind w:left="5760" w:hanging="360"/>
      </w:pPr>
    </w:lvl>
    <w:lvl w:ilvl="8" w:tplc="362C8A1C">
      <w:start w:val="1"/>
      <w:numFmt w:val="lowerRoman"/>
      <w:lvlText w:val="%9."/>
      <w:lvlJc w:val="right"/>
      <w:pPr>
        <w:ind w:left="6480" w:hanging="180"/>
      </w:pPr>
    </w:lvl>
  </w:abstractNum>
  <w:abstractNum w:abstractNumId="42" w15:restartNumberingAfterBreak="0">
    <w:nsid w:val="76915F76"/>
    <w:multiLevelType w:val="hybridMultilevel"/>
    <w:tmpl w:val="D4CE5F56"/>
    <w:lvl w:ilvl="0" w:tplc="F9AA8082">
      <w:start w:val="1"/>
      <w:numFmt w:val="bullet"/>
      <w:lvlText w:val=""/>
      <w:lvlJc w:val="left"/>
      <w:pPr>
        <w:ind w:left="577" w:hanging="360"/>
      </w:pPr>
      <w:rPr>
        <w:rFonts w:ascii="Symbol" w:hAnsi="Symbol" w:hint="default"/>
      </w:rPr>
    </w:lvl>
    <w:lvl w:ilvl="1" w:tplc="9410B580">
      <w:start w:val="1"/>
      <w:numFmt w:val="bullet"/>
      <w:lvlText w:val="o"/>
      <w:lvlJc w:val="left"/>
      <w:pPr>
        <w:ind w:left="1297" w:hanging="360"/>
      </w:pPr>
      <w:rPr>
        <w:rFonts w:ascii="Courier New" w:hAnsi="Courier New" w:cs="Courier New" w:hint="default"/>
      </w:rPr>
    </w:lvl>
    <w:lvl w:ilvl="2" w:tplc="76D2BCE0">
      <w:start w:val="1"/>
      <w:numFmt w:val="bullet"/>
      <w:lvlText w:val=""/>
      <w:lvlJc w:val="left"/>
      <w:pPr>
        <w:ind w:left="2017" w:hanging="360"/>
      </w:pPr>
      <w:rPr>
        <w:rFonts w:ascii="Wingdings" w:hAnsi="Wingdings" w:hint="default"/>
      </w:rPr>
    </w:lvl>
    <w:lvl w:ilvl="3" w:tplc="791C9106">
      <w:start w:val="1"/>
      <w:numFmt w:val="bullet"/>
      <w:lvlText w:val=""/>
      <w:lvlJc w:val="left"/>
      <w:pPr>
        <w:ind w:left="2737" w:hanging="360"/>
      </w:pPr>
      <w:rPr>
        <w:rFonts w:ascii="Symbol" w:hAnsi="Symbol" w:hint="default"/>
      </w:rPr>
    </w:lvl>
    <w:lvl w:ilvl="4" w:tplc="142070C6">
      <w:start w:val="1"/>
      <w:numFmt w:val="bullet"/>
      <w:lvlText w:val="o"/>
      <w:lvlJc w:val="left"/>
      <w:pPr>
        <w:ind w:left="3457" w:hanging="360"/>
      </w:pPr>
      <w:rPr>
        <w:rFonts w:ascii="Courier New" w:hAnsi="Courier New" w:cs="Courier New" w:hint="default"/>
      </w:rPr>
    </w:lvl>
    <w:lvl w:ilvl="5" w:tplc="FA4E2472">
      <w:start w:val="1"/>
      <w:numFmt w:val="bullet"/>
      <w:lvlText w:val=""/>
      <w:lvlJc w:val="left"/>
      <w:pPr>
        <w:ind w:left="4177" w:hanging="360"/>
      </w:pPr>
      <w:rPr>
        <w:rFonts w:ascii="Wingdings" w:hAnsi="Wingdings" w:hint="default"/>
      </w:rPr>
    </w:lvl>
    <w:lvl w:ilvl="6" w:tplc="9EB2B69C">
      <w:start w:val="1"/>
      <w:numFmt w:val="bullet"/>
      <w:lvlText w:val=""/>
      <w:lvlJc w:val="left"/>
      <w:pPr>
        <w:ind w:left="4897" w:hanging="360"/>
      </w:pPr>
      <w:rPr>
        <w:rFonts w:ascii="Symbol" w:hAnsi="Symbol" w:hint="default"/>
      </w:rPr>
    </w:lvl>
    <w:lvl w:ilvl="7" w:tplc="02D89A52">
      <w:start w:val="1"/>
      <w:numFmt w:val="bullet"/>
      <w:lvlText w:val="o"/>
      <w:lvlJc w:val="left"/>
      <w:pPr>
        <w:ind w:left="5617" w:hanging="360"/>
      </w:pPr>
      <w:rPr>
        <w:rFonts w:ascii="Courier New" w:hAnsi="Courier New" w:cs="Courier New" w:hint="default"/>
      </w:rPr>
    </w:lvl>
    <w:lvl w:ilvl="8" w:tplc="AE4E862A">
      <w:start w:val="1"/>
      <w:numFmt w:val="bullet"/>
      <w:lvlText w:val=""/>
      <w:lvlJc w:val="left"/>
      <w:pPr>
        <w:ind w:left="6337" w:hanging="360"/>
      </w:pPr>
      <w:rPr>
        <w:rFonts w:ascii="Wingdings" w:hAnsi="Wingdings" w:hint="default"/>
      </w:rPr>
    </w:lvl>
  </w:abstractNum>
  <w:abstractNum w:abstractNumId="43" w15:restartNumberingAfterBreak="0">
    <w:nsid w:val="783A1B53"/>
    <w:multiLevelType w:val="hybridMultilevel"/>
    <w:tmpl w:val="07C0C7D6"/>
    <w:lvl w:ilvl="0" w:tplc="F16C549E">
      <w:start w:val="1"/>
      <w:numFmt w:val="bullet"/>
      <w:lvlText w:val=""/>
      <w:lvlJc w:val="left"/>
      <w:pPr>
        <w:tabs>
          <w:tab w:val="num" w:pos="720"/>
        </w:tabs>
        <w:ind w:left="720" w:hanging="360"/>
      </w:pPr>
      <w:rPr>
        <w:rFonts w:ascii="Symbol" w:hAnsi="Symbol" w:hint="default"/>
        <w:sz w:val="20"/>
      </w:rPr>
    </w:lvl>
    <w:lvl w:ilvl="1" w:tplc="C7988614">
      <w:start w:val="1"/>
      <w:numFmt w:val="bullet"/>
      <w:lvlText w:val="o"/>
      <w:lvlJc w:val="left"/>
      <w:pPr>
        <w:tabs>
          <w:tab w:val="num" w:pos="1440"/>
        </w:tabs>
        <w:ind w:left="1440" w:hanging="360"/>
      </w:pPr>
      <w:rPr>
        <w:rFonts w:ascii="Courier New" w:hAnsi="Courier New" w:hint="default"/>
        <w:sz w:val="20"/>
      </w:rPr>
    </w:lvl>
    <w:lvl w:ilvl="2" w:tplc="2EA283A2">
      <w:start w:val="1"/>
      <w:numFmt w:val="bullet"/>
      <w:lvlText w:val=""/>
      <w:lvlJc w:val="left"/>
      <w:pPr>
        <w:tabs>
          <w:tab w:val="num" w:pos="2160"/>
        </w:tabs>
        <w:ind w:left="2160" w:hanging="360"/>
      </w:pPr>
      <w:rPr>
        <w:rFonts w:ascii="Wingdings" w:hAnsi="Wingdings" w:hint="default"/>
        <w:sz w:val="20"/>
      </w:rPr>
    </w:lvl>
    <w:lvl w:ilvl="3" w:tplc="5204D22C">
      <w:start w:val="1"/>
      <w:numFmt w:val="bullet"/>
      <w:lvlText w:val=""/>
      <w:lvlJc w:val="left"/>
      <w:pPr>
        <w:tabs>
          <w:tab w:val="num" w:pos="2880"/>
        </w:tabs>
        <w:ind w:left="2880" w:hanging="360"/>
      </w:pPr>
      <w:rPr>
        <w:rFonts w:ascii="Wingdings" w:hAnsi="Wingdings" w:hint="default"/>
        <w:sz w:val="20"/>
      </w:rPr>
    </w:lvl>
    <w:lvl w:ilvl="4" w:tplc="6748C4E0">
      <w:start w:val="1"/>
      <w:numFmt w:val="bullet"/>
      <w:lvlText w:val=""/>
      <w:lvlJc w:val="left"/>
      <w:pPr>
        <w:tabs>
          <w:tab w:val="num" w:pos="3600"/>
        </w:tabs>
        <w:ind w:left="3600" w:hanging="360"/>
      </w:pPr>
      <w:rPr>
        <w:rFonts w:ascii="Wingdings" w:hAnsi="Wingdings" w:hint="default"/>
        <w:sz w:val="20"/>
      </w:rPr>
    </w:lvl>
    <w:lvl w:ilvl="5" w:tplc="4300B26E">
      <w:start w:val="1"/>
      <w:numFmt w:val="bullet"/>
      <w:lvlText w:val=""/>
      <w:lvlJc w:val="left"/>
      <w:pPr>
        <w:tabs>
          <w:tab w:val="num" w:pos="4320"/>
        </w:tabs>
        <w:ind w:left="4320" w:hanging="360"/>
      </w:pPr>
      <w:rPr>
        <w:rFonts w:ascii="Wingdings" w:hAnsi="Wingdings" w:hint="default"/>
        <w:sz w:val="20"/>
      </w:rPr>
    </w:lvl>
    <w:lvl w:ilvl="6" w:tplc="985A63B2">
      <w:start w:val="1"/>
      <w:numFmt w:val="bullet"/>
      <w:lvlText w:val=""/>
      <w:lvlJc w:val="left"/>
      <w:pPr>
        <w:tabs>
          <w:tab w:val="num" w:pos="5040"/>
        </w:tabs>
        <w:ind w:left="5040" w:hanging="360"/>
      </w:pPr>
      <w:rPr>
        <w:rFonts w:ascii="Wingdings" w:hAnsi="Wingdings" w:hint="default"/>
        <w:sz w:val="20"/>
      </w:rPr>
    </w:lvl>
    <w:lvl w:ilvl="7" w:tplc="0AA833F8">
      <w:start w:val="1"/>
      <w:numFmt w:val="bullet"/>
      <w:lvlText w:val=""/>
      <w:lvlJc w:val="left"/>
      <w:pPr>
        <w:tabs>
          <w:tab w:val="num" w:pos="5760"/>
        </w:tabs>
        <w:ind w:left="5760" w:hanging="360"/>
      </w:pPr>
      <w:rPr>
        <w:rFonts w:ascii="Wingdings" w:hAnsi="Wingdings" w:hint="default"/>
        <w:sz w:val="20"/>
      </w:rPr>
    </w:lvl>
    <w:lvl w:ilvl="8" w:tplc="FCB6748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BB756A"/>
    <w:multiLevelType w:val="hybridMultilevel"/>
    <w:tmpl w:val="77C68330"/>
    <w:lvl w:ilvl="0" w:tplc="335EEB00">
      <w:start w:val="1"/>
      <w:numFmt w:val="bullet"/>
      <w:pStyle w:val="a2"/>
      <w:lvlText w:val=""/>
      <w:lvlJc w:val="left"/>
      <w:pPr>
        <w:ind w:left="720" w:hanging="360"/>
      </w:pPr>
      <w:rPr>
        <w:rFonts w:ascii="Symbol" w:hAnsi="Symbol" w:hint="default"/>
      </w:rPr>
    </w:lvl>
    <w:lvl w:ilvl="1" w:tplc="09F44216">
      <w:start w:val="1"/>
      <w:numFmt w:val="bullet"/>
      <w:lvlText w:val="o"/>
      <w:lvlJc w:val="left"/>
      <w:pPr>
        <w:ind w:left="1440" w:hanging="360"/>
      </w:pPr>
      <w:rPr>
        <w:rFonts w:ascii="Courier New" w:hAnsi="Courier New" w:cs="Courier New" w:hint="default"/>
      </w:rPr>
    </w:lvl>
    <w:lvl w:ilvl="2" w:tplc="CCE62B36">
      <w:start w:val="1"/>
      <w:numFmt w:val="bullet"/>
      <w:lvlText w:val=""/>
      <w:lvlJc w:val="left"/>
      <w:pPr>
        <w:ind w:left="2160" w:hanging="360"/>
      </w:pPr>
      <w:rPr>
        <w:rFonts w:ascii="Wingdings" w:hAnsi="Wingdings" w:hint="default"/>
      </w:rPr>
    </w:lvl>
    <w:lvl w:ilvl="3" w:tplc="18BC36B8">
      <w:start w:val="1"/>
      <w:numFmt w:val="bullet"/>
      <w:lvlText w:val=""/>
      <w:lvlJc w:val="left"/>
      <w:pPr>
        <w:ind w:left="2880" w:hanging="360"/>
      </w:pPr>
      <w:rPr>
        <w:rFonts w:ascii="Symbol" w:hAnsi="Symbol" w:hint="default"/>
      </w:rPr>
    </w:lvl>
    <w:lvl w:ilvl="4" w:tplc="94725134">
      <w:start w:val="1"/>
      <w:numFmt w:val="bullet"/>
      <w:lvlText w:val="o"/>
      <w:lvlJc w:val="left"/>
      <w:pPr>
        <w:ind w:left="3600" w:hanging="360"/>
      </w:pPr>
      <w:rPr>
        <w:rFonts w:ascii="Courier New" w:hAnsi="Courier New" w:cs="Courier New" w:hint="default"/>
      </w:rPr>
    </w:lvl>
    <w:lvl w:ilvl="5" w:tplc="99364076">
      <w:start w:val="1"/>
      <w:numFmt w:val="bullet"/>
      <w:lvlText w:val=""/>
      <w:lvlJc w:val="left"/>
      <w:pPr>
        <w:ind w:left="4320" w:hanging="360"/>
      </w:pPr>
      <w:rPr>
        <w:rFonts w:ascii="Wingdings" w:hAnsi="Wingdings" w:hint="default"/>
      </w:rPr>
    </w:lvl>
    <w:lvl w:ilvl="6" w:tplc="58982D9A">
      <w:start w:val="1"/>
      <w:numFmt w:val="bullet"/>
      <w:lvlText w:val=""/>
      <w:lvlJc w:val="left"/>
      <w:pPr>
        <w:ind w:left="5040" w:hanging="360"/>
      </w:pPr>
      <w:rPr>
        <w:rFonts w:ascii="Symbol" w:hAnsi="Symbol" w:hint="default"/>
      </w:rPr>
    </w:lvl>
    <w:lvl w:ilvl="7" w:tplc="F7041C98">
      <w:start w:val="1"/>
      <w:numFmt w:val="bullet"/>
      <w:lvlText w:val="o"/>
      <w:lvlJc w:val="left"/>
      <w:pPr>
        <w:ind w:left="5760" w:hanging="360"/>
      </w:pPr>
      <w:rPr>
        <w:rFonts w:ascii="Courier New" w:hAnsi="Courier New" w:cs="Courier New" w:hint="default"/>
      </w:rPr>
    </w:lvl>
    <w:lvl w:ilvl="8" w:tplc="390CC904">
      <w:start w:val="1"/>
      <w:numFmt w:val="bullet"/>
      <w:lvlText w:val=""/>
      <w:lvlJc w:val="left"/>
      <w:pPr>
        <w:ind w:left="6480" w:hanging="360"/>
      </w:pPr>
      <w:rPr>
        <w:rFonts w:ascii="Wingdings" w:hAnsi="Wingdings" w:hint="default"/>
      </w:rPr>
    </w:lvl>
  </w:abstractNum>
  <w:abstractNum w:abstractNumId="45" w15:restartNumberingAfterBreak="0">
    <w:nsid w:val="79A3453C"/>
    <w:multiLevelType w:val="hybridMultilevel"/>
    <w:tmpl w:val="9ED49C8E"/>
    <w:lvl w:ilvl="0" w:tplc="8048B376">
      <w:start w:val="1"/>
      <w:numFmt w:val="decimal"/>
      <w:lvlText w:val="%1."/>
      <w:lvlJc w:val="left"/>
      <w:pPr>
        <w:ind w:left="717" w:hanging="360"/>
      </w:pPr>
    </w:lvl>
    <w:lvl w:ilvl="1" w:tplc="3AE6FC2C">
      <w:start w:val="1"/>
      <w:numFmt w:val="lowerLetter"/>
      <w:lvlText w:val="%2."/>
      <w:lvlJc w:val="left"/>
      <w:pPr>
        <w:ind w:left="1437" w:hanging="360"/>
      </w:pPr>
    </w:lvl>
    <w:lvl w:ilvl="2" w:tplc="E1ECE078">
      <w:start w:val="1"/>
      <w:numFmt w:val="lowerRoman"/>
      <w:lvlText w:val="%3."/>
      <w:lvlJc w:val="right"/>
      <w:pPr>
        <w:ind w:left="2157" w:hanging="180"/>
      </w:pPr>
    </w:lvl>
    <w:lvl w:ilvl="3" w:tplc="04E28FB8">
      <w:start w:val="1"/>
      <w:numFmt w:val="decimal"/>
      <w:lvlText w:val="%4."/>
      <w:lvlJc w:val="left"/>
      <w:pPr>
        <w:ind w:left="2877" w:hanging="360"/>
      </w:pPr>
    </w:lvl>
    <w:lvl w:ilvl="4" w:tplc="24FADB34">
      <w:start w:val="1"/>
      <w:numFmt w:val="lowerLetter"/>
      <w:lvlText w:val="%5."/>
      <w:lvlJc w:val="left"/>
      <w:pPr>
        <w:ind w:left="3597" w:hanging="360"/>
      </w:pPr>
    </w:lvl>
    <w:lvl w:ilvl="5" w:tplc="D9484F4C">
      <w:start w:val="1"/>
      <w:numFmt w:val="lowerRoman"/>
      <w:lvlText w:val="%6."/>
      <w:lvlJc w:val="right"/>
      <w:pPr>
        <w:ind w:left="4317" w:hanging="180"/>
      </w:pPr>
    </w:lvl>
    <w:lvl w:ilvl="6" w:tplc="B0E00ADE">
      <w:start w:val="1"/>
      <w:numFmt w:val="decimal"/>
      <w:lvlText w:val="%7."/>
      <w:lvlJc w:val="left"/>
      <w:pPr>
        <w:ind w:left="5037" w:hanging="360"/>
      </w:pPr>
    </w:lvl>
    <w:lvl w:ilvl="7" w:tplc="565C70C2">
      <w:start w:val="1"/>
      <w:numFmt w:val="lowerLetter"/>
      <w:lvlText w:val="%8."/>
      <w:lvlJc w:val="left"/>
      <w:pPr>
        <w:ind w:left="5757" w:hanging="360"/>
      </w:pPr>
    </w:lvl>
    <w:lvl w:ilvl="8" w:tplc="2FE00D9E">
      <w:start w:val="1"/>
      <w:numFmt w:val="lowerRoman"/>
      <w:lvlText w:val="%9."/>
      <w:lvlJc w:val="right"/>
      <w:pPr>
        <w:ind w:left="6477" w:hanging="180"/>
      </w:pPr>
    </w:lvl>
  </w:abstractNum>
  <w:num w:numId="1">
    <w:abstractNumId w:val="10"/>
  </w:num>
  <w:num w:numId="2">
    <w:abstractNumId w:val="39"/>
  </w:num>
  <w:num w:numId="3">
    <w:abstractNumId w:val="24"/>
  </w:num>
  <w:num w:numId="4">
    <w:abstractNumId w:val="44"/>
  </w:num>
  <w:num w:numId="5">
    <w:abstractNumId w:val="26"/>
  </w:num>
  <w:num w:numId="6">
    <w:abstractNumId w:val="1"/>
  </w:num>
  <w:num w:numId="7">
    <w:abstractNumId w:val="35"/>
  </w:num>
  <w:num w:numId="8">
    <w:abstractNumId w:val="22"/>
  </w:num>
  <w:num w:numId="9">
    <w:abstractNumId w:val="38"/>
  </w:num>
  <w:num w:numId="10">
    <w:abstractNumId w:val="37"/>
  </w:num>
  <w:num w:numId="11">
    <w:abstractNumId w:val="17"/>
  </w:num>
  <w:num w:numId="12">
    <w:abstractNumId w:val="32"/>
  </w:num>
  <w:num w:numId="13">
    <w:abstractNumId w:val="0"/>
  </w:num>
  <w:num w:numId="14">
    <w:abstractNumId w:val="36"/>
  </w:num>
  <w:num w:numId="15">
    <w:abstractNumId w:val="30"/>
  </w:num>
  <w:num w:numId="16">
    <w:abstractNumId w:val="16"/>
  </w:num>
  <w:num w:numId="17">
    <w:abstractNumId w:val="13"/>
  </w:num>
  <w:num w:numId="18">
    <w:abstractNumId w:val="23"/>
  </w:num>
  <w:num w:numId="19">
    <w:abstractNumId w:val="40"/>
  </w:num>
  <w:num w:numId="20">
    <w:abstractNumId w:val="3"/>
  </w:num>
  <w:num w:numId="21">
    <w:abstractNumId w:val="8"/>
  </w:num>
  <w:num w:numId="22">
    <w:abstractNumId w:val="15"/>
  </w:num>
  <w:num w:numId="23">
    <w:abstractNumId w:val="28"/>
  </w:num>
  <w:num w:numId="24">
    <w:abstractNumId w:val="12"/>
  </w:num>
  <w:num w:numId="25">
    <w:abstractNumId w:val="19"/>
  </w:num>
  <w:num w:numId="26">
    <w:abstractNumId w:val="25"/>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45"/>
  </w:num>
  <w:num w:numId="31">
    <w:abstractNumId w:val="9"/>
  </w:num>
  <w:num w:numId="32">
    <w:abstractNumId w:val="41"/>
  </w:num>
  <w:num w:numId="33">
    <w:abstractNumId w:val="20"/>
  </w:num>
  <w:num w:numId="34">
    <w:abstractNumId w:val="7"/>
  </w:num>
  <w:num w:numId="35">
    <w:abstractNumId w:val="5"/>
  </w:num>
  <w:num w:numId="36">
    <w:abstractNumId w:val="6"/>
  </w:num>
  <w:num w:numId="37">
    <w:abstractNumId w:val="11"/>
  </w:num>
  <w:num w:numId="38">
    <w:abstractNumId w:val="29"/>
  </w:num>
  <w:num w:numId="39">
    <w:abstractNumId w:val="42"/>
  </w:num>
  <w:num w:numId="40">
    <w:abstractNumId w:val="33"/>
  </w:num>
  <w:num w:numId="41">
    <w:abstractNumId w:val="21"/>
  </w:num>
  <w:num w:numId="42">
    <w:abstractNumId w:val="34"/>
  </w:num>
  <w:num w:numId="43">
    <w:abstractNumId w:val="2"/>
  </w:num>
  <w:num w:numId="44">
    <w:abstractNumId w:val="27"/>
  </w:num>
  <w:num w:numId="45">
    <w:abstractNumId w:val="43"/>
  </w:num>
  <w:num w:numId="46">
    <w:abstractNumId w:val="4"/>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FE"/>
    <w:rsid w:val="0009023B"/>
    <w:rsid w:val="000938FD"/>
    <w:rsid w:val="000C50E8"/>
    <w:rsid w:val="001737BA"/>
    <w:rsid w:val="001814FE"/>
    <w:rsid w:val="00196400"/>
    <w:rsid w:val="001C33C0"/>
    <w:rsid w:val="0020665F"/>
    <w:rsid w:val="00206B4D"/>
    <w:rsid w:val="00255F82"/>
    <w:rsid w:val="00274CF8"/>
    <w:rsid w:val="00333792"/>
    <w:rsid w:val="0033618D"/>
    <w:rsid w:val="003B3390"/>
    <w:rsid w:val="0041352B"/>
    <w:rsid w:val="00470C6C"/>
    <w:rsid w:val="004C2393"/>
    <w:rsid w:val="004F4597"/>
    <w:rsid w:val="00510082"/>
    <w:rsid w:val="005238E0"/>
    <w:rsid w:val="00535A4B"/>
    <w:rsid w:val="005A51D4"/>
    <w:rsid w:val="005D5386"/>
    <w:rsid w:val="00630AA2"/>
    <w:rsid w:val="006739D7"/>
    <w:rsid w:val="006B12F8"/>
    <w:rsid w:val="006B35B8"/>
    <w:rsid w:val="00772027"/>
    <w:rsid w:val="007B4B8E"/>
    <w:rsid w:val="007D5E1F"/>
    <w:rsid w:val="00800098"/>
    <w:rsid w:val="00840DA3"/>
    <w:rsid w:val="00857C13"/>
    <w:rsid w:val="00923B73"/>
    <w:rsid w:val="00A10F47"/>
    <w:rsid w:val="00A52C9E"/>
    <w:rsid w:val="00A542FF"/>
    <w:rsid w:val="00AE2B73"/>
    <w:rsid w:val="00B7084D"/>
    <w:rsid w:val="00B851BB"/>
    <w:rsid w:val="00B959AD"/>
    <w:rsid w:val="00BA1407"/>
    <w:rsid w:val="00BB157B"/>
    <w:rsid w:val="00BC19D7"/>
    <w:rsid w:val="00BF1EF3"/>
    <w:rsid w:val="00C421E3"/>
    <w:rsid w:val="00C446BB"/>
    <w:rsid w:val="00C96D9B"/>
    <w:rsid w:val="00CC23A2"/>
    <w:rsid w:val="00CC6169"/>
    <w:rsid w:val="00D329B5"/>
    <w:rsid w:val="00D357FC"/>
    <w:rsid w:val="00DF1577"/>
    <w:rsid w:val="00E40A60"/>
    <w:rsid w:val="00E618FE"/>
    <w:rsid w:val="00E80A9F"/>
    <w:rsid w:val="00EA2E72"/>
    <w:rsid w:val="00EB06DD"/>
    <w:rsid w:val="00F71119"/>
    <w:rsid w:val="00F90C4C"/>
    <w:rsid w:val="00FA39B3"/>
    <w:rsid w:val="00FE4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F00F8-7B43-4083-964D-5FDE550E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3"/>
    <w:next w:val="a3"/>
    <w:link w:val="11"/>
    <w:uiPriority w:val="9"/>
    <w:qFormat/>
    <w:pPr>
      <w:keepNext/>
      <w:keepLines/>
      <w:ind w:firstLine="709"/>
      <w:jc w:val="both"/>
      <w:outlineLvl w:val="0"/>
    </w:pPr>
    <w:rPr>
      <w:rFonts w:ascii="PT Astra Serif" w:eastAsiaTheme="majorEastAsia" w:hAnsi="PT Astra Serif" w:cstheme="majorBidi"/>
      <w:b/>
      <w:caps/>
      <w:sz w:val="28"/>
      <w:szCs w:val="32"/>
      <w:lang w:val="en-US" w:eastAsia="en-US" w:bidi="en-US"/>
    </w:rPr>
  </w:style>
  <w:style w:type="paragraph" w:styleId="21">
    <w:name w:val="heading 2"/>
    <w:basedOn w:val="10"/>
    <w:next w:val="a4"/>
    <w:link w:val="22"/>
    <w:uiPriority w:val="9"/>
    <w:unhideWhenUsed/>
    <w:qFormat/>
    <w:pPr>
      <w:outlineLvl w:val="1"/>
    </w:pPr>
    <w:rPr>
      <w:bCs/>
      <w:caps w:val="0"/>
      <w:szCs w:val="26"/>
      <w:lang w:val="ru-RU"/>
    </w:rPr>
  </w:style>
  <w:style w:type="paragraph" w:styleId="31">
    <w:name w:val="heading 3"/>
    <w:basedOn w:val="10"/>
    <w:next w:val="a3"/>
    <w:link w:val="32"/>
    <w:uiPriority w:val="9"/>
    <w:unhideWhenUsed/>
    <w:qFormat/>
    <w:pPr>
      <w:spacing w:before="120" w:after="120"/>
      <w:outlineLvl w:val="2"/>
    </w:pPr>
    <w:rPr>
      <w:bCs/>
      <w:caps w:val="0"/>
    </w:rPr>
  </w:style>
  <w:style w:type="paragraph" w:styleId="41">
    <w:name w:val="heading 4"/>
    <w:basedOn w:val="31"/>
    <w:next w:val="a3"/>
    <w:link w:val="42"/>
    <w:uiPriority w:val="9"/>
    <w:qFormat/>
    <w:pPr>
      <w:outlineLvl w:val="3"/>
    </w:pPr>
    <w:rPr>
      <w:rFonts w:eastAsia="Times New Roman" w:cs="Times New Roman"/>
      <w:bCs w:val="0"/>
      <w:spacing w:val="24"/>
      <w:szCs w:val="28"/>
      <w:lang w:bidi="ar-SA"/>
    </w:rPr>
  </w:style>
  <w:style w:type="paragraph" w:styleId="51">
    <w:name w:val="heading 5"/>
    <w:basedOn w:val="31"/>
    <w:next w:val="a3"/>
    <w:link w:val="52"/>
    <w:uiPriority w:val="9"/>
    <w:unhideWhenUsed/>
    <w:qFormat/>
    <w:pPr>
      <w:spacing w:after="60"/>
      <w:outlineLvl w:val="4"/>
    </w:pPr>
    <w:rPr>
      <w:rFonts w:eastAsia="Times New Roman" w:cs="Times New Roman"/>
      <w:b w:val="0"/>
      <w:spacing w:val="28"/>
      <w:szCs w:val="20"/>
      <w:lang w:bidi="ar-SA"/>
    </w:rPr>
  </w:style>
  <w:style w:type="paragraph" w:styleId="6">
    <w:name w:val="heading 6"/>
    <w:basedOn w:val="a3"/>
    <w:next w:val="a3"/>
    <w:link w:val="60"/>
    <w:uiPriority w:val="9"/>
    <w:qFormat/>
    <w:pPr>
      <w:keepNext/>
      <w:spacing w:before="240" w:after="240"/>
      <w:ind w:firstLine="709"/>
      <w:outlineLvl w:val="5"/>
    </w:pPr>
    <w:rPr>
      <w:rFonts w:ascii="PT Astra Serif" w:hAnsi="PT Astra Serif"/>
      <w:b/>
      <w:i/>
      <w:sz w:val="25"/>
      <w:szCs w:val="20"/>
      <w:lang w:val="en-US" w:eastAsia="ar-SA"/>
    </w:rPr>
  </w:style>
  <w:style w:type="paragraph" w:styleId="7">
    <w:name w:val="heading 7"/>
    <w:basedOn w:val="a3"/>
    <w:next w:val="a3"/>
    <w:link w:val="70"/>
    <w:uiPriority w:val="9"/>
    <w:unhideWhenUsed/>
    <w:qFormat/>
    <w:pPr>
      <w:keepNext/>
      <w:keepLines/>
      <w:spacing w:before="200"/>
      <w:jc w:val="both"/>
      <w:outlineLvl w:val="6"/>
    </w:pPr>
    <w:rPr>
      <w:rFonts w:asciiTheme="majorHAnsi" w:eastAsiaTheme="majorEastAsia" w:hAnsiTheme="majorHAnsi" w:cstheme="majorBidi"/>
      <w:i/>
      <w:iCs/>
      <w:color w:val="404040" w:themeColor="text1" w:themeTint="BF"/>
      <w:szCs w:val="22"/>
      <w:lang w:val="en-US" w:eastAsia="en-US" w:bidi="en-US"/>
    </w:rPr>
  </w:style>
  <w:style w:type="paragraph" w:styleId="8">
    <w:name w:val="heading 8"/>
    <w:basedOn w:val="a3"/>
    <w:next w:val="a3"/>
    <w:link w:val="80"/>
    <w:uiPriority w:val="9"/>
    <w:unhideWhenUsed/>
    <w:qFormat/>
    <w:pPr>
      <w:keepNext/>
      <w:keepLines/>
      <w:spacing w:before="200"/>
      <w:jc w:val="both"/>
      <w:outlineLvl w:val="7"/>
    </w:pPr>
    <w:rPr>
      <w:rFonts w:asciiTheme="majorHAnsi" w:eastAsiaTheme="majorEastAsia" w:hAnsiTheme="majorHAnsi" w:cstheme="majorBidi"/>
      <w:color w:val="404040" w:themeColor="text1" w:themeTint="BF"/>
      <w:sz w:val="20"/>
      <w:szCs w:val="20"/>
      <w:lang w:val="en-US" w:eastAsia="en-US" w:bidi="en-US"/>
    </w:rPr>
  </w:style>
  <w:style w:type="paragraph" w:styleId="9">
    <w:name w:val="heading 9"/>
    <w:basedOn w:val="a3"/>
    <w:next w:val="a3"/>
    <w:link w:val="90"/>
    <w:uiPriority w:val="9"/>
    <w:unhideWhenUsed/>
    <w:qFormat/>
    <w:pPr>
      <w:keepNext/>
      <w:keepLines/>
      <w:spacing w:before="200"/>
      <w:jc w:val="both"/>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basedOn w:val="a5"/>
    <w:uiPriority w:val="9"/>
    <w:rPr>
      <w:rFonts w:ascii="Liberation Sans" w:eastAsia="Liberation Sans" w:hAnsi="Liberation Sans" w:cs="Liberation Sans"/>
      <w:sz w:val="40"/>
      <w:szCs w:val="40"/>
    </w:rPr>
  </w:style>
  <w:style w:type="character" w:customStyle="1" w:styleId="Heading2Char">
    <w:name w:val="Heading 2 Char"/>
    <w:basedOn w:val="a5"/>
    <w:uiPriority w:val="9"/>
    <w:rPr>
      <w:rFonts w:ascii="Liberation Sans" w:eastAsia="Liberation Sans" w:hAnsi="Liberation Sans" w:cs="Liberation Sans"/>
      <w:sz w:val="34"/>
    </w:rPr>
  </w:style>
  <w:style w:type="character" w:customStyle="1" w:styleId="Heading3Char">
    <w:name w:val="Heading 3 Char"/>
    <w:basedOn w:val="a5"/>
    <w:uiPriority w:val="9"/>
    <w:rPr>
      <w:rFonts w:ascii="Liberation Sans" w:eastAsia="Liberation Sans" w:hAnsi="Liberation Sans" w:cs="Liberation Sans"/>
      <w:sz w:val="30"/>
      <w:szCs w:val="30"/>
    </w:rPr>
  </w:style>
  <w:style w:type="character" w:customStyle="1" w:styleId="Heading4Char">
    <w:name w:val="Heading 4 Char"/>
    <w:basedOn w:val="a5"/>
    <w:uiPriority w:val="9"/>
    <w:rPr>
      <w:rFonts w:ascii="Liberation Sans" w:eastAsia="Liberation Sans" w:hAnsi="Liberation Sans" w:cs="Liberation Sans"/>
      <w:b/>
      <w:bCs/>
      <w:sz w:val="26"/>
      <w:szCs w:val="26"/>
    </w:rPr>
  </w:style>
  <w:style w:type="character" w:customStyle="1" w:styleId="Heading5Char">
    <w:name w:val="Heading 5 Char"/>
    <w:basedOn w:val="a5"/>
    <w:uiPriority w:val="9"/>
    <w:rPr>
      <w:rFonts w:ascii="Liberation Sans" w:eastAsia="Liberation Sans" w:hAnsi="Liberation Sans" w:cs="Liberation Sans"/>
      <w:b/>
      <w:bCs/>
      <w:sz w:val="24"/>
      <w:szCs w:val="24"/>
    </w:rPr>
  </w:style>
  <w:style w:type="character" w:customStyle="1" w:styleId="Heading6Char">
    <w:name w:val="Heading 6 Char"/>
    <w:basedOn w:val="a5"/>
    <w:uiPriority w:val="9"/>
    <w:rPr>
      <w:rFonts w:ascii="Liberation Sans" w:eastAsia="Liberation Sans" w:hAnsi="Liberation Sans" w:cs="Liberation Sans"/>
      <w:b/>
      <w:bCs/>
      <w:sz w:val="22"/>
      <w:szCs w:val="22"/>
    </w:rPr>
  </w:style>
  <w:style w:type="character" w:customStyle="1" w:styleId="Heading7Char">
    <w:name w:val="Heading 7 Char"/>
    <w:basedOn w:val="a5"/>
    <w:uiPriority w:val="9"/>
    <w:rPr>
      <w:rFonts w:ascii="Liberation Sans" w:eastAsia="Liberation Sans" w:hAnsi="Liberation Sans" w:cs="Liberation Sans"/>
      <w:b/>
      <w:bCs/>
      <w:i/>
      <w:iCs/>
      <w:sz w:val="22"/>
      <w:szCs w:val="22"/>
    </w:rPr>
  </w:style>
  <w:style w:type="character" w:customStyle="1" w:styleId="Heading8Char">
    <w:name w:val="Heading 8 Char"/>
    <w:basedOn w:val="a5"/>
    <w:uiPriority w:val="9"/>
    <w:rPr>
      <w:rFonts w:ascii="Liberation Sans" w:eastAsia="Liberation Sans" w:hAnsi="Liberation Sans" w:cs="Liberation Sans"/>
      <w:i/>
      <w:iCs/>
      <w:sz w:val="22"/>
      <w:szCs w:val="22"/>
    </w:rPr>
  </w:style>
  <w:style w:type="character" w:customStyle="1" w:styleId="Heading9Char">
    <w:name w:val="Heading 9 Char"/>
    <w:basedOn w:val="a5"/>
    <w:uiPriority w:val="9"/>
    <w:rPr>
      <w:rFonts w:ascii="Liberation Sans" w:eastAsia="Liberation Sans" w:hAnsi="Liberation Sans" w:cs="Liberation Sans"/>
      <w:i/>
      <w:iCs/>
      <w:sz w:val="21"/>
      <w:szCs w:val="21"/>
    </w:rPr>
  </w:style>
  <w:style w:type="character" w:customStyle="1" w:styleId="TitleChar">
    <w:name w:val="Title Char"/>
    <w:basedOn w:val="a5"/>
    <w:uiPriority w:val="10"/>
    <w:rPr>
      <w:sz w:val="48"/>
      <w:szCs w:val="48"/>
    </w:rPr>
  </w:style>
  <w:style w:type="character" w:customStyle="1" w:styleId="SubtitleChar">
    <w:name w:val="Subtitle Char"/>
    <w:basedOn w:val="a5"/>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5"/>
    <w:uiPriority w:val="99"/>
  </w:style>
  <w:style w:type="character" w:customStyle="1" w:styleId="FooterChar">
    <w:name w:val="Footer Char"/>
    <w:basedOn w:val="a5"/>
    <w:uiPriority w:val="99"/>
  </w:style>
  <w:style w:type="character" w:customStyle="1" w:styleId="CaptionChar">
    <w:name w:val="Caption Char"/>
    <w:basedOn w:val="a5"/>
    <w:uiPriority w:val="35"/>
    <w:rPr>
      <w:b/>
      <w:bCs/>
      <w:color w:val="5B9BD5" w:themeColor="accent1"/>
      <w:sz w:val="18"/>
      <w:szCs w:val="18"/>
    </w:rPr>
  </w:style>
  <w:style w:type="table" w:customStyle="1" w:styleId="110">
    <w:name w:val="Таблица простая 11"/>
    <w:basedOn w:val="a6"/>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6"/>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6"/>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6"/>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6"/>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21">
    <w:name w:val="Таблица-сетка 21"/>
    <w:basedOn w:val="a6"/>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31">
    <w:name w:val="Таблица-сетка 31"/>
    <w:basedOn w:val="a6"/>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41">
    <w:name w:val="Таблица-сетка 41"/>
    <w:basedOn w:val="a6"/>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6"/>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71">
    <w:name w:val="Таблица-сетка 7 цветная1"/>
    <w:basedOn w:val="a6"/>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11">
    <w:name w:val="Список-таблица 1 светлая1"/>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6"/>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310">
    <w:name w:val="Список-таблица 31"/>
    <w:basedOn w:val="a6"/>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6"/>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6"/>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6"/>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710">
    <w:name w:val="Список-таблица 7 цветная1"/>
    <w:basedOn w:val="a6"/>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
    <w:basedOn w:val="a5"/>
    <w:link w:val="51"/>
    <w:uiPriority w:val="9"/>
    <w:rPr>
      <w:rFonts w:ascii="PT Astra Serif" w:eastAsia="Times New Roman" w:hAnsi="PT Astra Serif" w:cs="Times New Roman"/>
      <w:bCs/>
      <w:spacing w:val="28"/>
      <w:sz w:val="28"/>
      <w:szCs w:val="20"/>
      <w:lang w:val="en-US"/>
    </w:rPr>
  </w:style>
  <w:style w:type="paragraph" w:styleId="a8">
    <w:name w:val="List Paragraph"/>
    <w:basedOn w:val="a3"/>
    <w:link w:val="a9"/>
    <w:uiPriority w:val="34"/>
    <w:qFormat/>
    <w:pPr>
      <w:ind w:left="720"/>
      <w:contextualSpacing/>
      <w:jc w:val="both"/>
    </w:pPr>
    <w:rPr>
      <w:rFonts w:ascii="PT Astra Serif" w:hAnsi="PT Astra Serif"/>
      <w:lang w:val="en-US" w:eastAsia="en-US" w:bidi="en-US"/>
    </w:rPr>
  </w:style>
  <w:style w:type="character" w:customStyle="1" w:styleId="a9">
    <w:name w:val="Абзац списка Знак"/>
    <w:link w:val="a8"/>
    <w:uiPriority w:val="34"/>
    <w:rPr>
      <w:rFonts w:ascii="Times New Roman" w:eastAsia="Times New Roman" w:hAnsi="Times New Roman" w:cs="Times New Roman"/>
      <w:sz w:val="24"/>
      <w:szCs w:val="24"/>
      <w:lang w:val="en-US"/>
    </w:rPr>
  </w:style>
  <w:style w:type="character" w:customStyle="1" w:styleId="11">
    <w:name w:val="Заголовок 1 Знак"/>
    <w:basedOn w:val="a5"/>
    <w:link w:val="10"/>
    <w:uiPriority w:val="9"/>
    <w:rPr>
      <w:rFonts w:ascii="PT Astra Serif" w:eastAsiaTheme="majorEastAsia" w:hAnsi="PT Astra Serif" w:cstheme="majorBidi"/>
      <w:b/>
      <w:caps/>
      <w:sz w:val="28"/>
      <w:szCs w:val="32"/>
      <w:lang w:val="en-US" w:bidi="en-US"/>
    </w:rPr>
  </w:style>
  <w:style w:type="character" w:customStyle="1" w:styleId="22">
    <w:name w:val="Заголовок 2 Знак"/>
    <w:basedOn w:val="a5"/>
    <w:link w:val="21"/>
    <w:uiPriority w:val="9"/>
    <w:rPr>
      <w:rFonts w:ascii="PT Astra Serif" w:eastAsiaTheme="majorEastAsia" w:hAnsi="PT Astra Serif" w:cstheme="majorBidi"/>
      <w:b/>
      <w:bCs/>
      <w:sz w:val="28"/>
      <w:szCs w:val="26"/>
      <w:lang w:bidi="en-US"/>
    </w:rPr>
  </w:style>
  <w:style w:type="character" w:customStyle="1" w:styleId="32">
    <w:name w:val="Заголовок 3 Знак"/>
    <w:basedOn w:val="a5"/>
    <w:link w:val="31"/>
    <w:uiPriority w:val="9"/>
    <w:rPr>
      <w:rFonts w:ascii="Times New Roman" w:eastAsiaTheme="majorEastAsia" w:hAnsi="Times New Roman" w:cstheme="majorBidi"/>
      <w:b/>
      <w:bCs/>
      <w:sz w:val="24"/>
      <w:szCs w:val="32"/>
      <w:lang w:val="en-US" w:bidi="en-US"/>
    </w:rPr>
  </w:style>
  <w:style w:type="paragraph" w:styleId="aa">
    <w:name w:val="TOC Heading"/>
    <w:basedOn w:val="10"/>
    <w:next w:val="a3"/>
    <w:link w:val="ab"/>
    <w:uiPriority w:val="39"/>
    <w:unhideWhenUsed/>
    <w:pPr>
      <w:outlineLvl w:val="9"/>
    </w:pPr>
  </w:style>
  <w:style w:type="paragraph" w:styleId="12">
    <w:name w:val="toc 1"/>
    <w:basedOn w:val="a3"/>
    <w:next w:val="a3"/>
    <w:uiPriority w:val="39"/>
    <w:unhideWhenUsed/>
    <w:pPr>
      <w:spacing w:before="120" w:after="120"/>
    </w:pPr>
    <w:rPr>
      <w:rFonts w:ascii="PT Astra Serif" w:hAnsi="PT Astra Serif" w:cstheme="minorHAnsi"/>
      <w:bCs/>
      <w:caps/>
      <w:szCs w:val="20"/>
    </w:rPr>
  </w:style>
  <w:style w:type="paragraph" w:styleId="23">
    <w:name w:val="toc 2"/>
    <w:basedOn w:val="a3"/>
    <w:next w:val="a3"/>
    <w:uiPriority w:val="39"/>
    <w:unhideWhenUsed/>
    <w:pPr>
      <w:spacing w:after="60"/>
      <w:ind w:left="238"/>
    </w:pPr>
    <w:rPr>
      <w:rFonts w:ascii="PT Astra Serif" w:hAnsi="PT Astra Serif" w:cstheme="minorHAnsi"/>
      <w:smallCaps/>
      <w:szCs w:val="20"/>
    </w:rPr>
  </w:style>
  <w:style w:type="paragraph" w:styleId="33">
    <w:name w:val="toc 3"/>
    <w:basedOn w:val="a3"/>
    <w:next w:val="a3"/>
    <w:uiPriority w:val="39"/>
    <w:unhideWhenUsed/>
    <w:pPr>
      <w:ind w:left="480"/>
    </w:pPr>
    <w:rPr>
      <w:rFonts w:asciiTheme="minorHAnsi" w:hAnsiTheme="minorHAnsi" w:cstheme="minorHAnsi"/>
      <w:i/>
      <w:iCs/>
      <w:sz w:val="20"/>
      <w:szCs w:val="20"/>
    </w:rPr>
  </w:style>
  <w:style w:type="character" w:styleId="ac">
    <w:name w:val="Hyperlink"/>
    <w:basedOn w:val="a5"/>
    <w:uiPriority w:val="99"/>
    <w:unhideWhenUsed/>
    <w:rPr>
      <w:color w:val="0563C1" w:themeColor="hyperlink"/>
      <w:u w:val="single"/>
    </w:rPr>
  </w:style>
  <w:style w:type="paragraph" w:styleId="ad">
    <w:name w:val="Balloon Text"/>
    <w:basedOn w:val="a3"/>
    <w:link w:val="ae"/>
    <w:uiPriority w:val="99"/>
    <w:semiHidden/>
    <w:unhideWhenUsed/>
    <w:pPr>
      <w:jc w:val="both"/>
    </w:pPr>
    <w:rPr>
      <w:rFonts w:ascii="Tahoma" w:eastAsiaTheme="minorHAnsi" w:hAnsi="Tahoma" w:cs="Tahoma"/>
      <w:sz w:val="16"/>
      <w:szCs w:val="16"/>
      <w:lang w:val="en-US" w:eastAsia="en-US" w:bidi="en-US"/>
    </w:rPr>
  </w:style>
  <w:style w:type="character" w:customStyle="1" w:styleId="ae">
    <w:name w:val="Текст выноски Знак"/>
    <w:basedOn w:val="a5"/>
    <w:link w:val="ad"/>
    <w:uiPriority w:val="99"/>
    <w:semiHidden/>
    <w:rPr>
      <w:rFonts w:ascii="Tahoma" w:hAnsi="Tahoma" w:cs="Tahoma"/>
      <w:sz w:val="16"/>
      <w:szCs w:val="16"/>
    </w:rPr>
  </w:style>
  <w:style w:type="paragraph" w:styleId="43">
    <w:name w:val="toc 4"/>
    <w:basedOn w:val="a3"/>
    <w:next w:val="a3"/>
    <w:uiPriority w:val="39"/>
    <w:unhideWhenUsed/>
    <w:pPr>
      <w:ind w:left="720"/>
    </w:pPr>
    <w:rPr>
      <w:rFonts w:asciiTheme="minorHAnsi" w:hAnsiTheme="minorHAnsi" w:cstheme="minorHAnsi"/>
      <w:sz w:val="18"/>
      <w:szCs w:val="18"/>
    </w:rPr>
  </w:style>
  <w:style w:type="paragraph" w:styleId="53">
    <w:name w:val="toc 5"/>
    <w:basedOn w:val="a3"/>
    <w:next w:val="a3"/>
    <w:uiPriority w:val="39"/>
    <w:unhideWhenUsed/>
    <w:pPr>
      <w:ind w:left="960"/>
    </w:pPr>
    <w:rPr>
      <w:rFonts w:asciiTheme="minorHAnsi" w:hAnsiTheme="minorHAnsi" w:cstheme="minorHAnsi"/>
      <w:sz w:val="18"/>
      <w:szCs w:val="18"/>
    </w:rPr>
  </w:style>
  <w:style w:type="paragraph" w:styleId="61">
    <w:name w:val="toc 6"/>
    <w:basedOn w:val="a3"/>
    <w:next w:val="a3"/>
    <w:uiPriority w:val="39"/>
    <w:unhideWhenUsed/>
    <w:pPr>
      <w:ind w:left="1200"/>
    </w:pPr>
    <w:rPr>
      <w:rFonts w:asciiTheme="minorHAnsi" w:hAnsiTheme="minorHAnsi" w:cstheme="minorHAnsi"/>
      <w:sz w:val="18"/>
      <w:szCs w:val="18"/>
    </w:rPr>
  </w:style>
  <w:style w:type="paragraph" w:styleId="71">
    <w:name w:val="toc 7"/>
    <w:basedOn w:val="a3"/>
    <w:next w:val="a3"/>
    <w:uiPriority w:val="39"/>
    <w:unhideWhenUsed/>
    <w:pPr>
      <w:ind w:left="1440"/>
    </w:pPr>
    <w:rPr>
      <w:rFonts w:asciiTheme="minorHAnsi" w:hAnsiTheme="minorHAnsi" w:cstheme="minorHAnsi"/>
      <w:sz w:val="18"/>
      <w:szCs w:val="18"/>
    </w:rPr>
  </w:style>
  <w:style w:type="paragraph" w:styleId="81">
    <w:name w:val="toc 8"/>
    <w:basedOn w:val="a3"/>
    <w:next w:val="a3"/>
    <w:uiPriority w:val="39"/>
    <w:unhideWhenUsed/>
    <w:pPr>
      <w:ind w:left="1680"/>
    </w:pPr>
    <w:rPr>
      <w:rFonts w:asciiTheme="minorHAnsi" w:hAnsiTheme="minorHAnsi" w:cstheme="minorHAnsi"/>
      <w:sz w:val="18"/>
      <w:szCs w:val="18"/>
    </w:rPr>
  </w:style>
  <w:style w:type="paragraph" w:styleId="91">
    <w:name w:val="toc 9"/>
    <w:basedOn w:val="a3"/>
    <w:next w:val="a3"/>
    <w:uiPriority w:val="39"/>
    <w:unhideWhenUsed/>
    <w:pPr>
      <w:ind w:left="1920"/>
    </w:pPr>
    <w:rPr>
      <w:rFonts w:asciiTheme="minorHAnsi" w:hAnsiTheme="minorHAnsi" w:cstheme="minorHAnsi"/>
      <w:sz w:val="18"/>
      <w:szCs w:val="18"/>
    </w:rPr>
  </w:style>
  <w:style w:type="paragraph" w:customStyle="1" w:styleId="ConsPlusNormal">
    <w:name w:val="ConsPlusNormal"/>
    <w:link w:val="ConsPlusNormal0"/>
    <w:qFormat/>
    <w:pPr>
      <w:spacing w:after="0" w:line="240" w:lineRule="auto"/>
    </w:pPr>
    <w:rPr>
      <w:rFonts w:ascii="Times New Roman" w:hAnsi="Times New Roman" w:cs="Times New Roman"/>
      <w:sz w:val="30"/>
      <w:szCs w:val="30"/>
    </w:rPr>
  </w:style>
  <w:style w:type="paragraph" w:customStyle="1" w:styleId="af">
    <w:name w:val="Обычный_Приказ"/>
    <w:basedOn w:val="a3"/>
    <w:qFormat/>
    <w:pPr>
      <w:spacing w:line="360" w:lineRule="auto"/>
      <w:ind w:firstLine="709"/>
      <w:jc w:val="both"/>
    </w:pPr>
    <w:rPr>
      <w:rFonts w:ascii="PT Astra Serif" w:eastAsia="Calibri" w:hAnsi="PT Astra Serif"/>
      <w:sz w:val="28"/>
      <w:szCs w:val="28"/>
      <w:lang w:val="en-US" w:eastAsia="en-US" w:bidi="en-US"/>
    </w:rPr>
  </w:style>
  <w:style w:type="table" w:styleId="af0">
    <w:name w:val="Table Grid"/>
    <w:basedOn w:val="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footnote text"/>
    <w:basedOn w:val="a3"/>
    <w:link w:val="af2"/>
    <w:uiPriority w:val="99"/>
    <w:unhideWhenUsed/>
    <w:pPr>
      <w:jc w:val="both"/>
    </w:pPr>
    <w:rPr>
      <w:rFonts w:ascii="PT Astra Serif" w:eastAsiaTheme="minorHAnsi" w:hAnsi="PT Astra Serif" w:cstheme="minorBidi"/>
      <w:sz w:val="20"/>
      <w:szCs w:val="20"/>
      <w:lang w:val="en-US" w:eastAsia="en-US" w:bidi="en-US"/>
    </w:rPr>
  </w:style>
  <w:style w:type="character" w:customStyle="1" w:styleId="af2">
    <w:name w:val="Текст сноски Знак"/>
    <w:basedOn w:val="a5"/>
    <w:link w:val="af1"/>
    <w:uiPriority w:val="99"/>
    <w:rPr>
      <w:sz w:val="20"/>
      <w:szCs w:val="20"/>
    </w:rPr>
  </w:style>
  <w:style w:type="character" w:styleId="af3">
    <w:name w:val="footnote reference"/>
    <w:basedOn w:val="a5"/>
    <w:uiPriority w:val="99"/>
    <w:unhideWhenUsed/>
    <w:rPr>
      <w:vertAlign w:val="superscript"/>
    </w:rPr>
  </w:style>
  <w:style w:type="paragraph" w:styleId="af4">
    <w:name w:val="Body Text"/>
    <w:basedOn w:val="a3"/>
    <w:link w:val="af5"/>
    <w:uiPriority w:val="99"/>
    <w:unhideWhenUsed/>
    <w:qFormat/>
    <w:pPr>
      <w:spacing w:after="120"/>
      <w:jc w:val="both"/>
    </w:pPr>
    <w:rPr>
      <w:rFonts w:ascii="PT Astra Serif" w:hAnsi="PT Astra Serif"/>
      <w:lang w:val="en-US" w:bidi="en-US"/>
    </w:rPr>
  </w:style>
  <w:style w:type="character" w:customStyle="1" w:styleId="af5">
    <w:name w:val="Основной текст Знак"/>
    <w:basedOn w:val="a5"/>
    <w:link w:val="af4"/>
    <w:uiPriority w:val="99"/>
    <w:rPr>
      <w:rFonts w:ascii="Times New Roman" w:eastAsia="Times New Roman" w:hAnsi="Times New Roman" w:cs="Times New Roman"/>
      <w:sz w:val="24"/>
      <w:szCs w:val="24"/>
      <w:lang w:eastAsia="ru-RU"/>
    </w:rPr>
  </w:style>
  <w:style w:type="paragraph" w:styleId="af6">
    <w:name w:val="Normal (Web)"/>
    <w:basedOn w:val="a3"/>
    <w:uiPriority w:val="99"/>
    <w:unhideWhenUsed/>
    <w:qFormat/>
    <w:pPr>
      <w:spacing w:before="100" w:beforeAutospacing="1" w:after="100" w:afterAutospacing="1"/>
      <w:jc w:val="both"/>
    </w:pPr>
    <w:rPr>
      <w:rFonts w:ascii="PT Astra Serif" w:hAnsi="PT Astra Serif"/>
      <w:lang w:val="en-US" w:bidi="en-US"/>
    </w:rPr>
  </w:style>
  <w:style w:type="paragraph" w:styleId="af7">
    <w:name w:val="header"/>
    <w:basedOn w:val="a3"/>
    <w:link w:val="af8"/>
    <w:uiPriority w:val="99"/>
    <w:unhideWhenUsed/>
    <w:pPr>
      <w:tabs>
        <w:tab w:val="center" w:pos="4677"/>
        <w:tab w:val="right" w:pos="9355"/>
      </w:tabs>
      <w:jc w:val="both"/>
    </w:pPr>
    <w:rPr>
      <w:rFonts w:ascii="PT Astra Serif" w:eastAsiaTheme="minorHAnsi" w:hAnsi="PT Astra Serif" w:cstheme="minorBidi"/>
      <w:szCs w:val="22"/>
      <w:lang w:val="en-US" w:eastAsia="en-US" w:bidi="en-US"/>
    </w:rPr>
  </w:style>
  <w:style w:type="character" w:customStyle="1" w:styleId="af8">
    <w:name w:val="Верхний колонтитул Знак"/>
    <w:basedOn w:val="a5"/>
    <w:link w:val="af7"/>
    <w:uiPriority w:val="99"/>
  </w:style>
  <w:style w:type="paragraph" w:styleId="af9">
    <w:name w:val="footer"/>
    <w:basedOn w:val="a3"/>
    <w:link w:val="afa"/>
    <w:uiPriority w:val="99"/>
    <w:unhideWhenUsed/>
    <w:pPr>
      <w:tabs>
        <w:tab w:val="center" w:pos="4677"/>
        <w:tab w:val="right" w:pos="9355"/>
      </w:tabs>
      <w:jc w:val="both"/>
    </w:pPr>
    <w:rPr>
      <w:rFonts w:ascii="PT Astra Serif" w:eastAsiaTheme="minorHAnsi" w:hAnsi="PT Astra Serif" w:cstheme="minorBidi"/>
      <w:szCs w:val="22"/>
      <w:lang w:val="en-US" w:eastAsia="en-US" w:bidi="en-US"/>
    </w:rPr>
  </w:style>
  <w:style w:type="character" w:customStyle="1" w:styleId="afa">
    <w:name w:val="Нижний колонтитул Знак"/>
    <w:basedOn w:val="a5"/>
    <w:link w:val="af9"/>
    <w:uiPriority w:val="99"/>
  </w:style>
  <w:style w:type="paragraph" w:customStyle="1" w:styleId="Head81">
    <w:name w:val="Head 8.1"/>
    <w:basedOn w:val="10"/>
    <w:pPr>
      <w:keepNext w:val="0"/>
      <w:keepLines w:val="0"/>
      <w:jc w:val="center"/>
      <w:outlineLvl w:val="9"/>
    </w:pPr>
    <w:rPr>
      <w:rFonts w:ascii="Times New Roman Bold" w:eastAsia="Times New Roman" w:hAnsi="Times New Roman Bold" w:cs="Times New Roman"/>
      <w:sz w:val="32"/>
      <w:szCs w:val="20"/>
      <w:lang w:val="en-GB"/>
    </w:rPr>
  </w:style>
  <w:style w:type="paragraph" w:customStyle="1" w:styleId="a4">
    <w:name w:val="Заг_осн. текст"/>
    <w:basedOn w:val="a3"/>
    <w:link w:val="afb"/>
    <w:qFormat/>
    <w:pPr>
      <w:ind w:firstLine="709"/>
      <w:jc w:val="both"/>
    </w:pPr>
    <w:rPr>
      <w:rFonts w:ascii="PT Astra Serif" w:hAnsi="PT Astra Serif"/>
      <w:color w:val="000000"/>
      <w:sz w:val="28"/>
      <w:szCs w:val="28"/>
      <w:lang w:eastAsia="ar-SA"/>
    </w:rPr>
  </w:style>
  <w:style w:type="character" w:customStyle="1" w:styleId="afb">
    <w:name w:val="Заг_осн. текст Знак"/>
    <w:link w:val="a4"/>
    <w:rPr>
      <w:rFonts w:ascii="PT Astra Serif" w:eastAsia="Times New Roman" w:hAnsi="PT Astra Serif" w:cs="Times New Roman"/>
      <w:color w:val="000000"/>
      <w:sz w:val="28"/>
      <w:szCs w:val="28"/>
      <w:lang w:eastAsia="ar-SA"/>
    </w:rPr>
  </w:style>
  <w:style w:type="paragraph" w:customStyle="1" w:styleId="PreformattedText">
    <w:name w:val="Preformatted Text"/>
    <w:basedOn w:val="a3"/>
    <w:qFormat/>
    <w:pPr>
      <w:widowControl w:val="0"/>
      <w:jc w:val="both"/>
    </w:pPr>
    <w:rPr>
      <w:rFonts w:ascii="Nimbus Mono L" w:eastAsia="Nimbus Mono L" w:hAnsi="Nimbus Mono L" w:cs="Nimbus Mono L"/>
      <w:sz w:val="20"/>
      <w:szCs w:val="20"/>
      <w:lang w:val="en-US" w:eastAsia="ar-SA" w:bidi="en-US"/>
    </w:rPr>
  </w:style>
  <w:style w:type="paragraph" w:styleId="afc">
    <w:name w:val="Plain Text"/>
    <w:basedOn w:val="a3"/>
    <w:link w:val="afd"/>
    <w:uiPriority w:val="99"/>
    <w:unhideWhenUsed/>
    <w:pPr>
      <w:jc w:val="both"/>
    </w:pPr>
    <w:rPr>
      <w:rFonts w:ascii="Calibri" w:eastAsiaTheme="minorHAnsi" w:hAnsi="Calibri" w:cstheme="minorBidi"/>
      <w:szCs w:val="21"/>
      <w:lang w:val="en-US" w:eastAsia="en-US" w:bidi="en-US"/>
    </w:rPr>
  </w:style>
  <w:style w:type="character" w:customStyle="1" w:styleId="afd">
    <w:name w:val="Текст Знак"/>
    <w:basedOn w:val="a5"/>
    <w:link w:val="afc"/>
    <w:uiPriority w:val="99"/>
    <w:rPr>
      <w:rFonts w:ascii="Calibri" w:hAnsi="Calibri"/>
      <w:szCs w:val="21"/>
    </w:rPr>
  </w:style>
  <w:style w:type="character" w:customStyle="1" w:styleId="42">
    <w:name w:val="Заголовок 4 Знак"/>
    <w:basedOn w:val="a5"/>
    <w:link w:val="41"/>
    <w:uiPriority w:val="9"/>
    <w:rPr>
      <w:rFonts w:ascii="PT Astra Serif" w:eastAsia="Times New Roman" w:hAnsi="PT Astra Serif" w:cs="Times New Roman"/>
      <w:b/>
      <w:spacing w:val="24"/>
      <w:sz w:val="28"/>
      <w:szCs w:val="28"/>
      <w:lang w:val="en-US"/>
    </w:rPr>
  </w:style>
  <w:style w:type="paragraph" w:customStyle="1" w:styleId="afe">
    <w:name w:val="Заголовок Примечание"/>
    <w:basedOn w:val="a4"/>
    <w:qFormat/>
    <w:rPr>
      <w:sz w:val="24"/>
    </w:rPr>
  </w:style>
  <w:style w:type="paragraph" w:customStyle="1" w:styleId="aff">
    <w:name w:val="Заголовок таблицы"/>
    <w:basedOn w:val="a3"/>
    <w:qFormat/>
    <w:pPr>
      <w:suppressLineNumbers/>
      <w:spacing w:before="180" w:after="120"/>
      <w:jc w:val="both"/>
      <w:outlineLvl w:val="8"/>
    </w:pPr>
    <w:rPr>
      <w:rFonts w:ascii="PT Astra Serif" w:hAnsi="PT Astra Serif"/>
      <w:bCs/>
      <w:sz w:val="28"/>
      <w:lang w:val="en-US" w:eastAsia="ar-SA" w:bidi="en-US"/>
    </w:rPr>
  </w:style>
  <w:style w:type="paragraph" w:customStyle="1" w:styleId="aff0">
    <w:name w:val="Заголовок рисунок"/>
    <w:basedOn w:val="aff"/>
    <w:link w:val="aff1"/>
    <w:qFormat/>
    <w:pPr>
      <w:jc w:val="center"/>
    </w:pPr>
    <w:rPr>
      <w:lang w:val="ru-RU" w:bidi="ar-SA"/>
    </w:rPr>
  </w:style>
  <w:style w:type="paragraph" w:customStyle="1" w:styleId="-1">
    <w:name w:val="Маркированный-1"/>
    <w:basedOn w:val="a4"/>
    <w:qFormat/>
    <w:pPr>
      <w:numPr>
        <w:numId w:val="1"/>
      </w:numPr>
    </w:pPr>
  </w:style>
  <w:style w:type="paragraph" w:customStyle="1" w:styleId="-2">
    <w:name w:val="Маркированный-2"/>
    <w:basedOn w:val="-1"/>
    <w:qFormat/>
    <w:pPr>
      <w:numPr>
        <w:numId w:val="2"/>
      </w:numPr>
    </w:pPr>
  </w:style>
  <w:style w:type="paragraph" w:customStyle="1" w:styleId="-10">
    <w:name w:val="Нумерованный-1"/>
    <w:basedOn w:val="a3"/>
    <w:qFormat/>
    <w:pPr>
      <w:spacing w:line="360" w:lineRule="auto"/>
      <w:jc w:val="both"/>
    </w:pPr>
    <w:rPr>
      <w:rFonts w:ascii="PT Astra Serif" w:hAnsi="PT Astra Serif"/>
      <w:lang w:eastAsia="ar-SA"/>
    </w:rPr>
  </w:style>
  <w:style w:type="paragraph" w:styleId="aff2">
    <w:name w:val="Subtitle"/>
    <w:basedOn w:val="a3"/>
    <w:next w:val="a3"/>
    <w:link w:val="aff3"/>
    <w:uiPriority w:val="11"/>
    <w:qFormat/>
    <w:pPr>
      <w:numPr>
        <w:ilvl w:val="1"/>
      </w:numPr>
      <w:spacing w:after="200" w:line="276" w:lineRule="auto"/>
      <w:ind w:firstLine="709"/>
    </w:pPr>
    <w:rPr>
      <w:rFonts w:ascii="PT Astra Serif" w:eastAsiaTheme="majorEastAsia" w:hAnsi="PT Astra Serif" w:cstheme="majorBidi"/>
      <w:b/>
      <w:i/>
      <w:iCs/>
      <w:spacing w:val="15"/>
      <w:sz w:val="27"/>
      <w:lang w:val="en-US" w:eastAsia="en-US" w:bidi="en-US"/>
    </w:rPr>
  </w:style>
  <w:style w:type="character" w:customStyle="1" w:styleId="aff3">
    <w:name w:val="Подзаголовок Знак"/>
    <w:basedOn w:val="a5"/>
    <w:link w:val="aff2"/>
    <w:uiPriority w:val="11"/>
    <w:rPr>
      <w:rFonts w:ascii="Times New Roman" w:eastAsiaTheme="majorEastAsia" w:hAnsi="Times New Roman" w:cstheme="majorBidi"/>
      <w:b/>
      <w:i/>
      <w:iCs/>
      <w:spacing w:val="15"/>
      <w:sz w:val="27"/>
      <w:szCs w:val="24"/>
      <w:lang w:val="en-US" w:bidi="en-US"/>
    </w:rPr>
  </w:style>
  <w:style w:type="character" w:styleId="aff4">
    <w:name w:val="Intense Reference"/>
    <w:basedOn w:val="a5"/>
    <w:uiPriority w:val="32"/>
    <w:rPr>
      <w:b/>
      <w:bCs/>
      <w:smallCaps/>
      <w:color w:val="ED7D31" w:themeColor="accent2"/>
      <w:spacing w:val="5"/>
      <w:u w:val="single"/>
    </w:rPr>
  </w:style>
  <w:style w:type="character" w:styleId="aff5">
    <w:name w:val="Intense Emphasis"/>
    <w:basedOn w:val="a5"/>
    <w:uiPriority w:val="21"/>
    <w:rPr>
      <w:b/>
      <w:bCs/>
      <w:i/>
      <w:iCs/>
      <w:color w:val="5B9BD5" w:themeColor="accent1"/>
    </w:rPr>
  </w:style>
  <w:style w:type="paragraph" w:styleId="24">
    <w:name w:val="Quote"/>
    <w:basedOn w:val="a3"/>
    <w:next w:val="a3"/>
    <w:link w:val="25"/>
    <w:uiPriority w:val="29"/>
    <w:qFormat/>
    <w:pPr>
      <w:jc w:val="both"/>
    </w:pPr>
    <w:rPr>
      <w:rFonts w:ascii="PT Astra Serif" w:eastAsiaTheme="minorHAnsi" w:hAnsi="PT Astra Serif" w:cstheme="minorBidi"/>
      <w:i/>
      <w:iCs/>
      <w:color w:val="000000" w:themeColor="text1"/>
      <w:szCs w:val="22"/>
      <w:lang w:val="en-US" w:eastAsia="en-US" w:bidi="en-US"/>
    </w:rPr>
  </w:style>
  <w:style w:type="character" w:customStyle="1" w:styleId="25">
    <w:name w:val="Цитата 2 Знак"/>
    <w:basedOn w:val="a5"/>
    <w:link w:val="24"/>
    <w:uiPriority w:val="29"/>
    <w:rPr>
      <w:i/>
      <w:iCs/>
      <w:color w:val="000000" w:themeColor="text1"/>
      <w:lang w:val="en-US" w:bidi="en-US"/>
    </w:rPr>
  </w:style>
  <w:style w:type="character" w:customStyle="1" w:styleId="60">
    <w:name w:val="Заголовок 6 Знак"/>
    <w:basedOn w:val="a5"/>
    <w:link w:val="6"/>
    <w:uiPriority w:val="9"/>
    <w:rPr>
      <w:rFonts w:ascii="Times New Roman" w:eastAsia="Times New Roman" w:hAnsi="Times New Roman" w:cs="Times New Roman"/>
      <w:b/>
      <w:i/>
      <w:sz w:val="25"/>
      <w:szCs w:val="20"/>
      <w:lang w:val="en-US" w:eastAsia="ar-SA"/>
    </w:rPr>
  </w:style>
  <w:style w:type="character" w:customStyle="1" w:styleId="70">
    <w:name w:val="Заголовок 7 Знак"/>
    <w:basedOn w:val="a5"/>
    <w:link w:val="7"/>
    <w:uiPriority w:val="9"/>
    <w:rPr>
      <w:rFonts w:asciiTheme="majorHAnsi" w:eastAsiaTheme="majorEastAsia" w:hAnsiTheme="majorHAnsi" w:cstheme="majorBidi"/>
      <w:i/>
      <w:iCs/>
      <w:color w:val="404040" w:themeColor="text1" w:themeTint="BF"/>
      <w:sz w:val="24"/>
      <w:lang w:val="en-US" w:bidi="en-US"/>
    </w:rPr>
  </w:style>
  <w:style w:type="character" w:customStyle="1" w:styleId="80">
    <w:name w:val="Заголовок 8 Знак"/>
    <w:basedOn w:val="a5"/>
    <w:link w:val="8"/>
    <w:uiPriority w:val="9"/>
    <w:rPr>
      <w:rFonts w:asciiTheme="majorHAnsi" w:eastAsiaTheme="majorEastAsia" w:hAnsiTheme="majorHAnsi" w:cstheme="majorBidi"/>
      <w:color w:val="404040" w:themeColor="text1" w:themeTint="BF"/>
      <w:sz w:val="20"/>
      <w:szCs w:val="20"/>
      <w:lang w:val="en-US" w:bidi="en-US"/>
    </w:rPr>
  </w:style>
  <w:style w:type="character" w:customStyle="1" w:styleId="90">
    <w:name w:val="Заголовок 9 Знак"/>
    <w:basedOn w:val="a5"/>
    <w:link w:val="9"/>
    <w:uiPriority w:val="9"/>
    <w:rPr>
      <w:rFonts w:asciiTheme="majorHAnsi" w:eastAsiaTheme="majorEastAsia" w:hAnsiTheme="majorHAnsi" w:cstheme="majorBidi"/>
      <w:i/>
      <w:iCs/>
      <w:color w:val="404040" w:themeColor="text1" w:themeTint="BF"/>
      <w:sz w:val="20"/>
      <w:szCs w:val="20"/>
      <w:lang w:val="en-US" w:bidi="en-US"/>
    </w:rPr>
  </w:style>
  <w:style w:type="paragraph" w:styleId="aff6">
    <w:name w:val="Title"/>
    <w:basedOn w:val="a3"/>
    <w:next w:val="a3"/>
    <w:link w:val="aff7"/>
    <w:uiPriority w:val="10"/>
    <w:qFormat/>
    <w:pPr>
      <w:pBdr>
        <w:bottom w:val="single" w:sz="8" w:space="4" w:color="5B9BD5" w:themeColor="accent1"/>
      </w:pBdr>
      <w:spacing w:after="300"/>
      <w:contextualSpacing/>
      <w:jc w:val="both"/>
    </w:pPr>
    <w:rPr>
      <w:rFonts w:asciiTheme="majorHAnsi" w:eastAsiaTheme="majorEastAsia" w:hAnsiTheme="majorHAnsi" w:cstheme="majorBidi"/>
      <w:color w:val="323E4F" w:themeColor="text2" w:themeShade="BF"/>
      <w:spacing w:val="5"/>
      <w:sz w:val="52"/>
      <w:szCs w:val="52"/>
      <w:lang w:val="en-US" w:eastAsia="en-US" w:bidi="en-US"/>
    </w:rPr>
  </w:style>
  <w:style w:type="character" w:customStyle="1" w:styleId="aff7">
    <w:name w:val="Название Знак"/>
    <w:basedOn w:val="a5"/>
    <w:link w:val="aff6"/>
    <w:uiPriority w:val="10"/>
    <w:rPr>
      <w:rFonts w:asciiTheme="majorHAnsi" w:eastAsiaTheme="majorEastAsia" w:hAnsiTheme="majorHAnsi" w:cstheme="majorBidi"/>
      <w:color w:val="323E4F" w:themeColor="text2" w:themeShade="BF"/>
      <w:spacing w:val="5"/>
      <w:sz w:val="52"/>
      <w:szCs w:val="52"/>
      <w:lang w:val="en-US" w:bidi="en-US"/>
    </w:rPr>
  </w:style>
  <w:style w:type="paragraph" w:styleId="aff8">
    <w:name w:val="Document Map"/>
    <w:basedOn w:val="a3"/>
    <w:link w:val="aff9"/>
    <w:uiPriority w:val="99"/>
    <w:unhideWhenUsed/>
    <w:pPr>
      <w:jc w:val="both"/>
    </w:pPr>
    <w:rPr>
      <w:rFonts w:ascii="Tahoma" w:eastAsiaTheme="minorHAnsi" w:hAnsi="Tahoma" w:cs="Tahoma"/>
      <w:sz w:val="16"/>
      <w:szCs w:val="16"/>
      <w:lang w:val="en-US" w:eastAsia="en-US" w:bidi="en-US"/>
    </w:rPr>
  </w:style>
  <w:style w:type="character" w:customStyle="1" w:styleId="aff9">
    <w:name w:val="Схема документа Знак"/>
    <w:basedOn w:val="a5"/>
    <w:link w:val="aff8"/>
    <w:uiPriority w:val="99"/>
    <w:rPr>
      <w:rFonts w:ascii="Tahoma" w:hAnsi="Tahoma" w:cs="Tahoma"/>
      <w:sz w:val="16"/>
      <w:szCs w:val="16"/>
      <w:lang w:val="en-US" w:bidi="en-US"/>
    </w:rPr>
  </w:style>
  <w:style w:type="numbering" w:customStyle="1" w:styleId="13">
    <w:name w:val="Нет списка1"/>
    <w:next w:val="a7"/>
    <w:uiPriority w:val="99"/>
    <w:semiHidden/>
    <w:unhideWhenUsed/>
  </w:style>
  <w:style w:type="table" w:customStyle="1" w:styleId="14">
    <w:name w:val="Сетка таблицы1"/>
    <w:basedOn w:val="a6"/>
    <w:next w:val="af0"/>
    <w:uiPriority w:val="3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Body Text Indent"/>
    <w:basedOn w:val="a3"/>
    <w:link w:val="affb"/>
    <w:uiPriority w:val="99"/>
    <w:semiHidden/>
    <w:pPr>
      <w:ind w:firstLine="540"/>
      <w:jc w:val="both"/>
    </w:pPr>
    <w:rPr>
      <w:rFonts w:ascii="PT Astra Serif" w:hAnsi="PT Astra Serif"/>
      <w:lang w:val="en-US" w:eastAsia="en-US"/>
    </w:rPr>
  </w:style>
  <w:style w:type="character" w:customStyle="1" w:styleId="affb">
    <w:name w:val="Основной текст с отступом Знак"/>
    <w:basedOn w:val="a5"/>
    <w:link w:val="affa"/>
    <w:uiPriority w:val="99"/>
    <w:rPr>
      <w:rFonts w:ascii="Times New Roman" w:eastAsia="Times New Roman" w:hAnsi="Times New Roman" w:cs="Times New Roman"/>
      <w:sz w:val="24"/>
      <w:szCs w:val="24"/>
    </w:rPr>
  </w:style>
  <w:style w:type="numbering" w:customStyle="1" w:styleId="26">
    <w:name w:val="Нет списка2"/>
    <w:next w:val="a7"/>
    <w:uiPriority w:val="99"/>
    <w:semiHidden/>
    <w:unhideWhenUsed/>
  </w:style>
  <w:style w:type="character" w:styleId="affc">
    <w:name w:val="annotation reference"/>
    <w:uiPriority w:val="99"/>
    <w:unhideWhenUsed/>
    <w:rPr>
      <w:sz w:val="16"/>
      <w:szCs w:val="16"/>
    </w:rPr>
  </w:style>
  <w:style w:type="paragraph" w:styleId="affd">
    <w:name w:val="annotation text"/>
    <w:basedOn w:val="a3"/>
    <w:link w:val="affe"/>
    <w:uiPriority w:val="99"/>
    <w:unhideWhenUsed/>
    <w:pPr>
      <w:spacing w:after="200"/>
    </w:pPr>
    <w:rPr>
      <w:rFonts w:ascii="Calibri" w:eastAsia="Calibri" w:hAnsi="Calibri"/>
      <w:sz w:val="20"/>
      <w:szCs w:val="20"/>
      <w:lang w:eastAsia="en-US"/>
    </w:rPr>
  </w:style>
  <w:style w:type="character" w:customStyle="1" w:styleId="affe">
    <w:name w:val="Текст примечания Знак"/>
    <w:basedOn w:val="a5"/>
    <w:link w:val="affd"/>
    <w:uiPriority w:val="99"/>
    <w:rPr>
      <w:rFonts w:ascii="Calibri" w:eastAsia="Calibri"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Calibri" w:hAnsi="Calibri" w:cs="Times New Roman"/>
      <w:b/>
      <w:bCs/>
      <w:sz w:val="20"/>
      <w:szCs w:val="20"/>
    </w:rPr>
  </w:style>
  <w:style w:type="paragraph" w:styleId="afff1">
    <w:name w:val="Revision"/>
    <w:hidden/>
    <w:uiPriority w:val="99"/>
    <w:semiHidden/>
    <w:pPr>
      <w:spacing w:after="0" w:line="240" w:lineRule="auto"/>
    </w:pPr>
    <w:rPr>
      <w:rFonts w:ascii="Calibri" w:eastAsia="Calibri" w:hAnsi="Calibri" w:cs="Times New Roman"/>
    </w:rPr>
  </w:style>
  <w:style w:type="numbering" w:customStyle="1" w:styleId="34">
    <w:name w:val="Нет списка3"/>
    <w:next w:val="a7"/>
    <w:uiPriority w:val="99"/>
    <w:semiHidden/>
    <w:unhideWhenUsed/>
  </w:style>
  <w:style w:type="paragraph" w:customStyle="1" w:styleId="font0">
    <w:name w:val="font0"/>
    <w:basedOn w:val="a3"/>
    <w:pPr>
      <w:spacing w:before="100" w:beforeAutospacing="1" w:after="100" w:afterAutospacing="1"/>
    </w:pPr>
    <w:rPr>
      <w:rFonts w:ascii="Arial" w:hAnsi="Arial" w:cs="Arial"/>
      <w:sz w:val="20"/>
      <w:szCs w:val="20"/>
    </w:rPr>
  </w:style>
  <w:style w:type="paragraph" w:customStyle="1" w:styleId="font5">
    <w:name w:val="font5"/>
    <w:basedOn w:val="a3"/>
    <w:pPr>
      <w:spacing w:before="100" w:beforeAutospacing="1" w:after="100" w:afterAutospacing="1"/>
    </w:pPr>
    <w:rPr>
      <w:rFonts w:ascii="Arial" w:hAnsi="Arial" w:cs="Arial"/>
      <w:sz w:val="20"/>
      <w:szCs w:val="20"/>
      <w:u w:val="single"/>
    </w:rPr>
  </w:style>
  <w:style w:type="paragraph" w:customStyle="1" w:styleId="xl67">
    <w:name w:val="xl67"/>
    <w:basedOn w:val="a3"/>
    <w:pPr>
      <w:spacing w:before="100" w:beforeAutospacing="1" w:after="100" w:afterAutospacing="1"/>
    </w:pPr>
    <w:rPr>
      <w:rFonts w:ascii="PT Astra Serif" w:hAnsi="PT Astra Serif"/>
    </w:rPr>
  </w:style>
  <w:style w:type="paragraph" w:customStyle="1" w:styleId="xl68">
    <w:name w:val="xl68"/>
    <w:basedOn w:val="a3"/>
    <w:pPr>
      <w:pBdr>
        <w:top w:val="single" w:sz="4" w:space="0" w:color="808080"/>
        <w:left w:val="single" w:sz="4" w:space="0" w:color="808080"/>
        <w:bottom w:val="single" w:sz="4" w:space="0" w:color="808080"/>
        <w:right w:val="single" w:sz="4" w:space="0" w:color="000000"/>
      </w:pBdr>
      <w:shd w:val="clear" w:color="000000" w:fill="F8F8FF"/>
      <w:spacing w:before="100" w:beforeAutospacing="1" w:after="100" w:afterAutospacing="1"/>
    </w:pPr>
    <w:rPr>
      <w:rFonts w:ascii="PT Astra Serif" w:hAnsi="PT Astra Serif"/>
    </w:rPr>
  </w:style>
  <w:style w:type="paragraph" w:customStyle="1" w:styleId="xl69">
    <w:name w:val="xl69"/>
    <w:basedOn w:val="a3"/>
    <w:pPr>
      <w:pBdr>
        <w:top w:val="single" w:sz="4" w:space="0" w:color="808080"/>
        <w:left w:val="single" w:sz="4" w:space="0" w:color="808080"/>
        <w:bottom w:val="single" w:sz="4" w:space="0" w:color="808080"/>
        <w:right w:val="single" w:sz="4" w:space="0" w:color="000000"/>
      </w:pBdr>
      <w:shd w:val="clear" w:color="000000" w:fill="E6E6FA"/>
      <w:spacing w:before="100" w:beforeAutospacing="1" w:after="100" w:afterAutospacing="1"/>
    </w:pPr>
    <w:rPr>
      <w:rFonts w:ascii="PT Astra Serif" w:hAnsi="PT Astra Serif"/>
    </w:rPr>
  </w:style>
  <w:style w:type="paragraph" w:customStyle="1" w:styleId="xl70">
    <w:name w:val="xl70"/>
    <w:basedOn w:val="a3"/>
    <w:pPr>
      <w:pBdr>
        <w:top w:val="single" w:sz="4" w:space="0" w:color="808080"/>
        <w:left w:val="single" w:sz="4" w:space="0" w:color="808080"/>
        <w:bottom w:val="single" w:sz="4" w:space="0" w:color="808080"/>
        <w:right w:val="single" w:sz="4" w:space="0" w:color="000000"/>
      </w:pBdr>
      <w:spacing w:before="100" w:beforeAutospacing="1" w:after="100" w:afterAutospacing="1"/>
      <w:jc w:val="center"/>
    </w:pPr>
    <w:rPr>
      <w:rFonts w:ascii="PT Astra Serif" w:hAnsi="PT Astra Serif"/>
    </w:rPr>
  </w:style>
  <w:style w:type="paragraph" w:customStyle="1" w:styleId="xl71">
    <w:name w:val="xl71"/>
    <w:basedOn w:val="a3"/>
    <w:pPr>
      <w:pBdr>
        <w:bottom w:val="single" w:sz="4" w:space="0" w:color="808080"/>
      </w:pBdr>
      <w:spacing w:before="100" w:beforeAutospacing="1" w:after="100" w:afterAutospacing="1"/>
      <w:jc w:val="center"/>
    </w:pPr>
    <w:rPr>
      <w:rFonts w:ascii="PT Astra Serif" w:hAnsi="PT Astra Serif"/>
    </w:rPr>
  </w:style>
  <w:style w:type="character" w:styleId="afff2">
    <w:name w:val="FollowedHyperlink"/>
    <w:basedOn w:val="a5"/>
    <w:uiPriority w:val="99"/>
    <w:unhideWhenUsed/>
    <w:rPr>
      <w:color w:val="800080"/>
      <w:u w:val="single"/>
    </w:rPr>
  </w:style>
  <w:style w:type="paragraph" w:customStyle="1" w:styleId="xl32293">
    <w:name w:val="xl32293"/>
    <w:basedOn w:val="a3"/>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PT Astra Serif" w:hAnsi="PT Astra Serif"/>
    </w:rPr>
  </w:style>
  <w:style w:type="paragraph" w:customStyle="1" w:styleId="xl32294">
    <w:name w:val="xl32294"/>
    <w:basedOn w:val="a3"/>
    <w:pPr>
      <w:spacing w:before="100" w:beforeAutospacing="1" w:after="100" w:afterAutospacing="1"/>
      <w:jc w:val="center"/>
    </w:pPr>
    <w:rPr>
      <w:rFonts w:ascii="PT Astra Serif" w:hAnsi="PT Astra Serif"/>
    </w:rPr>
  </w:style>
  <w:style w:type="paragraph" w:customStyle="1" w:styleId="xl32295">
    <w:name w:val="xl32295"/>
    <w:basedOn w:val="a3"/>
    <w:pPr>
      <w:spacing w:before="100" w:beforeAutospacing="1" w:after="100" w:afterAutospacing="1"/>
    </w:pPr>
    <w:rPr>
      <w:rFonts w:ascii="PT Astra Serif" w:hAnsi="PT Astra Serif"/>
    </w:rPr>
  </w:style>
  <w:style w:type="paragraph" w:customStyle="1" w:styleId="xl32296">
    <w:name w:val="xl32296"/>
    <w:basedOn w:val="a3"/>
    <w:pPr>
      <w:pBdr>
        <w:top w:val="single" w:sz="4" w:space="0" w:color="000000"/>
        <w:left w:val="single" w:sz="4" w:space="0" w:color="000000"/>
        <w:bottom w:val="single" w:sz="4" w:space="0" w:color="000000"/>
        <w:right w:val="single" w:sz="4" w:space="0" w:color="000000"/>
      </w:pBdr>
      <w:shd w:val="clear" w:color="000000" w:fill="E46D0A"/>
      <w:spacing w:before="100" w:beforeAutospacing="1" w:after="100" w:afterAutospacing="1"/>
    </w:pPr>
    <w:rPr>
      <w:rFonts w:ascii="PT Astra Serif" w:hAnsi="PT Astra Serif"/>
    </w:rPr>
  </w:style>
  <w:style w:type="paragraph" w:customStyle="1" w:styleId="xl32297">
    <w:name w:val="xl32297"/>
    <w:basedOn w:val="a3"/>
    <w:pPr>
      <w:shd w:val="clear" w:color="000000" w:fill="FAC090"/>
      <w:spacing w:before="100" w:beforeAutospacing="1" w:after="100" w:afterAutospacing="1"/>
    </w:pPr>
    <w:rPr>
      <w:rFonts w:ascii="PT Astra Serif" w:hAnsi="PT Astra Serif"/>
    </w:rPr>
  </w:style>
  <w:style w:type="paragraph" w:customStyle="1" w:styleId="xl32298">
    <w:name w:val="xl32298"/>
    <w:basedOn w:val="a3"/>
    <w:pPr>
      <w:shd w:val="clear" w:color="000000" w:fill="E46D0A"/>
      <w:spacing w:before="100" w:beforeAutospacing="1" w:after="100" w:afterAutospacing="1"/>
    </w:pPr>
    <w:rPr>
      <w:rFonts w:ascii="PT Astra Serif" w:hAnsi="PT Astra Serif"/>
    </w:rPr>
  </w:style>
  <w:style w:type="paragraph" w:customStyle="1" w:styleId="xl32299">
    <w:name w:val="xl32299"/>
    <w:basedOn w:val="a3"/>
    <w:pPr>
      <w:spacing w:before="100" w:beforeAutospacing="1" w:after="100" w:afterAutospacing="1"/>
      <w:jc w:val="center"/>
    </w:pPr>
    <w:rPr>
      <w:rFonts w:ascii="PT Astra Serif" w:hAnsi="PT Astra Serif"/>
      <w:b/>
      <w:bCs/>
    </w:rPr>
  </w:style>
  <w:style w:type="paragraph" w:customStyle="1" w:styleId="xl32300">
    <w:name w:val="xl32300"/>
    <w:basedOn w:val="a3"/>
    <w:pPr>
      <w:shd w:val="clear" w:color="000000" w:fill="7030A0"/>
      <w:spacing w:before="100" w:beforeAutospacing="1" w:after="100" w:afterAutospacing="1"/>
    </w:pPr>
    <w:rPr>
      <w:rFonts w:ascii="PT Astra Serif" w:hAnsi="PT Astra Serif"/>
    </w:rPr>
  </w:style>
  <w:style w:type="paragraph" w:customStyle="1" w:styleId="xl32301">
    <w:name w:val="xl32301"/>
    <w:basedOn w:val="a3"/>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jc w:val="center"/>
    </w:pPr>
    <w:rPr>
      <w:rFonts w:ascii="PT Astra Serif" w:hAnsi="PT Astra Serif"/>
      <w:b/>
      <w:bCs/>
    </w:rPr>
  </w:style>
  <w:style w:type="paragraph" w:customStyle="1" w:styleId="xl32302">
    <w:name w:val="xl32302"/>
    <w:basedOn w:val="a3"/>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jc w:val="center"/>
    </w:pPr>
    <w:rPr>
      <w:rFonts w:ascii="PT Astra Serif" w:hAnsi="PT Astra Serif"/>
      <w:b/>
      <w:bCs/>
    </w:rPr>
  </w:style>
  <w:style w:type="paragraph" w:customStyle="1" w:styleId="xl32303">
    <w:name w:val="xl32303"/>
    <w:basedOn w:val="a3"/>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jc w:val="center"/>
    </w:pPr>
    <w:rPr>
      <w:rFonts w:ascii="PT Astra Serif" w:hAnsi="PT Astra Serif"/>
      <w:b/>
      <w:bCs/>
    </w:rPr>
  </w:style>
  <w:style w:type="paragraph" w:customStyle="1" w:styleId="xl32304">
    <w:name w:val="xl32304"/>
    <w:basedOn w:val="a3"/>
    <w:pPr>
      <w:spacing w:before="100" w:beforeAutospacing="1" w:after="100" w:afterAutospacing="1"/>
    </w:pPr>
    <w:rPr>
      <w:rFonts w:ascii="PT Astra Serif" w:hAnsi="PT Astra Serif"/>
    </w:rPr>
  </w:style>
  <w:style w:type="paragraph" w:customStyle="1" w:styleId="xl32305">
    <w:name w:val="xl32305"/>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06">
    <w:name w:val="xl32306"/>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07">
    <w:name w:val="xl32307"/>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08">
    <w:name w:val="xl32308"/>
    <w:basedOn w:val="a3"/>
    <w:pPr>
      <w:spacing w:before="100" w:beforeAutospacing="1" w:after="100" w:afterAutospacing="1"/>
      <w:jc w:val="center"/>
    </w:pPr>
    <w:rPr>
      <w:rFonts w:ascii="PT Astra Serif" w:hAnsi="PT Astra Serif"/>
    </w:rPr>
  </w:style>
  <w:style w:type="paragraph" w:customStyle="1" w:styleId="xl32309">
    <w:name w:val="xl32309"/>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10">
    <w:name w:val="xl32310"/>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11">
    <w:name w:val="xl32311"/>
    <w:basedOn w:val="a3"/>
    <w:pPr>
      <w:pBdr>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12">
    <w:name w:val="xl32312"/>
    <w:basedOn w:val="a3"/>
    <w:pPr>
      <w:pBdr>
        <w:top w:val="single" w:sz="4" w:space="0" w:color="000000"/>
        <w:left w:val="single" w:sz="4" w:space="0" w:color="000000"/>
        <w:bottom w:val="single" w:sz="4" w:space="0" w:color="000000"/>
      </w:pBdr>
      <w:spacing w:before="100" w:beforeAutospacing="1" w:after="100" w:afterAutospacing="1"/>
      <w:jc w:val="center"/>
    </w:pPr>
    <w:rPr>
      <w:rFonts w:ascii="PT Astra Serif" w:hAnsi="PT Astra Serif"/>
    </w:rPr>
  </w:style>
  <w:style w:type="paragraph" w:customStyle="1" w:styleId="xl32313">
    <w:name w:val="xl32313"/>
    <w:basedOn w:val="a3"/>
    <w:pPr>
      <w:pBdr>
        <w:top w:val="single" w:sz="4" w:space="0" w:color="000000"/>
        <w:left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14">
    <w:name w:val="xl32314"/>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color w:val="0D0D0D"/>
    </w:rPr>
  </w:style>
  <w:style w:type="paragraph" w:customStyle="1" w:styleId="xl32315">
    <w:name w:val="xl32315"/>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color w:val="000000"/>
    </w:rPr>
  </w:style>
  <w:style w:type="paragraph" w:customStyle="1" w:styleId="xl32316">
    <w:name w:val="xl32316"/>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17">
    <w:name w:val="xl32317"/>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18">
    <w:name w:val="xl32318"/>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19">
    <w:name w:val="xl32319"/>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32320">
    <w:name w:val="xl32320"/>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color w:val="000000"/>
    </w:rPr>
  </w:style>
  <w:style w:type="paragraph" w:customStyle="1" w:styleId="xl32321">
    <w:name w:val="xl32321"/>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color w:val="0D0D0D"/>
    </w:rPr>
  </w:style>
  <w:style w:type="numbering" w:customStyle="1" w:styleId="44">
    <w:name w:val="Нет списка4"/>
    <w:next w:val="a7"/>
    <w:uiPriority w:val="99"/>
    <w:semiHidden/>
    <w:unhideWhenUsed/>
  </w:style>
  <w:style w:type="character" w:customStyle="1" w:styleId="apple-converted-space">
    <w:name w:val="apple-converted-space"/>
    <w:basedOn w:val="a5"/>
  </w:style>
  <w:style w:type="character" w:styleId="afff3">
    <w:name w:val="Emphasis"/>
    <w:basedOn w:val="a5"/>
    <w:uiPriority w:val="20"/>
    <w:rPr>
      <w:i/>
      <w:iCs/>
    </w:rPr>
  </w:style>
  <w:style w:type="table" w:customStyle="1" w:styleId="27">
    <w:name w:val="Сетка таблицы2"/>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Текст концевой сноски1"/>
    <w:basedOn w:val="a3"/>
    <w:next w:val="afff4"/>
    <w:link w:val="afff5"/>
    <w:uiPriority w:val="99"/>
    <w:semiHidden/>
    <w:unhideWhenUsed/>
    <w:rPr>
      <w:rFonts w:asciiTheme="minorHAnsi" w:eastAsiaTheme="minorHAnsi" w:hAnsiTheme="minorHAnsi" w:cstheme="minorBidi"/>
      <w:sz w:val="20"/>
      <w:szCs w:val="20"/>
      <w:lang w:eastAsia="en-US"/>
    </w:rPr>
  </w:style>
  <w:style w:type="character" w:customStyle="1" w:styleId="afff5">
    <w:name w:val="Текст концевой сноски Знак"/>
    <w:basedOn w:val="a5"/>
    <w:link w:val="15"/>
    <w:uiPriority w:val="99"/>
    <w:rPr>
      <w:sz w:val="20"/>
      <w:szCs w:val="20"/>
    </w:rPr>
  </w:style>
  <w:style w:type="character" w:styleId="afff6">
    <w:name w:val="endnote reference"/>
    <w:basedOn w:val="a5"/>
    <w:uiPriority w:val="99"/>
    <w:unhideWhenUsed/>
    <w:rPr>
      <w:vertAlign w:val="superscript"/>
    </w:rPr>
  </w:style>
  <w:style w:type="paragraph" w:styleId="afff4">
    <w:name w:val="endnote text"/>
    <w:basedOn w:val="a3"/>
    <w:link w:val="16"/>
    <w:uiPriority w:val="99"/>
    <w:semiHidden/>
    <w:unhideWhenUsed/>
    <w:pPr>
      <w:jc w:val="both"/>
    </w:pPr>
    <w:rPr>
      <w:rFonts w:ascii="PT Astra Serif" w:eastAsiaTheme="minorHAnsi" w:hAnsi="PT Astra Serif" w:cstheme="minorBidi"/>
      <w:sz w:val="20"/>
      <w:szCs w:val="20"/>
      <w:lang w:val="en-US" w:eastAsia="en-US" w:bidi="en-US"/>
    </w:rPr>
  </w:style>
  <w:style w:type="character" w:customStyle="1" w:styleId="16">
    <w:name w:val="Текст концевой сноски Знак1"/>
    <w:basedOn w:val="a5"/>
    <w:link w:val="afff4"/>
    <w:uiPriority w:val="99"/>
    <w:semiHidden/>
    <w:rPr>
      <w:rFonts w:ascii="Times New Roman" w:hAnsi="Times New Roman"/>
      <w:sz w:val="20"/>
      <w:szCs w:val="20"/>
      <w:lang w:val="en-US" w:bidi="en-US"/>
    </w:rPr>
  </w:style>
  <w:style w:type="numbering" w:customStyle="1" w:styleId="54">
    <w:name w:val="Нет списка5"/>
    <w:next w:val="a7"/>
    <w:uiPriority w:val="99"/>
    <w:semiHidden/>
    <w:unhideWhenUsed/>
  </w:style>
  <w:style w:type="character" w:styleId="afff7">
    <w:name w:val="Strong"/>
    <w:uiPriority w:val="22"/>
    <w:rPr>
      <w:b/>
      <w:bCs/>
    </w:rPr>
  </w:style>
  <w:style w:type="table" w:customStyle="1" w:styleId="35">
    <w:name w:val="Сетка таблицы3"/>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wrap">
    <w:name w:val="nowrap"/>
  </w:style>
  <w:style w:type="numbering" w:customStyle="1" w:styleId="62">
    <w:name w:val="Нет списка6"/>
    <w:next w:val="a7"/>
    <w:uiPriority w:val="99"/>
    <w:semiHidden/>
    <w:unhideWhenUsed/>
  </w:style>
  <w:style w:type="numbering" w:customStyle="1" w:styleId="72">
    <w:name w:val="Нет списка7"/>
    <w:next w:val="a7"/>
    <w:uiPriority w:val="99"/>
    <w:semiHidden/>
    <w:unhideWhenUsed/>
  </w:style>
  <w:style w:type="paragraph" w:customStyle="1" w:styleId="afff8">
    <w:name w:val="Заг_сноска в тексте"/>
    <w:basedOn w:val="a3"/>
    <w:pPr>
      <w:jc w:val="both"/>
    </w:pPr>
    <w:rPr>
      <w:rFonts w:ascii="PT Astra Serif" w:hAnsi="PT Astra Serif"/>
      <w:bCs/>
      <w:sz w:val="20"/>
    </w:rPr>
  </w:style>
  <w:style w:type="table" w:customStyle="1" w:styleId="111">
    <w:name w:val="Сетка таблицы11"/>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Текст сноски1"/>
    <w:basedOn w:val="a3"/>
    <w:semiHidden/>
    <w:pPr>
      <w:widowControl w:val="0"/>
      <w:ind w:firstLine="720"/>
      <w:jc w:val="both"/>
    </w:pPr>
    <w:rPr>
      <w:rFonts w:ascii="PT Astra Serif" w:hAnsi="PT Astra Serif"/>
      <w:sz w:val="20"/>
      <w:szCs w:val="20"/>
      <w:lang w:val="en-US"/>
    </w:rPr>
  </w:style>
  <w:style w:type="character" w:customStyle="1" w:styleId="afff9">
    <w:name w:val="Символ сноски"/>
    <w:rPr>
      <w:vertAlign w:val="superscript"/>
    </w:rPr>
  </w:style>
  <w:style w:type="paragraph" w:customStyle="1" w:styleId="Default">
    <w:name w:val="Default"/>
    <w:basedOn w:val="a3"/>
    <w:rPr>
      <w:rFonts w:ascii="PT Astra Serif" w:eastAsia="Calibri" w:hAnsi="PT Astra Serif"/>
      <w:color w:val="000000"/>
      <w:lang w:eastAsia="en-US"/>
    </w:rPr>
  </w:style>
  <w:style w:type="character" w:styleId="afffa">
    <w:name w:val="Placeholder Text"/>
    <w:basedOn w:val="a5"/>
    <w:uiPriority w:val="99"/>
    <w:semiHidden/>
    <w:rPr>
      <w:color w:val="808080"/>
    </w:rPr>
  </w:style>
  <w:style w:type="numbering" w:customStyle="1" w:styleId="82">
    <w:name w:val="Нет списка8"/>
    <w:next w:val="a7"/>
    <w:uiPriority w:val="99"/>
    <w:semiHidden/>
    <w:unhideWhenUsed/>
  </w:style>
  <w:style w:type="table" w:customStyle="1" w:styleId="45">
    <w:name w:val="Сетка таблицы4"/>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6"/>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
    <w:name w:val="Нет списка9"/>
    <w:next w:val="a7"/>
    <w:uiPriority w:val="99"/>
    <w:semiHidden/>
    <w:unhideWhenUsed/>
  </w:style>
  <w:style w:type="table" w:customStyle="1" w:styleId="55">
    <w:name w:val="Сетка таблицы5"/>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0"/>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6"/>
    <w:next w:val="af0"/>
    <w:uiPriority w:val="59"/>
    <w:pPr>
      <w:spacing w:after="0" w:line="240" w:lineRule="auto"/>
    </w:pPr>
    <w:rPr>
      <w:rFonts w:ascii="Calibri" w:eastAsia="Times New Roman" w:hAnsi="Calibri" w:cs="Times New Roman"/>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Гиперссылка1"/>
    <w:basedOn w:val="a5"/>
    <w:uiPriority w:val="99"/>
    <w:unhideWhenUsed/>
    <w:rPr>
      <w:color w:val="0000FF"/>
      <w:u w:val="single"/>
    </w:rPr>
  </w:style>
  <w:style w:type="numbering" w:customStyle="1" w:styleId="100">
    <w:name w:val="Нет списка10"/>
    <w:next w:val="a7"/>
    <w:uiPriority w:val="99"/>
    <w:semiHidden/>
    <w:unhideWhenUsed/>
  </w:style>
  <w:style w:type="table" w:customStyle="1" w:styleId="73">
    <w:name w:val="Сетка таблицы7"/>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a3"/>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PT Astra Serif" w:hAnsi="PT Astra Serif"/>
    </w:rPr>
  </w:style>
  <w:style w:type="paragraph" w:customStyle="1" w:styleId="xl66">
    <w:name w:val="xl66"/>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72">
    <w:name w:val="xl72"/>
    <w:basedOn w:val="a3"/>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jc w:val="center"/>
    </w:pPr>
    <w:rPr>
      <w:rFonts w:ascii="PT Astra Serif" w:hAnsi="PT Astra Serif"/>
      <w:sz w:val="20"/>
      <w:szCs w:val="20"/>
    </w:rPr>
  </w:style>
  <w:style w:type="paragraph" w:customStyle="1" w:styleId="xl73">
    <w:name w:val="xl73"/>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63">
    <w:name w:val="xl63"/>
    <w:basedOn w:val="a3"/>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PT Astra Serif" w:hAnsi="PT Astra Serif"/>
    </w:rPr>
  </w:style>
  <w:style w:type="paragraph" w:customStyle="1" w:styleId="xl64">
    <w:name w:val="xl64"/>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rPr>
  </w:style>
  <w:style w:type="paragraph" w:customStyle="1" w:styleId="xl74">
    <w:name w:val="xl74"/>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PT Astra Serif" w:hAnsi="PT Astra Serif"/>
    </w:rPr>
  </w:style>
  <w:style w:type="paragraph" w:customStyle="1" w:styleId="xl75">
    <w:name w:val="xl75"/>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PT Astra Serif" w:hAnsi="PT Astra Serif"/>
    </w:rPr>
  </w:style>
  <w:style w:type="paragraph" w:customStyle="1" w:styleId="xl76">
    <w:name w:val="xl76"/>
    <w:basedOn w:val="a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PT Astra Serif" w:hAnsi="PT Astra Serif"/>
      <w:sz w:val="20"/>
      <w:szCs w:val="20"/>
    </w:rPr>
  </w:style>
  <w:style w:type="paragraph" w:customStyle="1" w:styleId="xl77">
    <w:name w:val="xl77"/>
    <w:basedOn w:val="a3"/>
    <w:pPr>
      <w:shd w:val="clear" w:color="000000" w:fill="FFFFFF"/>
      <w:spacing w:before="100" w:beforeAutospacing="1" w:after="100" w:afterAutospacing="1"/>
    </w:pPr>
    <w:rPr>
      <w:rFonts w:ascii="PT Astra Serif" w:hAnsi="PT Astra Serif"/>
    </w:rPr>
  </w:style>
  <w:style w:type="paragraph" w:customStyle="1" w:styleId="xl78">
    <w:name w:val="xl78"/>
    <w:basedOn w:val="a3"/>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PT Astra Serif" w:hAnsi="PT Astra Serif"/>
      <w:sz w:val="20"/>
      <w:szCs w:val="20"/>
    </w:rPr>
  </w:style>
  <w:style w:type="paragraph" w:customStyle="1" w:styleId="xl79">
    <w:name w:val="xl79"/>
    <w:basedOn w:val="a3"/>
    <w:pPr>
      <w:pBdr>
        <w:top w:val="single" w:sz="4" w:space="0" w:color="000000"/>
        <w:left w:val="single" w:sz="4" w:space="0" w:color="000000"/>
        <w:bottom w:val="single" w:sz="4" w:space="0" w:color="000000"/>
        <w:right w:val="single" w:sz="8" w:space="0" w:color="000000"/>
      </w:pBdr>
      <w:shd w:val="clear" w:color="000000" w:fill="92D050"/>
      <w:spacing w:before="100" w:beforeAutospacing="1" w:after="100" w:afterAutospacing="1"/>
      <w:jc w:val="center"/>
    </w:pPr>
    <w:rPr>
      <w:rFonts w:ascii="PT Astra Serif" w:hAnsi="PT Astra Serif"/>
      <w:sz w:val="20"/>
      <w:szCs w:val="20"/>
    </w:rPr>
  </w:style>
  <w:style w:type="paragraph" w:customStyle="1" w:styleId="xl80">
    <w:name w:val="xl80"/>
    <w:basedOn w:val="a3"/>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PT Astra Serif" w:hAnsi="PT Astra Serif"/>
      <w:sz w:val="20"/>
      <w:szCs w:val="20"/>
    </w:rPr>
  </w:style>
  <w:style w:type="paragraph" w:customStyle="1" w:styleId="xl81">
    <w:name w:val="xl81"/>
    <w:basedOn w:val="a3"/>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ascii="PT Astra Serif" w:hAnsi="PT Astra Serif"/>
      <w:sz w:val="20"/>
      <w:szCs w:val="20"/>
    </w:rPr>
  </w:style>
  <w:style w:type="paragraph" w:customStyle="1" w:styleId="xl82">
    <w:name w:val="xl82"/>
    <w:basedOn w:val="a3"/>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ascii="PT Astra Serif" w:hAnsi="PT Astra Serif"/>
      <w:sz w:val="20"/>
      <w:szCs w:val="20"/>
    </w:rPr>
  </w:style>
  <w:style w:type="paragraph" w:customStyle="1" w:styleId="xl83">
    <w:name w:val="xl83"/>
    <w:basedOn w:val="a3"/>
    <w:pPr>
      <w:pBdr>
        <w:top w:val="single" w:sz="4" w:space="0" w:color="000000"/>
        <w:left w:val="single" w:sz="4" w:space="0" w:color="000000"/>
        <w:bottom w:val="single" w:sz="8" w:space="0" w:color="000000"/>
        <w:right w:val="single" w:sz="4" w:space="0" w:color="000000"/>
      </w:pBdr>
      <w:spacing w:before="100" w:beforeAutospacing="1" w:after="100" w:afterAutospacing="1"/>
    </w:pPr>
    <w:rPr>
      <w:rFonts w:ascii="PT Astra Serif" w:hAnsi="PT Astra Serif"/>
      <w:sz w:val="20"/>
      <w:szCs w:val="20"/>
    </w:rPr>
  </w:style>
  <w:style w:type="paragraph" w:customStyle="1" w:styleId="xl84">
    <w:name w:val="xl84"/>
    <w:basedOn w:val="a3"/>
    <w:pPr>
      <w:pBdr>
        <w:top w:val="single" w:sz="4" w:space="0" w:color="000000"/>
        <w:left w:val="single" w:sz="4" w:space="0" w:color="000000"/>
        <w:bottom w:val="single" w:sz="8" w:space="0" w:color="000000"/>
        <w:right w:val="single" w:sz="4" w:space="0" w:color="000000"/>
      </w:pBdr>
      <w:shd w:val="clear" w:color="000000" w:fill="92D050"/>
      <w:spacing w:before="100" w:beforeAutospacing="1" w:after="100" w:afterAutospacing="1"/>
      <w:jc w:val="center"/>
    </w:pPr>
    <w:rPr>
      <w:rFonts w:ascii="PT Astra Serif" w:hAnsi="PT Astra Serif"/>
      <w:sz w:val="20"/>
      <w:szCs w:val="20"/>
    </w:rPr>
  </w:style>
  <w:style w:type="paragraph" w:customStyle="1" w:styleId="xl85">
    <w:name w:val="xl85"/>
    <w:basedOn w:val="a3"/>
    <w:pPr>
      <w:pBdr>
        <w:top w:val="single" w:sz="4" w:space="0" w:color="000000"/>
        <w:left w:val="single" w:sz="4" w:space="0" w:color="000000"/>
        <w:bottom w:val="single" w:sz="8" w:space="0" w:color="000000"/>
        <w:right w:val="single" w:sz="8" w:space="0" w:color="000000"/>
      </w:pBdr>
      <w:shd w:val="clear" w:color="000000" w:fill="92D050"/>
      <w:spacing w:before="100" w:beforeAutospacing="1" w:after="100" w:afterAutospacing="1"/>
      <w:jc w:val="center"/>
    </w:pPr>
    <w:rPr>
      <w:rFonts w:ascii="PT Astra Serif" w:hAnsi="PT Astra Serif"/>
      <w:sz w:val="20"/>
      <w:szCs w:val="20"/>
    </w:rPr>
  </w:style>
  <w:style w:type="paragraph" w:customStyle="1" w:styleId="xl86">
    <w:name w:val="xl86"/>
    <w:basedOn w:val="a3"/>
    <w:pPr>
      <w:pBdr>
        <w:top w:val="single" w:sz="8" w:space="0" w:color="000000"/>
        <w:left w:val="single" w:sz="8" w:space="0" w:color="000000"/>
        <w:bottom w:val="single" w:sz="4" w:space="0" w:color="000000"/>
      </w:pBdr>
      <w:spacing w:before="100" w:beforeAutospacing="1" w:after="100" w:afterAutospacing="1"/>
      <w:jc w:val="center"/>
    </w:pPr>
    <w:rPr>
      <w:rFonts w:ascii="PT Astra Serif" w:hAnsi="PT Astra Serif"/>
      <w:b/>
      <w:bCs/>
    </w:rPr>
  </w:style>
  <w:style w:type="paragraph" w:customStyle="1" w:styleId="xl87">
    <w:name w:val="xl87"/>
    <w:basedOn w:val="a3"/>
    <w:pPr>
      <w:pBdr>
        <w:top w:val="single" w:sz="8" w:space="0" w:color="000000"/>
        <w:bottom w:val="single" w:sz="4" w:space="0" w:color="000000"/>
      </w:pBdr>
      <w:spacing w:before="100" w:beforeAutospacing="1" w:after="100" w:afterAutospacing="1"/>
      <w:jc w:val="center"/>
    </w:pPr>
    <w:rPr>
      <w:rFonts w:ascii="PT Astra Serif" w:hAnsi="PT Astra Serif"/>
      <w:b/>
      <w:bCs/>
    </w:rPr>
  </w:style>
  <w:style w:type="paragraph" w:customStyle="1" w:styleId="xl88">
    <w:name w:val="xl88"/>
    <w:basedOn w:val="a3"/>
    <w:pPr>
      <w:pBdr>
        <w:top w:val="single" w:sz="8" w:space="0" w:color="000000"/>
        <w:bottom w:val="single" w:sz="4" w:space="0" w:color="000000"/>
        <w:right w:val="single" w:sz="8" w:space="0" w:color="000000"/>
      </w:pBdr>
      <w:spacing w:before="100" w:beforeAutospacing="1" w:after="100" w:afterAutospacing="1"/>
      <w:jc w:val="center"/>
    </w:pPr>
    <w:rPr>
      <w:rFonts w:ascii="PT Astra Serif" w:hAnsi="PT Astra Serif"/>
      <w:b/>
      <w:bCs/>
    </w:rPr>
  </w:style>
  <w:style w:type="paragraph" w:customStyle="1" w:styleId="xl89">
    <w:name w:val="xl89"/>
    <w:basedOn w:val="a3"/>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PT Astra Serif" w:hAnsi="PT Astra Serif"/>
      <w:sz w:val="20"/>
      <w:szCs w:val="20"/>
    </w:rPr>
  </w:style>
  <w:style w:type="paragraph" w:customStyle="1" w:styleId="xl90">
    <w:name w:val="xl90"/>
    <w:basedOn w:val="a3"/>
    <w:pPr>
      <w:pBdr>
        <w:top w:val="single" w:sz="4" w:space="0" w:color="000000"/>
        <w:left w:val="single" w:sz="4" w:space="0" w:color="000000"/>
        <w:right w:val="single" w:sz="4" w:space="0" w:color="000000"/>
      </w:pBdr>
      <w:spacing w:before="100" w:beforeAutospacing="1" w:after="100" w:afterAutospacing="1"/>
      <w:jc w:val="center"/>
    </w:pPr>
    <w:rPr>
      <w:rFonts w:ascii="PT Astra Serif" w:hAnsi="PT Astra Serif"/>
      <w:b/>
      <w:bCs/>
      <w:sz w:val="20"/>
      <w:szCs w:val="20"/>
    </w:rPr>
  </w:style>
  <w:style w:type="paragraph" w:customStyle="1" w:styleId="xl91">
    <w:name w:val="xl91"/>
    <w:basedOn w:val="a3"/>
    <w:pPr>
      <w:pBdr>
        <w:top w:val="single" w:sz="4" w:space="0" w:color="000000"/>
        <w:left w:val="single" w:sz="8" w:space="0" w:color="000000"/>
        <w:right w:val="single" w:sz="4" w:space="0" w:color="000000"/>
      </w:pBdr>
      <w:spacing w:before="100" w:beforeAutospacing="1" w:after="100" w:afterAutospacing="1"/>
      <w:jc w:val="center"/>
    </w:pPr>
    <w:rPr>
      <w:rFonts w:ascii="PT Astra Serif" w:hAnsi="PT Astra Serif"/>
      <w:sz w:val="20"/>
      <w:szCs w:val="20"/>
    </w:rPr>
  </w:style>
  <w:style w:type="paragraph" w:customStyle="1" w:styleId="xl92">
    <w:name w:val="xl92"/>
    <w:basedOn w:val="a3"/>
    <w:pPr>
      <w:pBdr>
        <w:top w:val="single" w:sz="4" w:space="0" w:color="000000"/>
        <w:left w:val="single" w:sz="4" w:space="0" w:color="000000"/>
        <w:right w:val="single" w:sz="8" w:space="0" w:color="000000"/>
      </w:pBdr>
      <w:spacing w:before="100" w:beforeAutospacing="1" w:after="100" w:afterAutospacing="1"/>
      <w:jc w:val="center"/>
    </w:pPr>
    <w:rPr>
      <w:rFonts w:ascii="PT Astra Serif" w:hAnsi="PT Astra Serif"/>
      <w:sz w:val="20"/>
      <w:szCs w:val="20"/>
    </w:rPr>
  </w:style>
  <w:style w:type="paragraph" w:customStyle="1" w:styleId="xl93">
    <w:name w:val="xl93"/>
    <w:basedOn w:val="a3"/>
    <w:pPr>
      <w:pBdr>
        <w:top w:val="single" w:sz="8" w:space="0" w:color="000000"/>
        <w:left w:val="single" w:sz="8" w:space="0" w:color="000000"/>
      </w:pBdr>
      <w:spacing w:before="100" w:beforeAutospacing="1" w:after="100" w:afterAutospacing="1"/>
      <w:jc w:val="center"/>
    </w:pPr>
    <w:rPr>
      <w:rFonts w:ascii="PT Astra Serif" w:hAnsi="PT Astra Serif"/>
      <w:b/>
      <w:bCs/>
    </w:rPr>
  </w:style>
  <w:style w:type="paragraph" w:customStyle="1" w:styleId="xl94">
    <w:name w:val="xl94"/>
    <w:basedOn w:val="a3"/>
    <w:pPr>
      <w:pBdr>
        <w:top w:val="single" w:sz="8" w:space="0" w:color="000000"/>
      </w:pBdr>
      <w:spacing w:before="100" w:beforeAutospacing="1" w:after="100" w:afterAutospacing="1"/>
      <w:jc w:val="center"/>
    </w:pPr>
    <w:rPr>
      <w:rFonts w:ascii="PT Astra Serif" w:hAnsi="PT Astra Serif"/>
      <w:b/>
      <w:bCs/>
    </w:rPr>
  </w:style>
  <w:style w:type="paragraph" w:customStyle="1" w:styleId="xl95">
    <w:name w:val="xl95"/>
    <w:basedOn w:val="a3"/>
    <w:pPr>
      <w:pBdr>
        <w:top w:val="single" w:sz="8" w:space="0" w:color="000000"/>
        <w:right w:val="single" w:sz="8" w:space="0" w:color="000000"/>
      </w:pBdr>
      <w:spacing w:before="100" w:beforeAutospacing="1" w:after="100" w:afterAutospacing="1"/>
      <w:jc w:val="center"/>
    </w:pPr>
    <w:rPr>
      <w:rFonts w:ascii="PT Astra Serif" w:hAnsi="PT Astra Serif"/>
      <w:b/>
      <w:bCs/>
    </w:rPr>
  </w:style>
  <w:style w:type="paragraph" w:customStyle="1" w:styleId="xl96">
    <w:name w:val="xl96"/>
    <w:basedOn w:val="a3"/>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PT Astra Serif" w:hAnsi="PT Astra Serif"/>
      <w:sz w:val="20"/>
      <w:szCs w:val="20"/>
    </w:rPr>
  </w:style>
  <w:style w:type="paragraph" w:customStyle="1" w:styleId="xl97">
    <w:name w:val="xl97"/>
    <w:basedOn w:val="a3"/>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PT Astra Serif" w:hAnsi="PT Astra Serif"/>
      <w:sz w:val="20"/>
      <w:szCs w:val="20"/>
    </w:rPr>
  </w:style>
  <w:style w:type="paragraph" w:customStyle="1" w:styleId="xl98">
    <w:name w:val="xl98"/>
    <w:basedOn w:val="a3"/>
    <w:pPr>
      <w:pBdr>
        <w:top w:val="single" w:sz="8" w:space="0" w:color="000000"/>
        <w:left w:val="single" w:sz="4" w:space="0" w:color="000000"/>
        <w:bottom w:val="single" w:sz="4" w:space="0" w:color="000000"/>
        <w:right w:val="single" w:sz="4" w:space="0" w:color="000000"/>
      </w:pBdr>
      <w:spacing w:before="100" w:beforeAutospacing="1" w:after="100" w:afterAutospacing="1"/>
    </w:pPr>
    <w:rPr>
      <w:rFonts w:ascii="PT Astra Serif" w:hAnsi="PT Astra Serif"/>
      <w:sz w:val="20"/>
      <w:szCs w:val="20"/>
    </w:rPr>
  </w:style>
  <w:style w:type="paragraph" w:customStyle="1" w:styleId="xl99">
    <w:name w:val="xl99"/>
    <w:basedOn w:val="a3"/>
    <w:pPr>
      <w:pBdr>
        <w:top w:val="single" w:sz="8" w:space="0" w:color="000000"/>
      </w:pBdr>
      <w:spacing w:before="100" w:beforeAutospacing="1" w:after="100" w:afterAutospacing="1"/>
    </w:pPr>
    <w:rPr>
      <w:rFonts w:ascii="PT Astra Serif" w:hAnsi="PT Astra Serif"/>
      <w:b/>
      <w:bCs/>
    </w:rPr>
  </w:style>
  <w:style w:type="paragraph" w:customStyle="1" w:styleId="xl100">
    <w:name w:val="xl100"/>
    <w:basedOn w:val="a3"/>
    <w:pPr>
      <w:pBdr>
        <w:top w:val="single" w:sz="8" w:space="0" w:color="000000"/>
        <w:left w:val="single" w:sz="4" w:space="0" w:color="000000"/>
        <w:bottom w:val="single" w:sz="4" w:space="0" w:color="000000"/>
        <w:right w:val="single" w:sz="8" w:space="0" w:color="000000"/>
      </w:pBdr>
      <w:spacing w:before="100" w:beforeAutospacing="1" w:after="100" w:afterAutospacing="1"/>
      <w:jc w:val="center"/>
    </w:pPr>
    <w:rPr>
      <w:rFonts w:ascii="PT Astra Serif" w:hAnsi="PT Astra Serif"/>
      <w:sz w:val="20"/>
      <w:szCs w:val="20"/>
    </w:rPr>
  </w:style>
  <w:style w:type="paragraph" w:customStyle="1" w:styleId="xl101">
    <w:name w:val="xl101"/>
    <w:basedOn w:val="a3"/>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PT Astra Serif" w:hAnsi="PT Astra Serif"/>
      <w:sz w:val="20"/>
      <w:szCs w:val="20"/>
    </w:rPr>
  </w:style>
  <w:style w:type="paragraph" w:customStyle="1" w:styleId="xl102">
    <w:name w:val="xl102"/>
    <w:basedOn w:val="a3"/>
    <w:pPr>
      <w:pBdr>
        <w:top w:val="single" w:sz="4" w:space="0" w:color="000000"/>
        <w:left w:val="single" w:sz="8" w:space="0" w:color="000000"/>
        <w:bottom w:val="single" w:sz="4" w:space="0" w:color="000000"/>
        <w:right w:val="single" w:sz="4" w:space="0" w:color="000000"/>
      </w:pBdr>
      <w:shd w:val="clear" w:color="000000" w:fill="FFFF00"/>
      <w:spacing w:before="100" w:beforeAutospacing="1" w:after="100" w:afterAutospacing="1"/>
      <w:jc w:val="center"/>
    </w:pPr>
    <w:rPr>
      <w:rFonts w:ascii="PT Astra Serif" w:hAnsi="PT Astra Serif"/>
      <w:sz w:val="20"/>
      <w:szCs w:val="20"/>
    </w:rPr>
  </w:style>
  <w:style w:type="paragraph" w:customStyle="1" w:styleId="xl103">
    <w:name w:val="xl103"/>
    <w:basedOn w:val="a3"/>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pPr>
    <w:rPr>
      <w:rFonts w:ascii="PT Astra Serif" w:hAnsi="PT Astra Serif"/>
      <w:sz w:val="20"/>
      <w:szCs w:val="20"/>
    </w:rPr>
  </w:style>
  <w:style w:type="paragraph" w:customStyle="1" w:styleId="afffb">
    <w:name w:val="Заг_осн.текст_формула"/>
    <w:basedOn w:val="a4"/>
    <w:pPr>
      <w:spacing w:before="120" w:after="120"/>
      <w:ind w:firstLine="0"/>
      <w:jc w:val="right"/>
    </w:pPr>
  </w:style>
  <w:style w:type="character" w:customStyle="1" w:styleId="i2">
    <w:name w:val="i2"/>
    <w:rPr>
      <w:rFonts w:ascii="Georgia" w:hAnsi="Georgia" w:hint="default"/>
      <w:i/>
      <w:iCs/>
    </w:rPr>
  </w:style>
  <w:style w:type="paragraph" w:customStyle="1" w:styleId="19">
    <w:name w:val="к¤Ќ‰ÿÕÚ¾1"/>
    <w:basedOn w:val="a3"/>
    <w:link w:val="afffc"/>
    <w:qFormat/>
    <w:pPr>
      <w:jc w:val="center"/>
    </w:pPr>
    <w:rPr>
      <w:rFonts w:ascii="PT Astra Serif" w:hAnsi="PT Astra Serif"/>
      <w:b/>
      <w:bCs/>
    </w:rPr>
  </w:style>
  <w:style w:type="character" w:customStyle="1" w:styleId="afffc">
    <w:name w:val="к¤Ќ‰ÿÕÚ¾ ‚Õÿ¬"/>
    <w:link w:val="19"/>
    <w:rPr>
      <w:rFonts w:ascii="Times New Roman" w:eastAsia="Times New Roman" w:hAnsi="Times New Roman" w:cs="Times New Roman"/>
      <w:b/>
      <w:bCs/>
      <w:sz w:val="24"/>
      <w:szCs w:val="24"/>
      <w:lang w:eastAsia="ru-RU"/>
    </w:rPr>
  </w:style>
  <w:style w:type="paragraph" w:styleId="28">
    <w:name w:val="Body Text Indent 2"/>
    <w:basedOn w:val="a3"/>
    <w:link w:val="29"/>
    <w:uiPriority w:val="99"/>
    <w:semiHidden/>
    <w:unhideWhenUsed/>
    <w:pPr>
      <w:spacing w:after="120" w:line="480" w:lineRule="auto"/>
      <w:ind w:left="283"/>
    </w:pPr>
    <w:rPr>
      <w:rFonts w:ascii="Calibri" w:hAnsi="Calibri"/>
      <w:sz w:val="22"/>
      <w:szCs w:val="22"/>
    </w:rPr>
  </w:style>
  <w:style w:type="character" w:customStyle="1" w:styleId="29">
    <w:name w:val="Основной текст с отступом 2 Знак"/>
    <w:basedOn w:val="a5"/>
    <w:link w:val="28"/>
    <w:uiPriority w:val="99"/>
    <w:semiHidden/>
    <w:rPr>
      <w:rFonts w:ascii="Calibri" w:eastAsia="Times New Roman" w:hAnsi="Calibri" w:cs="Times New Roman"/>
      <w:lang w:eastAsia="ru-RU"/>
    </w:rPr>
  </w:style>
  <w:style w:type="paragraph" w:styleId="36">
    <w:name w:val="Body Text Indent 3"/>
    <w:basedOn w:val="a3"/>
    <w:link w:val="37"/>
    <w:uiPriority w:val="99"/>
    <w:unhideWhenUsed/>
    <w:pPr>
      <w:spacing w:after="120" w:line="276" w:lineRule="auto"/>
      <w:ind w:left="283"/>
    </w:pPr>
    <w:rPr>
      <w:rFonts w:ascii="Calibri" w:hAnsi="Calibri"/>
      <w:sz w:val="16"/>
      <w:szCs w:val="16"/>
    </w:rPr>
  </w:style>
  <w:style w:type="character" w:customStyle="1" w:styleId="37">
    <w:name w:val="Основной текст с отступом 3 Знак"/>
    <w:basedOn w:val="a5"/>
    <w:link w:val="36"/>
    <w:uiPriority w:val="99"/>
    <w:rPr>
      <w:rFonts w:ascii="Calibri" w:eastAsia="Times New Roman" w:hAnsi="Calibri" w:cs="Times New Roman"/>
      <w:sz w:val="16"/>
      <w:szCs w:val="16"/>
      <w:lang w:eastAsia="ru-RU"/>
    </w:rPr>
  </w:style>
  <w:style w:type="paragraph" w:styleId="2a">
    <w:name w:val="Body Text 2"/>
    <w:basedOn w:val="a3"/>
    <w:link w:val="2b"/>
    <w:uiPriority w:val="99"/>
    <w:unhideWhenUsed/>
    <w:pPr>
      <w:spacing w:after="120" w:line="480" w:lineRule="auto"/>
    </w:pPr>
    <w:rPr>
      <w:rFonts w:ascii="Calibri" w:hAnsi="Calibri"/>
      <w:sz w:val="22"/>
      <w:szCs w:val="22"/>
    </w:rPr>
  </w:style>
  <w:style w:type="character" w:customStyle="1" w:styleId="2b">
    <w:name w:val="Основной текст 2 Знак"/>
    <w:basedOn w:val="a5"/>
    <w:link w:val="2a"/>
    <w:uiPriority w:val="99"/>
    <w:rPr>
      <w:rFonts w:ascii="Calibri" w:eastAsia="Times New Roman" w:hAnsi="Calibri" w:cs="Times New Roman"/>
      <w:lang w:eastAsia="ru-RU"/>
    </w:rPr>
  </w:style>
  <w:style w:type="paragraph" w:styleId="38">
    <w:name w:val="Body Text 3"/>
    <w:basedOn w:val="a3"/>
    <w:link w:val="39"/>
    <w:uiPriority w:val="99"/>
    <w:unhideWhenUsed/>
    <w:pPr>
      <w:spacing w:after="120" w:line="276" w:lineRule="auto"/>
    </w:pPr>
    <w:rPr>
      <w:rFonts w:ascii="Calibri" w:hAnsi="Calibri"/>
      <w:sz w:val="16"/>
      <w:szCs w:val="16"/>
    </w:rPr>
  </w:style>
  <w:style w:type="character" w:customStyle="1" w:styleId="39">
    <w:name w:val="Основной текст 3 Знак"/>
    <w:basedOn w:val="a5"/>
    <w:link w:val="38"/>
    <w:uiPriority w:val="99"/>
    <w:rPr>
      <w:rFonts w:ascii="Calibri" w:eastAsia="Times New Roman" w:hAnsi="Calibri" w:cs="Times New Roman"/>
      <w:sz w:val="16"/>
      <w:szCs w:val="16"/>
      <w:lang w:eastAsia="ru-RU"/>
    </w:rPr>
  </w:style>
  <w:style w:type="character" w:styleId="afffd">
    <w:name w:val="page number"/>
    <w:basedOn w:val="a5"/>
    <w:rPr>
      <w:rFonts w:cs="Times New Roman"/>
    </w:rPr>
  </w:style>
  <w:style w:type="table" w:customStyle="1" w:styleId="1a">
    <w:name w:val="„Њ¬ÿ ÿ‡ÔÚ½Ì1"/>
    <w:basedOn w:val="a6"/>
    <w:next w:val="af0"/>
    <w:uiPriority w:val="5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e">
    <w:name w:val="л–’”‰ÕÓË ¾¬Ð (ÓÐÕÓ‰ÕÓË Õÿ‡Ó_)"/>
    <w:basedOn w:val="a3"/>
    <w:uiPriority w:val="99"/>
    <w:pPr>
      <w:widowControl w:val="0"/>
      <w:tabs>
        <w:tab w:val="left" w:pos="567"/>
      </w:tabs>
      <w:spacing w:line="228" w:lineRule="atLeast"/>
      <w:ind w:firstLine="283"/>
      <w:jc w:val="both"/>
    </w:pPr>
    <w:rPr>
      <w:rFonts w:ascii="Petersburg" w:hAnsi="Petersburg" w:cs="Petersburg"/>
      <w:color w:val="000000"/>
      <w:sz w:val="21"/>
      <w:szCs w:val="21"/>
    </w:rPr>
  </w:style>
  <w:style w:type="paragraph" w:customStyle="1" w:styleId="headertext">
    <w:name w:val="headertext"/>
    <w:basedOn w:val="a3"/>
    <w:pPr>
      <w:spacing w:before="100" w:beforeAutospacing="1" w:after="100" w:afterAutospacing="1"/>
    </w:pPr>
    <w:rPr>
      <w:rFonts w:ascii="PT Astra Serif" w:hAnsi="PT Astra Serif"/>
    </w:rPr>
  </w:style>
  <w:style w:type="paragraph" w:customStyle="1" w:styleId="formattext">
    <w:name w:val="formattext"/>
    <w:basedOn w:val="a3"/>
    <w:qFormat/>
    <w:pPr>
      <w:spacing w:before="100" w:beforeAutospacing="1" w:after="100" w:afterAutospacing="1"/>
    </w:pPr>
    <w:rPr>
      <w:rFonts w:ascii="PT Astra Serif" w:hAnsi="PT Astra Serif"/>
    </w:rPr>
  </w:style>
  <w:style w:type="character" w:customStyle="1" w:styleId="match">
    <w:name w:val="match"/>
    <w:basedOn w:val="a5"/>
    <w:rPr>
      <w:rFonts w:cs="Times New Roman"/>
    </w:rPr>
  </w:style>
  <w:style w:type="paragraph" w:customStyle="1" w:styleId="Pa1">
    <w:name w:val="Pa1"/>
    <w:basedOn w:val="a3"/>
    <w:next w:val="a3"/>
    <w:uiPriority w:val="99"/>
    <w:pPr>
      <w:spacing w:line="181" w:lineRule="atLeast"/>
    </w:pPr>
    <w:rPr>
      <w:rFonts w:ascii="BalticaC" w:hAnsi="BalticaC"/>
      <w:lang w:eastAsia="en-US"/>
    </w:rPr>
  </w:style>
  <w:style w:type="character" w:customStyle="1" w:styleId="A00">
    <w:name w:val="A0"/>
    <w:uiPriority w:val="99"/>
    <w:rPr>
      <w:color w:val="000000"/>
      <w:sz w:val="16"/>
    </w:rPr>
  </w:style>
  <w:style w:type="character" w:customStyle="1" w:styleId="s10">
    <w:name w:val="s_10"/>
  </w:style>
  <w:style w:type="character" w:customStyle="1" w:styleId="pathseparator">
    <w:name w:val="path__separator"/>
    <w:basedOn w:val="a5"/>
    <w:rPr>
      <w:rFonts w:cs="Times New Roman"/>
    </w:rPr>
  </w:style>
  <w:style w:type="character" w:customStyle="1" w:styleId="1b">
    <w:name w:val="кЊ_¤Ќ_ЊїЊ’’”Њ —•”“Џ’¤’ЏЊ1"/>
    <w:basedOn w:val="a5"/>
    <w:uiPriority w:val="99"/>
    <w:semiHidden/>
    <w:unhideWhenUsed/>
    <w:rPr>
      <w:rFonts w:cs="Times New Roman"/>
      <w:color w:val="808080"/>
      <w:shd w:val="clear" w:color="auto" w:fill="E6E6E6"/>
    </w:rPr>
  </w:style>
  <w:style w:type="character" w:customStyle="1" w:styleId="1c">
    <w:name w:val="Неразрешенное упоминание1"/>
    <w:basedOn w:val="a5"/>
    <w:uiPriority w:val="99"/>
    <w:semiHidden/>
    <w:unhideWhenUsed/>
    <w:rPr>
      <w:color w:val="808080"/>
      <w:shd w:val="clear" w:color="auto" w:fill="E6E6E6"/>
    </w:rPr>
  </w:style>
  <w:style w:type="paragraph" w:styleId="HTML">
    <w:name w:val="HTML Preformatted"/>
    <w:basedOn w:val="a3"/>
    <w:link w:val="HTML0"/>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rPr>
      <w:rFonts w:ascii="Courier New" w:eastAsia="Times New Roman" w:hAnsi="Courier New" w:cs="Courier New"/>
      <w:sz w:val="20"/>
      <w:szCs w:val="20"/>
      <w:lang w:eastAsia="ru-RU"/>
    </w:rPr>
  </w:style>
  <w:style w:type="table" w:customStyle="1" w:styleId="-110">
    <w:name w:val="Таблица-сетка 1 светлая1"/>
    <w:basedOn w:val="a6"/>
    <w:uiPriority w:val="99"/>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40">
    <w:name w:val="Сетка таблицы14"/>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s-slide-title">
    <w:name w:val="js-slide-title"/>
    <w:basedOn w:val="a5"/>
  </w:style>
  <w:style w:type="character" w:customStyle="1" w:styleId="2c">
    <w:name w:val="Неразрешенное упоминание2"/>
    <w:basedOn w:val="a5"/>
    <w:uiPriority w:val="99"/>
    <w:semiHidden/>
    <w:unhideWhenUsed/>
    <w:rPr>
      <w:color w:val="605E5C"/>
      <w:shd w:val="clear" w:color="auto" w:fill="E1DFDD"/>
    </w:rPr>
  </w:style>
  <w:style w:type="character" w:customStyle="1" w:styleId="3a">
    <w:name w:val="Неразрешенное упоминание3"/>
    <w:basedOn w:val="a5"/>
    <w:uiPriority w:val="99"/>
    <w:semiHidden/>
    <w:unhideWhenUsed/>
    <w:rPr>
      <w:color w:val="605E5C"/>
      <w:shd w:val="clear" w:color="auto" w:fill="E1DFDD"/>
    </w:rPr>
  </w:style>
  <w:style w:type="character" w:customStyle="1" w:styleId="aff1">
    <w:name w:val="Заголовок рисунок Знак"/>
    <w:link w:val="aff0"/>
    <w:rPr>
      <w:rFonts w:ascii="PT Astra Serif" w:eastAsia="Times New Roman" w:hAnsi="PT Astra Serif" w:cs="Times New Roman"/>
      <w:bCs/>
      <w:sz w:val="28"/>
      <w:szCs w:val="24"/>
      <w:lang w:eastAsia="ar-SA"/>
    </w:rPr>
  </w:style>
  <w:style w:type="paragraph" w:customStyle="1" w:styleId="affff">
    <w:name w:val="Содержимое таблицы"/>
    <w:basedOn w:val="a3"/>
    <w:pPr>
      <w:widowControl w:val="0"/>
      <w:suppressLineNumbers/>
    </w:pPr>
    <w:rPr>
      <w:rFonts w:ascii="PT Astra Serif" w:eastAsia="DejaVu Sans" w:hAnsi="PT Astra Serif"/>
    </w:rPr>
  </w:style>
  <w:style w:type="paragraph" w:styleId="affff0">
    <w:name w:val="No Spacing"/>
    <w:link w:val="affff1"/>
    <w:uiPriority w:val="1"/>
    <w:qFormat/>
    <w:pPr>
      <w:spacing w:after="0" w:line="240" w:lineRule="auto"/>
    </w:pPr>
    <w:rPr>
      <w:rFonts w:ascii="Calibri" w:eastAsia="Arial" w:hAnsi="Calibri" w:cs="Times New Roman"/>
      <w:sz w:val="20"/>
      <w:szCs w:val="20"/>
      <w:lang w:val="en-US" w:eastAsia="ru-RU" w:bidi="en-US"/>
    </w:rPr>
  </w:style>
  <w:style w:type="character" w:customStyle="1" w:styleId="affff1">
    <w:name w:val="Без интервала Знак"/>
    <w:link w:val="affff0"/>
    <w:uiPriority w:val="1"/>
    <w:rPr>
      <w:rFonts w:ascii="Calibri" w:eastAsia="Arial" w:hAnsi="Calibri" w:cs="Times New Roman"/>
      <w:sz w:val="20"/>
      <w:szCs w:val="20"/>
      <w:lang w:val="en-US" w:eastAsia="ru-RU" w:bidi="en-US"/>
    </w:rPr>
  </w:style>
  <w:style w:type="numbering" w:customStyle="1" w:styleId="1">
    <w:name w:val="Импортированный стиль 1"/>
    <w:pPr>
      <w:numPr>
        <w:numId w:val="3"/>
      </w:numPr>
    </w:pPr>
  </w:style>
  <w:style w:type="character" w:customStyle="1" w:styleId="ei1">
    <w:name w:val="ei1"/>
    <w:basedOn w:val="a5"/>
  </w:style>
  <w:style w:type="character" w:customStyle="1" w:styleId="mw-headline">
    <w:name w:val="mw-headline"/>
    <w:basedOn w:val="a5"/>
  </w:style>
  <w:style w:type="character" w:customStyle="1" w:styleId="mw-editsection">
    <w:name w:val="mw-editsection"/>
    <w:basedOn w:val="a5"/>
  </w:style>
  <w:style w:type="character" w:customStyle="1" w:styleId="mw-editsection-bracket">
    <w:name w:val="mw-editsection-bracket"/>
    <w:basedOn w:val="a5"/>
  </w:style>
  <w:style w:type="character" w:customStyle="1" w:styleId="mw-editsection-divider">
    <w:name w:val="mw-editsection-divider"/>
    <w:basedOn w:val="a5"/>
  </w:style>
  <w:style w:type="character" w:styleId="HTML1">
    <w:name w:val="HTML Typewriter"/>
    <w:uiPriority w:val="99"/>
    <w:semiHidden/>
    <w:unhideWhenUsed/>
    <w:rPr>
      <w:rFonts w:ascii="Courier New" w:eastAsia="Calibri" w:hAnsi="Courier New" w:cs="Courier New" w:hint="default"/>
      <w:sz w:val="20"/>
      <w:szCs w:val="20"/>
    </w:rPr>
  </w:style>
  <w:style w:type="paragraph" w:customStyle="1" w:styleId="Paragraph">
    <w:name w:val="Paragraph"/>
    <w:basedOn w:val="af4"/>
    <w:link w:val="Paragraph0"/>
    <w:qFormat/>
    <w:pPr>
      <w:spacing w:after="0" w:line="360" w:lineRule="auto"/>
      <w:ind w:firstLine="709"/>
    </w:pPr>
    <w:rPr>
      <w:rFonts w:eastAsia="Calibri"/>
      <w:lang w:bidi="ar-SA"/>
    </w:rPr>
  </w:style>
  <w:style w:type="character" w:customStyle="1" w:styleId="Paragraph0">
    <w:name w:val="Paragraph Знак"/>
    <w:link w:val="Paragraph"/>
    <w:rPr>
      <w:rFonts w:ascii="Times New Roman" w:eastAsia="Calibri" w:hAnsi="Times New Roman" w:cs="Times New Roman"/>
      <w:sz w:val="24"/>
      <w:szCs w:val="24"/>
    </w:rPr>
  </w:style>
  <w:style w:type="paragraph" w:customStyle="1" w:styleId="affff2">
    <w:name w:val="Заг_осн. текст с отступом"/>
    <w:basedOn w:val="a4"/>
    <w:uiPriority w:val="99"/>
    <w:qFormat/>
    <w:pPr>
      <w:ind w:left="709" w:firstLine="0"/>
    </w:pPr>
    <w:rPr>
      <w:sz w:val="22"/>
    </w:rPr>
  </w:style>
  <w:style w:type="paragraph" w:customStyle="1" w:styleId="affff3">
    <w:name w:val="Заг_текст_рисунок"/>
    <w:basedOn w:val="a3"/>
    <w:uiPriority w:val="99"/>
    <w:qFormat/>
    <w:pPr>
      <w:spacing w:before="240" w:after="120"/>
      <w:jc w:val="center"/>
    </w:pPr>
    <w:rPr>
      <w:rFonts w:ascii="PT Astra Serif" w:hAnsi="PT Astra Serif"/>
      <w:lang w:eastAsia="ar-SA"/>
    </w:rPr>
  </w:style>
  <w:style w:type="character" w:customStyle="1" w:styleId="affff4">
    <w:name w:val="Заг_текст_табл Знак"/>
    <w:link w:val="affff5"/>
    <w:rPr>
      <w:rFonts w:ascii="PT Astra Serif" w:eastAsia="Times New Roman" w:hAnsi="PT Astra Serif" w:cs="Times New Roman"/>
      <w:sz w:val="24"/>
      <w:szCs w:val="24"/>
      <w:lang w:eastAsia="ar-SA"/>
    </w:rPr>
  </w:style>
  <w:style w:type="paragraph" w:customStyle="1" w:styleId="affff5">
    <w:name w:val="Заг_текст_табл"/>
    <w:basedOn w:val="a3"/>
    <w:link w:val="affff4"/>
    <w:qFormat/>
    <w:rPr>
      <w:rFonts w:ascii="PT Astra Serif" w:hAnsi="PT Astra Serif"/>
      <w:lang w:eastAsia="ar-SA"/>
    </w:rPr>
  </w:style>
  <w:style w:type="paragraph" w:customStyle="1" w:styleId="affff6">
    <w:name w:val="Заголовок таблицы_НОМЕР"/>
    <w:basedOn w:val="aff"/>
    <w:uiPriority w:val="99"/>
    <w:qFormat/>
    <w:pPr>
      <w:spacing w:after="0" w:line="276" w:lineRule="auto"/>
      <w:jc w:val="right"/>
    </w:pPr>
    <w:rPr>
      <w:rFonts w:eastAsia="Calibri"/>
      <w:i/>
      <w:lang w:val="ru-RU" w:eastAsia="en-US" w:bidi="ar-SA"/>
    </w:rPr>
  </w:style>
  <w:style w:type="character" w:customStyle="1" w:styleId="1d">
    <w:name w:val="Текст сноски Знак1"/>
    <w:rPr>
      <w:sz w:val="20"/>
      <w:szCs w:val="20"/>
    </w:rPr>
  </w:style>
  <w:style w:type="character" w:customStyle="1" w:styleId="1e">
    <w:name w:val="Верхний колонтитул Знак1"/>
    <w:basedOn w:val="a5"/>
    <w:uiPriority w:val="99"/>
    <w:semiHidden/>
    <w:rPr>
      <w:rFonts w:ascii="Times New Roman" w:eastAsia="Times New Roman" w:hAnsi="Times New Roman" w:cs="Times New Roman"/>
      <w:sz w:val="20"/>
      <w:szCs w:val="20"/>
      <w:lang w:eastAsia="ar-SA"/>
    </w:rPr>
  </w:style>
  <w:style w:type="paragraph" w:customStyle="1" w:styleId="ConsNormal">
    <w:name w:val="ConsNormal"/>
    <w:uiPriority w:val="99"/>
    <w:pPr>
      <w:widowControl w:val="0"/>
      <w:spacing w:after="0" w:line="240" w:lineRule="auto"/>
      <w:ind w:firstLine="720"/>
    </w:pPr>
    <w:rPr>
      <w:rFonts w:ascii="Arial" w:eastAsia="Times New Roman" w:hAnsi="Arial" w:cs="Arial"/>
      <w:sz w:val="20"/>
      <w:szCs w:val="20"/>
      <w:lang w:eastAsia="ru-RU"/>
    </w:rPr>
  </w:style>
  <w:style w:type="paragraph" w:customStyle="1" w:styleId="affff7">
    <w:name w:val="Основной текст (основной набор)"/>
    <w:basedOn w:val="a3"/>
    <w:uiPriority w:val="99"/>
    <w:pPr>
      <w:widowControl w:val="0"/>
      <w:tabs>
        <w:tab w:val="left" w:pos="567"/>
      </w:tabs>
      <w:spacing w:line="228" w:lineRule="atLeast"/>
      <w:ind w:firstLine="283"/>
      <w:jc w:val="both"/>
    </w:pPr>
    <w:rPr>
      <w:rFonts w:ascii="Petersburg" w:hAnsi="Petersburg" w:cs="Petersburg"/>
      <w:color w:val="000000"/>
      <w:sz w:val="21"/>
      <w:szCs w:val="21"/>
    </w:rPr>
  </w:style>
  <w:style w:type="paragraph" w:customStyle="1" w:styleId="affff8">
    <w:name w:val="Табл. номер (основной набор:Таблица)"/>
    <w:basedOn w:val="a3"/>
    <w:uiPriority w:val="99"/>
    <w:pPr>
      <w:widowControl w:val="0"/>
      <w:spacing w:before="57" w:after="57" w:line="220" w:lineRule="atLeast"/>
      <w:ind w:firstLine="493"/>
      <w:jc w:val="right"/>
    </w:pPr>
    <w:rPr>
      <w:rFonts w:ascii="Petersburg" w:hAnsi="Petersburg" w:cs="Petersburg"/>
      <w:i/>
      <w:iCs/>
      <w:color w:val="000000"/>
      <w:sz w:val="20"/>
      <w:szCs w:val="20"/>
    </w:rPr>
  </w:style>
  <w:style w:type="paragraph" w:customStyle="1" w:styleId="affff9">
    <w:name w:val="Вопросы и задания (основной набор)"/>
    <w:basedOn w:val="a3"/>
    <w:uiPriority w:val="99"/>
    <w:pPr>
      <w:widowControl w:val="0"/>
      <w:tabs>
        <w:tab w:val="left" w:pos="580"/>
        <w:tab w:val="left" w:pos="740"/>
      </w:tabs>
      <w:spacing w:line="206" w:lineRule="atLeast"/>
      <w:ind w:firstLine="283"/>
      <w:jc w:val="both"/>
    </w:pPr>
    <w:rPr>
      <w:rFonts w:ascii="Petersburg" w:hAnsi="Petersburg" w:cs="Petersburg"/>
      <w:color w:val="000000"/>
      <w:sz w:val="19"/>
      <w:szCs w:val="19"/>
    </w:rPr>
  </w:style>
  <w:style w:type="paragraph" w:customStyle="1" w:styleId="affffa">
    <w:name w:val="Табличная шапка (основной набор:Таблица)"/>
    <w:basedOn w:val="a3"/>
    <w:uiPriority w:val="99"/>
    <w:pPr>
      <w:widowControl w:val="0"/>
      <w:spacing w:line="200" w:lineRule="atLeast"/>
      <w:jc w:val="center"/>
    </w:pPr>
    <w:rPr>
      <w:rFonts w:ascii="Petersburg" w:hAnsi="Petersburg" w:cs="Petersburg"/>
      <w:color w:val="000000"/>
      <w:sz w:val="18"/>
      <w:szCs w:val="18"/>
    </w:rPr>
  </w:style>
  <w:style w:type="paragraph" w:customStyle="1" w:styleId="affffb">
    <w:name w:val="Табл. текст (основной набор:Таблица)"/>
    <w:basedOn w:val="a3"/>
    <w:uiPriority w:val="99"/>
    <w:pPr>
      <w:widowControl w:val="0"/>
      <w:spacing w:line="200" w:lineRule="atLeast"/>
    </w:pPr>
    <w:rPr>
      <w:rFonts w:ascii="Petersburg" w:hAnsi="Petersburg" w:cs="Petersburg"/>
      <w:color w:val="000000"/>
      <w:sz w:val="18"/>
      <w:szCs w:val="18"/>
    </w:rPr>
  </w:style>
  <w:style w:type="paragraph" w:customStyle="1" w:styleId="affffc">
    <w:name w:val="[Основной абзац]"/>
    <w:basedOn w:val="a3"/>
    <w:uiPriority w:val="99"/>
    <w:pPr>
      <w:widowControl w:val="0"/>
      <w:spacing w:line="288" w:lineRule="auto"/>
    </w:pPr>
    <w:rPr>
      <w:rFonts w:ascii="Minion Pro" w:hAnsi="Minion Pro" w:cs="Minion Pro"/>
      <w:color w:val="000000"/>
    </w:rPr>
  </w:style>
  <w:style w:type="paragraph" w:customStyle="1" w:styleId="1111">
    <w:name w:val="1.1.1.1. (навигация по книге)"/>
    <w:basedOn w:val="a3"/>
    <w:uiPriority w:val="99"/>
    <w:pPr>
      <w:keepNext/>
      <w:keepLines/>
      <w:widowControl w:val="0"/>
      <w:spacing w:before="113" w:after="57" w:line="226" w:lineRule="atLeast"/>
      <w:jc w:val="center"/>
    </w:pPr>
    <w:rPr>
      <w:rFonts w:ascii="Petersburg" w:hAnsi="Petersburg" w:cs="Petersburg"/>
      <w:b/>
      <w:bCs/>
      <w:color w:val="000000"/>
      <w:sz w:val="21"/>
      <w:szCs w:val="21"/>
    </w:rPr>
  </w:style>
  <w:style w:type="paragraph" w:customStyle="1" w:styleId="affffd">
    <w:name w:val="Шмуц Текст (навигация по книге)"/>
    <w:basedOn w:val="a3"/>
    <w:uiPriority w:val="99"/>
    <w:pPr>
      <w:keepNext/>
      <w:keepLines/>
      <w:widowControl w:val="0"/>
      <w:pBdr>
        <w:bottom w:val="single" w:sz="36" w:space="31" w:color="000000"/>
      </w:pBdr>
      <w:tabs>
        <w:tab w:val="left" w:pos="510"/>
      </w:tabs>
      <w:spacing w:before="312" w:after="1928" w:line="288" w:lineRule="auto"/>
      <w:jc w:val="center"/>
    </w:pPr>
    <w:rPr>
      <w:rFonts w:ascii="HeliosCond (TT)  Bold" w:hAnsi="HeliosCond (TT)  Bold" w:cs="HeliosCond (TT)  Bold"/>
      <w:b/>
      <w:bCs/>
      <w:color w:val="000000"/>
      <w:sz w:val="48"/>
      <w:szCs w:val="48"/>
    </w:rPr>
  </w:style>
  <w:style w:type="paragraph" w:customStyle="1" w:styleId="112">
    <w:name w:val="1.1 (навигация по книге)"/>
    <w:basedOn w:val="a3"/>
    <w:uiPriority w:val="99"/>
    <w:pPr>
      <w:keepNext/>
      <w:keepLines/>
      <w:widowControl w:val="0"/>
      <w:tabs>
        <w:tab w:val="left" w:pos="510"/>
      </w:tabs>
      <w:spacing w:before="340" w:after="170" w:line="288" w:lineRule="auto"/>
      <w:jc w:val="center"/>
    </w:pPr>
    <w:rPr>
      <w:rFonts w:ascii="HeliosCond" w:hAnsi="HeliosCond" w:cs="HeliosCond"/>
      <w:b/>
      <w:bCs/>
      <w:color w:val="000000"/>
    </w:rPr>
  </w:style>
  <w:style w:type="paragraph" w:customStyle="1" w:styleId="1110">
    <w:name w:val="1.1.1. (навигация по книге)"/>
    <w:basedOn w:val="a3"/>
    <w:uiPriority w:val="99"/>
    <w:pPr>
      <w:keepNext/>
      <w:keepLines/>
      <w:widowControl w:val="0"/>
      <w:spacing w:before="227" w:after="57" w:line="226" w:lineRule="atLeast"/>
      <w:jc w:val="center"/>
    </w:pPr>
    <w:rPr>
      <w:rFonts w:ascii="Petersburg" w:hAnsi="Petersburg" w:cs="Petersburg"/>
      <w:b/>
      <w:bCs/>
      <w:color w:val="000000"/>
      <w:sz w:val="21"/>
      <w:szCs w:val="21"/>
    </w:rPr>
  </w:style>
  <w:style w:type="paragraph" w:customStyle="1" w:styleId="affffe">
    <w:name w:val="Табл. заголовок (основной набор:Таблица)"/>
    <w:basedOn w:val="a3"/>
    <w:uiPriority w:val="99"/>
    <w:pPr>
      <w:widowControl w:val="0"/>
      <w:tabs>
        <w:tab w:val="left" w:leader="dot" w:pos="7655"/>
      </w:tabs>
      <w:spacing w:after="57" w:line="226" w:lineRule="atLeast"/>
      <w:jc w:val="center"/>
    </w:pPr>
    <w:rPr>
      <w:rFonts w:ascii="Petersburg" w:hAnsi="Petersburg" w:cs="Petersburg"/>
      <w:b/>
      <w:bCs/>
      <w:color w:val="000000"/>
      <w:sz w:val="21"/>
      <w:szCs w:val="21"/>
    </w:rPr>
  </w:style>
  <w:style w:type="paragraph" w:customStyle="1" w:styleId="afffff">
    <w:name w:val="Формула однострочная (основной набор:Формулы)"/>
    <w:basedOn w:val="a3"/>
    <w:uiPriority w:val="99"/>
    <w:pPr>
      <w:widowControl w:val="0"/>
      <w:tabs>
        <w:tab w:val="center" w:pos="2891"/>
        <w:tab w:val="right" w:pos="5783"/>
      </w:tabs>
      <w:spacing w:before="113" w:after="113" w:line="220" w:lineRule="atLeast"/>
      <w:jc w:val="center"/>
    </w:pPr>
    <w:rPr>
      <w:rFonts w:ascii="Petersburg" w:hAnsi="Petersburg" w:cs="Petersburg"/>
      <w:color w:val="000000"/>
      <w:sz w:val="19"/>
      <w:szCs w:val="19"/>
    </w:rPr>
  </w:style>
  <w:style w:type="paragraph" w:customStyle="1" w:styleId="Heading">
    <w:name w:val="Heading"/>
    <w:uiPriority w:val="99"/>
    <w:pPr>
      <w:widowControl w:val="0"/>
      <w:spacing w:after="0" w:line="240" w:lineRule="auto"/>
    </w:pPr>
    <w:rPr>
      <w:rFonts w:ascii="Arial" w:eastAsia="Times New Roman" w:hAnsi="Arial" w:cs="Arial"/>
      <w:b/>
      <w:bCs/>
      <w:lang w:eastAsia="ru-RU"/>
    </w:rPr>
  </w:style>
  <w:style w:type="paragraph" w:customStyle="1" w:styleId="ConsPlusTitle">
    <w:name w:val="ConsPlusTitle"/>
    <w:pPr>
      <w:widowControl w:val="0"/>
      <w:spacing w:after="0" w:line="240" w:lineRule="auto"/>
    </w:pPr>
    <w:rPr>
      <w:rFonts w:ascii="Arial" w:eastAsia="Times New Roman" w:hAnsi="Arial" w:cs="Arial"/>
      <w:b/>
      <w:bCs/>
      <w:sz w:val="16"/>
      <w:szCs w:val="16"/>
      <w:lang w:eastAsia="ru-RU"/>
    </w:rPr>
  </w:style>
  <w:style w:type="paragraph" w:customStyle="1" w:styleId="Style1">
    <w:name w:val="Style1"/>
    <w:basedOn w:val="a3"/>
    <w:uiPriority w:val="99"/>
    <w:pPr>
      <w:widowControl w:val="0"/>
      <w:jc w:val="both"/>
    </w:pPr>
    <w:rPr>
      <w:rFonts w:ascii="PT Astra Serif" w:hAnsi="PT Astra Serif"/>
    </w:rPr>
  </w:style>
  <w:style w:type="paragraph" w:customStyle="1" w:styleId="Style2">
    <w:name w:val="Style2"/>
    <w:basedOn w:val="a3"/>
    <w:uiPriority w:val="99"/>
    <w:pPr>
      <w:widowControl w:val="0"/>
      <w:spacing w:line="490" w:lineRule="exact"/>
      <w:ind w:hanging="1574"/>
    </w:pPr>
    <w:rPr>
      <w:rFonts w:ascii="PT Astra Serif" w:hAnsi="PT Astra Serif"/>
    </w:rPr>
  </w:style>
  <w:style w:type="paragraph" w:customStyle="1" w:styleId="Style3">
    <w:name w:val="Style3"/>
    <w:basedOn w:val="a3"/>
    <w:uiPriority w:val="99"/>
    <w:pPr>
      <w:widowControl w:val="0"/>
      <w:spacing w:line="302" w:lineRule="exact"/>
      <w:ind w:hanging="989"/>
    </w:pPr>
    <w:rPr>
      <w:rFonts w:ascii="PT Astra Serif" w:hAnsi="PT Astra Serif"/>
    </w:rPr>
  </w:style>
  <w:style w:type="paragraph" w:customStyle="1" w:styleId="Style4">
    <w:name w:val="Style4"/>
    <w:basedOn w:val="a3"/>
    <w:uiPriority w:val="99"/>
    <w:pPr>
      <w:widowControl w:val="0"/>
      <w:spacing w:line="221" w:lineRule="exact"/>
      <w:ind w:firstLine="355"/>
      <w:jc w:val="both"/>
    </w:pPr>
    <w:rPr>
      <w:rFonts w:ascii="PT Astra Serif" w:hAnsi="PT Astra Serif"/>
    </w:rPr>
  </w:style>
  <w:style w:type="paragraph" w:customStyle="1" w:styleId="Style5">
    <w:name w:val="Style5"/>
    <w:basedOn w:val="a3"/>
    <w:uiPriority w:val="99"/>
    <w:pPr>
      <w:widowControl w:val="0"/>
      <w:spacing w:line="223" w:lineRule="exact"/>
      <w:ind w:firstLine="341"/>
      <w:jc w:val="both"/>
    </w:pPr>
    <w:rPr>
      <w:rFonts w:ascii="PT Astra Serif" w:hAnsi="PT Astra Serif"/>
    </w:rPr>
  </w:style>
  <w:style w:type="paragraph" w:customStyle="1" w:styleId="Style6">
    <w:name w:val="Style6"/>
    <w:basedOn w:val="a3"/>
    <w:uiPriority w:val="99"/>
    <w:pPr>
      <w:widowControl w:val="0"/>
      <w:spacing w:line="255" w:lineRule="exact"/>
      <w:jc w:val="both"/>
    </w:pPr>
    <w:rPr>
      <w:rFonts w:ascii="PT Astra Serif" w:hAnsi="PT Astra Serif"/>
    </w:rPr>
  </w:style>
  <w:style w:type="paragraph" w:customStyle="1" w:styleId="Style7">
    <w:name w:val="Style7"/>
    <w:basedOn w:val="a3"/>
    <w:uiPriority w:val="99"/>
    <w:pPr>
      <w:widowControl w:val="0"/>
    </w:pPr>
    <w:rPr>
      <w:rFonts w:ascii="PT Astra Serif" w:hAnsi="PT Astra Serif"/>
    </w:rPr>
  </w:style>
  <w:style w:type="paragraph" w:customStyle="1" w:styleId="Style8">
    <w:name w:val="Style8"/>
    <w:basedOn w:val="a3"/>
    <w:uiPriority w:val="99"/>
    <w:pPr>
      <w:widowControl w:val="0"/>
      <w:spacing w:line="210" w:lineRule="exact"/>
      <w:ind w:firstLine="350"/>
      <w:jc w:val="both"/>
    </w:pPr>
    <w:rPr>
      <w:rFonts w:ascii="PT Astra Serif" w:hAnsi="PT Astra Serif"/>
    </w:rPr>
  </w:style>
  <w:style w:type="paragraph" w:customStyle="1" w:styleId="Style9">
    <w:name w:val="Style9"/>
    <w:basedOn w:val="a3"/>
    <w:uiPriority w:val="99"/>
    <w:pPr>
      <w:widowControl w:val="0"/>
    </w:pPr>
    <w:rPr>
      <w:rFonts w:ascii="PT Astra Serif" w:hAnsi="PT Astra Serif"/>
    </w:rPr>
  </w:style>
  <w:style w:type="paragraph" w:customStyle="1" w:styleId="Style10">
    <w:name w:val="Style10"/>
    <w:basedOn w:val="a3"/>
    <w:uiPriority w:val="99"/>
    <w:pPr>
      <w:widowControl w:val="0"/>
      <w:spacing w:line="216" w:lineRule="exact"/>
      <w:ind w:hanging="1133"/>
    </w:pPr>
    <w:rPr>
      <w:rFonts w:ascii="PT Astra Serif" w:hAnsi="PT Astra Serif"/>
    </w:rPr>
  </w:style>
  <w:style w:type="paragraph" w:customStyle="1" w:styleId="Style11">
    <w:name w:val="Style11"/>
    <w:basedOn w:val="a3"/>
    <w:uiPriority w:val="99"/>
    <w:pPr>
      <w:widowControl w:val="0"/>
    </w:pPr>
    <w:rPr>
      <w:rFonts w:ascii="PT Astra Serif" w:hAnsi="PT Astra Serif"/>
    </w:rPr>
  </w:style>
  <w:style w:type="paragraph" w:customStyle="1" w:styleId="Style12">
    <w:name w:val="Style12"/>
    <w:basedOn w:val="a3"/>
    <w:uiPriority w:val="99"/>
    <w:pPr>
      <w:widowControl w:val="0"/>
      <w:spacing w:line="211" w:lineRule="exact"/>
      <w:jc w:val="center"/>
    </w:pPr>
    <w:rPr>
      <w:rFonts w:ascii="PT Astra Serif" w:hAnsi="PT Astra Serif"/>
    </w:rPr>
  </w:style>
  <w:style w:type="paragraph" w:customStyle="1" w:styleId="Style13">
    <w:name w:val="Style13"/>
    <w:basedOn w:val="a3"/>
    <w:uiPriority w:val="99"/>
    <w:pPr>
      <w:widowControl w:val="0"/>
      <w:spacing w:line="216" w:lineRule="exact"/>
      <w:ind w:hanging="2074"/>
    </w:pPr>
    <w:rPr>
      <w:rFonts w:ascii="PT Astra Serif" w:hAnsi="PT Astra Serif"/>
    </w:rPr>
  </w:style>
  <w:style w:type="paragraph" w:customStyle="1" w:styleId="Style14">
    <w:name w:val="Style14"/>
    <w:basedOn w:val="a3"/>
    <w:uiPriority w:val="99"/>
    <w:pPr>
      <w:widowControl w:val="0"/>
    </w:pPr>
    <w:rPr>
      <w:rFonts w:ascii="PT Astra Serif" w:hAnsi="PT Astra Serif"/>
    </w:rPr>
  </w:style>
  <w:style w:type="paragraph" w:customStyle="1" w:styleId="Style15">
    <w:name w:val="Style15"/>
    <w:basedOn w:val="a3"/>
    <w:uiPriority w:val="99"/>
    <w:pPr>
      <w:widowControl w:val="0"/>
    </w:pPr>
    <w:rPr>
      <w:rFonts w:ascii="PT Astra Serif" w:hAnsi="PT Astra Serif"/>
    </w:rPr>
  </w:style>
  <w:style w:type="paragraph" w:customStyle="1" w:styleId="Style16">
    <w:name w:val="Style16"/>
    <w:basedOn w:val="a3"/>
    <w:uiPriority w:val="99"/>
    <w:pPr>
      <w:widowControl w:val="0"/>
    </w:pPr>
    <w:rPr>
      <w:rFonts w:ascii="PT Astra Serif" w:hAnsi="PT Astra Serif"/>
    </w:rPr>
  </w:style>
  <w:style w:type="paragraph" w:customStyle="1" w:styleId="Style17">
    <w:name w:val="Style17"/>
    <w:basedOn w:val="a3"/>
    <w:uiPriority w:val="99"/>
    <w:pPr>
      <w:widowControl w:val="0"/>
      <w:spacing w:line="490" w:lineRule="exact"/>
      <w:ind w:hanging="1474"/>
    </w:pPr>
    <w:rPr>
      <w:rFonts w:ascii="PT Astra Serif" w:hAnsi="PT Astra Serif"/>
    </w:rPr>
  </w:style>
  <w:style w:type="paragraph" w:customStyle="1" w:styleId="Style18">
    <w:name w:val="Style18"/>
    <w:basedOn w:val="a3"/>
    <w:uiPriority w:val="99"/>
    <w:pPr>
      <w:widowControl w:val="0"/>
      <w:spacing w:line="211" w:lineRule="exact"/>
      <w:ind w:hanging="1291"/>
    </w:pPr>
    <w:rPr>
      <w:rFonts w:ascii="PT Astra Serif" w:hAnsi="PT Astra Serif"/>
    </w:rPr>
  </w:style>
  <w:style w:type="paragraph" w:customStyle="1" w:styleId="Style19">
    <w:name w:val="Style19"/>
    <w:basedOn w:val="a3"/>
    <w:uiPriority w:val="99"/>
    <w:pPr>
      <w:widowControl w:val="0"/>
      <w:spacing w:line="211" w:lineRule="exact"/>
      <w:ind w:firstLine="341"/>
      <w:jc w:val="both"/>
    </w:pPr>
    <w:rPr>
      <w:rFonts w:ascii="PT Astra Serif" w:hAnsi="PT Astra Serif"/>
    </w:rPr>
  </w:style>
  <w:style w:type="paragraph" w:customStyle="1" w:styleId="Style20">
    <w:name w:val="Style20"/>
    <w:basedOn w:val="a3"/>
    <w:uiPriority w:val="99"/>
    <w:pPr>
      <w:widowControl w:val="0"/>
      <w:spacing w:line="235" w:lineRule="exact"/>
      <w:jc w:val="center"/>
    </w:pPr>
    <w:rPr>
      <w:rFonts w:ascii="PT Astra Serif" w:hAnsi="PT Astra Serif"/>
    </w:rPr>
  </w:style>
  <w:style w:type="paragraph" w:customStyle="1" w:styleId="Style21">
    <w:name w:val="Style21"/>
    <w:basedOn w:val="a3"/>
    <w:uiPriority w:val="99"/>
    <w:pPr>
      <w:widowControl w:val="0"/>
    </w:pPr>
    <w:rPr>
      <w:rFonts w:ascii="PT Astra Serif" w:hAnsi="PT Astra Serif"/>
    </w:rPr>
  </w:style>
  <w:style w:type="paragraph" w:customStyle="1" w:styleId="Style22">
    <w:name w:val="Style22"/>
    <w:basedOn w:val="a3"/>
    <w:uiPriority w:val="99"/>
    <w:pPr>
      <w:widowControl w:val="0"/>
      <w:spacing w:line="206" w:lineRule="exact"/>
      <w:ind w:hanging="374"/>
    </w:pPr>
    <w:rPr>
      <w:rFonts w:ascii="PT Astra Serif" w:hAnsi="PT Astra Serif"/>
    </w:rPr>
  </w:style>
  <w:style w:type="paragraph" w:customStyle="1" w:styleId="article-doi">
    <w:name w:val="article-doi"/>
    <w:basedOn w:val="a3"/>
    <w:uiPriority w:val="99"/>
    <w:pPr>
      <w:spacing w:before="100" w:beforeAutospacing="1" w:after="100" w:afterAutospacing="1"/>
    </w:pPr>
    <w:rPr>
      <w:rFonts w:ascii="PT Astra Serif" w:hAnsi="PT Astra Serif"/>
    </w:rPr>
  </w:style>
  <w:style w:type="paragraph" w:customStyle="1" w:styleId="copyright">
    <w:name w:val="copyright"/>
    <w:basedOn w:val="a3"/>
    <w:uiPriority w:val="99"/>
    <w:pPr>
      <w:spacing w:before="100" w:beforeAutospacing="1" w:after="100" w:afterAutospacing="1"/>
    </w:pPr>
    <w:rPr>
      <w:rFonts w:ascii="PT Astra Serif" w:hAnsi="PT Astra Serif"/>
    </w:rPr>
  </w:style>
  <w:style w:type="paragraph" w:customStyle="1" w:styleId="z1">
    <w:name w:val="z1"/>
    <w:basedOn w:val="a3"/>
    <w:uiPriority w:val="99"/>
    <w:pPr>
      <w:spacing w:before="100" w:beforeAutospacing="1" w:after="100" w:afterAutospacing="1"/>
    </w:pPr>
    <w:rPr>
      <w:rFonts w:ascii="PT Astra Serif" w:hAnsi="PT Astra Serif"/>
    </w:rPr>
  </w:style>
  <w:style w:type="paragraph" w:customStyle="1" w:styleId="p2">
    <w:name w:val="p2"/>
    <w:basedOn w:val="a3"/>
    <w:pPr>
      <w:spacing w:before="100" w:beforeAutospacing="1" w:after="100" w:afterAutospacing="1"/>
    </w:pPr>
    <w:rPr>
      <w:rFonts w:ascii="PT Astra Serif" w:hAnsi="PT Astra Serif"/>
    </w:rPr>
  </w:style>
  <w:style w:type="paragraph" w:customStyle="1" w:styleId="afffff0">
    <w:name w:val="Заг_текст_обычный"/>
    <w:basedOn w:val="a3"/>
    <w:uiPriority w:val="99"/>
    <w:qFormat/>
    <w:rPr>
      <w:rFonts w:ascii="PT Astra Serif" w:eastAsia="Calibri" w:hAnsi="PT Astra Serif"/>
      <w:sz w:val="22"/>
      <w:szCs w:val="20"/>
    </w:rPr>
  </w:style>
  <w:style w:type="paragraph" w:customStyle="1" w:styleId="afffff1">
    <w:name w:val="текст"/>
    <w:basedOn w:val="a3"/>
    <w:uiPriority w:val="99"/>
    <w:pPr>
      <w:spacing w:before="120" w:after="120" w:line="360" w:lineRule="exact"/>
      <w:ind w:firstLine="432"/>
      <w:jc w:val="both"/>
    </w:pPr>
    <w:rPr>
      <w:rFonts w:ascii="TimesET" w:hAnsi="TimesET"/>
      <w:sz w:val="28"/>
      <w:szCs w:val="20"/>
      <w:lang w:val="en-GB"/>
    </w:rPr>
  </w:style>
  <w:style w:type="paragraph" w:customStyle="1" w:styleId="afffff2">
    <w:name w:val="шапка таблицы"/>
    <w:basedOn w:val="a3"/>
    <w:uiPriority w:val="99"/>
    <w:pPr>
      <w:spacing w:after="120"/>
      <w:jc w:val="center"/>
    </w:pPr>
    <w:rPr>
      <w:rFonts w:ascii="Arial" w:hAnsi="Arial" w:cs="Arial"/>
      <w:b/>
      <w:bCs/>
      <w:sz w:val="20"/>
      <w:szCs w:val="20"/>
    </w:rPr>
  </w:style>
  <w:style w:type="paragraph" w:customStyle="1" w:styleId="afffff3">
    <w:name w:val="a"/>
    <w:basedOn w:val="a3"/>
    <w:pPr>
      <w:spacing w:before="100" w:beforeAutospacing="1" w:after="100" w:afterAutospacing="1"/>
    </w:pPr>
    <w:rPr>
      <w:rFonts w:ascii="Arial Unicode MS" w:hAnsi="Arial Unicode MS"/>
    </w:rPr>
  </w:style>
  <w:style w:type="paragraph" w:customStyle="1" w:styleId="rteleft">
    <w:name w:val="rteleft"/>
    <w:basedOn w:val="a3"/>
    <w:uiPriority w:val="99"/>
    <w:pPr>
      <w:spacing w:before="100" w:beforeAutospacing="1" w:after="100" w:afterAutospacing="1"/>
    </w:pPr>
    <w:rPr>
      <w:rFonts w:ascii="PT Astra Serif" w:hAnsi="PT Astra Serif"/>
    </w:rPr>
  </w:style>
  <w:style w:type="paragraph" w:customStyle="1" w:styleId="afffff4">
    <w:name w:val="Формулировка полномочия"/>
    <w:basedOn w:val="a3"/>
    <w:uiPriority w:val="99"/>
    <w:qFormat/>
    <w:pPr>
      <w:spacing w:line="360" w:lineRule="auto"/>
      <w:ind w:firstLine="709"/>
      <w:jc w:val="both"/>
    </w:pPr>
    <w:rPr>
      <w:rFonts w:ascii="PT Astra Serif" w:hAnsi="PT Astra Serif"/>
      <w:b/>
    </w:rPr>
  </w:style>
  <w:style w:type="character" w:customStyle="1" w:styleId="212">
    <w:name w:val="Основной текст 2 Знак1"/>
    <w:basedOn w:val="a5"/>
    <w:uiPriority w:val="99"/>
    <w:semiHidden/>
  </w:style>
  <w:style w:type="character" w:customStyle="1" w:styleId="311">
    <w:name w:val="Основной текст 3 Знак1"/>
    <w:uiPriority w:val="99"/>
    <w:semiHidden/>
    <w:rPr>
      <w:rFonts w:ascii="Times New Roman" w:eastAsia="Times New Roman" w:hAnsi="Times New Roman" w:cs="Times New Roman" w:hint="default"/>
      <w:color w:val="000000"/>
      <w:sz w:val="16"/>
      <w:szCs w:val="16"/>
      <w:lang w:eastAsia="ar-SA"/>
    </w:rPr>
  </w:style>
  <w:style w:type="character" w:customStyle="1" w:styleId="afffff5">
    <w:name w:val="Полужирный (Стиль начертание)"/>
    <w:uiPriority w:val="99"/>
    <w:rPr>
      <w:b/>
      <w:bCs w:val="0"/>
    </w:rPr>
  </w:style>
  <w:style w:type="character" w:customStyle="1" w:styleId="afffff6">
    <w:name w:val="Курсивный (Стиль начертание)"/>
    <w:uiPriority w:val="99"/>
    <w:rPr>
      <w:i/>
      <w:iCs w:val="0"/>
    </w:rPr>
  </w:style>
  <w:style w:type="character" w:customStyle="1" w:styleId="afffff7">
    <w:name w:val="Верхний индекс прямой (Стиль начертание)"/>
    <w:uiPriority w:val="99"/>
    <w:rPr>
      <w:vertAlign w:val="superscript"/>
    </w:rPr>
  </w:style>
  <w:style w:type="character" w:customStyle="1" w:styleId="afffff8">
    <w:name w:val="Нижний индекс (Стиль начертание)"/>
    <w:uiPriority w:val="99"/>
    <w:rPr>
      <w:vertAlign w:val="subscript"/>
    </w:rPr>
  </w:style>
  <w:style w:type="character" w:customStyle="1" w:styleId="afffff9">
    <w:name w:val="Нижний индекс курсив (Стиль начертание)"/>
    <w:uiPriority w:val="99"/>
    <w:rPr>
      <w:i/>
      <w:iCs w:val="0"/>
      <w:vertAlign w:val="subscript"/>
    </w:rPr>
  </w:style>
  <w:style w:type="character" w:customStyle="1" w:styleId="afffffa">
    <w:name w:val="строчные"/>
    <w:uiPriority w:val="99"/>
  </w:style>
  <w:style w:type="character" w:customStyle="1" w:styleId="blk6">
    <w:name w:val="blk6"/>
  </w:style>
  <w:style w:type="character" w:customStyle="1" w:styleId="afffffb">
    <w:name w:val="Гипертекстовая ссылка"/>
    <w:uiPriority w:val="99"/>
    <w:rPr>
      <w:color w:val="106BBE"/>
    </w:rPr>
  </w:style>
  <w:style w:type="character" w:customStyle="1" w:styleId="FontStyle24">
    <w:name w:val="Font Style24"/>
    <w:uiPriority w:val="99"/>
    <w:rPr>
      <w:rFonts w:ascii="Times New Roman" w:hAnsi="Times New Roman" w:cs="Times New Roman" w:hint="default"/>
      <w:color w:val="000000"/>
      <w:sz w:val="20"/>
      <w:szCs w:val="20"/>
    </w:rPr>
  </w:style>
  <w:style w:type="character" w:customStyle="1" w:styleId="FontStyle25">
    <w:name w:val="Font Style25"/>
    <w:uiPriority w:val="99"/>
    <w:rPr>
      <w:rFonts w:ascii="Times New Roman" w:hAnsi="Times New Roman" w:cs="Times New Roman" w:hint="default"/>
      <w:b/>
      <w:bCs/>
      <w:color w:val="000000"/>
      <w:sz w:val="22"/>
      <w:szCs w:val="22"/>
    </w:rPr>
  </w:style>
  <w:style w:type="character" w:customStyle="1" w:styleId="FontStyle26">
    <w:name w:val="Font Style26"/>
    <w:uiPriority w:val="99"/>
    <w:rPr>
      <w:rFonts w:ascii="Times New Roman" w:hAnsi="Times New Roman" w:cs="Times New Roman" w:hint="default"/>
      <w:b/>
      <w:bCs/>
      <w:color w:val="000000"/>
      <w:sz w:val="16"/>
      <w:szCs w:val="16"/>
    </w:rPr>
  </w:style>
  <w:style w:type="character" w:customStyle="1" w:styleId="FontStyle27">
    <w:name w:val="Font Style27"/>
    <w:uiPriority w:val="99"/>
    <w:rPr>
      <w:rFonts w:ascii="Times New Roman" w:hAnsi="Times New Roman" w:cs="Times New Roman" w:hint="default"/>
      <w:b/>
      <w:bCs/>
      <w:color w:val="000000"/>
      <w:sz w:val="16"/>
      <w:szCs w:val="16"/>
    </w:rPr>
  </w:style>
  <w:style w:type="character" w:customStyle="1" w:styleId="FontStyle28">
    <w:name w:val="Font Style28"/>
    <w:uiPriority w:val="99"/>
    <w:rPr>
      <w:rFonts w:ascii="Times New Roman" w:hAnsi="Times New Roman" w:cs="Times New Roman" w:hint="default"/>
      <w:i/>
      <w:iCs/>
      <w:color w:val="000000"/>
      <w:sz w:val="18"/>
      <w:szCs w:val="18"/>
    </w:rPr>
  </w:style>
  <w:style w:type="character" w:customStyle="1" w:styleId="FontStyle29">
    <w:name w:val="Font Style29"/>
    <w:uiPriority w:val="99"/>
    <w:rPr>
      <w:rFonts w:ascii="Times New Roman" w:hAnsi="Times New Roman" w:cs="Times New Roman" w:hint="default"/>
      <w:b/>
      <w:bCs/>
      <w:color w:val="000000"/>
      <w:sz w:val="20"/>
      <w:szCs w:val="20"/>
    </w:rPr>
  </w:style>
  <w:style w:type="character" w:customStyle="1" w:styleId="FontStyle30">
    <w:name w:val="Font Style30"/>
    <w:uiPriority w:val="99"/>
    <w:rPr>
      <w:rFonts w:ascii="Times New Roman" w:hAnsi="Times New Roman" w:cs="Times New Roman" w:hint="default"/>
      <w:i/>
      <w:iCs/>
      <w:color w:val="000000"/>
      <w:sz w:val="16"/>
      <w:szCs w:val="16"/>
    </w:rPr>
  </w:style>
  <w:style w:type="character" w:customStyle="1" w:styleId="FontStyle31">
    <w:name w:val="Font Style31"/>
    <w:uiPriority w:val="99"/>
    <w:rPr>
      <w:rFonts w:ascii="Times New Roman" w:hAnsi="Times New Roman" w:cs="Times New Roman" w:hint="default"/>
      <w:color w:val="000000"/>
      <w:sz w:val="16"/>
      <w:szCs w:val="16"/>
    </w:rPr>
  </w:style>
  <w:style w:type="character" w:customStyle="1" w:styleId="FontStyle32">
    <w:name w:val="Font Style32"/>
    <w:uiPriority w:val="99"/>
    <w:rPr>
      <w:rFonts w:ascii="Times New Roman" w:hAnsi="Times New Roman" w:cs="Times New Roman" w:hint="default"/>
      <w:i/>
      <w:iCs/>
      <w:color w:val="000000"/>
      <w:sz w:val="20"/>
      <w:szCs w:val="20"/>
    </w:rPr>
  </w:style>
  <w:style w:type="character" w:customStyle="1" w:styleId="FontStyle33">
    <w:name w:val="Font Style33"/>
    <w:uiPriority w:val="99"/>
    <w:rPr>
      <w:rFonts w:ascii="Times New Roman" w:hAnsi="Times New Roman" w:cs="Times New Roman" w:hint="default"/>
      <w:color w:val="000000"/>
      <w:sz w:val="20"/>
      <w:szCs w:val="20"/>
    </w:rPr>
  </w:style>
  <w:style w:type="character" w:customStyle="1" w:styleId="FontStyle34">
    <w:name w:val="Font Style34"/>
    <w:uiPriority w:val="99"/>
    <w:rPr>
      <w:rFonts w:ascii="Times New Roman" w:hAnsi="Times New Roman" w:cs="Times New Roman" w:hint="default"/>
      <w:color w:val="000000"/>
      <w:sz w:val="16"/>
      <w:szCs w:val="16"/>
    </w:rPr>
  </w:style>
  <w:style w:type="character" w:customStyle="1" w:styleId="slug-doi">
    <w:name w:val="slug-doi"/>
  </w:style>
  <w:style w:type="character" w:customStyle="1" w:styleId="1f">
    <w:name w:val="Нижний колонтитул Знак1"/>
    <w:basedOn w:val="a5"/>
    <w:uiPriority w:val="99"/>
    <w:semiHidden/>
  </w:style>
  <w:style w:type="character" w:customStyle="1" w:styleId="nobr">
    <w:name w:val="nobr"/>
  </w:style>
  <w:style w:type="character" w:customStyle="1" w:styleId="w">
    <w:name w:val="w"/>
  </w:style>
  <w:style w:type="character" w:customStyle="1" w:styleId="comment">
    <w:name w:val="comment"/>
  </w:style>
  <w:style w:type="character" w:customStyle="1" w:styleId="s0">
    <w:name w:val="s0"/>
    <w:rPr>
      <w:rFonts w:ascii="Times New Roman" w:hAnsi="Times New Roman" w:cs="Times New Roman" w:hint="default"/>
      <w:b w:val="0"/>
      <w:bCs w:val="0"/>
      <w:i w:val="0"/>
      <w:iCs w:val="0"/>
      <w:color w:val="000000"/>
    </w:rPr>
  </w:style>
  <w:style w:type="character" w:customStyle="1" w:styleId="j21">
    <w:name w:val="j21"/>
  </w:style>
  <w:style w:type="character" w:customStyle="1" w:styleId="params1">
    <w:name w:val="params1"/>
    <w:rPr>
      <w:rFonts w:ascii="Verdana" w:hAnsi="Verdana" w:hint="default"/>
      <w:vanish/>
      <w:sz w:val="12"/>
      <w:szCs w:val="12"/>
    </w:rPr>
  </w:style>
  <w:style w:type="table" w:customStyle="1" w:styleId="312">
    <w:name w:val="Сетка таблицы3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c">
    <w:name w:val="Заг_текст_формула"/>
    <w:basedOn w:val="afffff0"/>
    <w:uiPriority w:val="99"/>
    <w:qFormat/>
    <w:pPr>
      <w:spacing w:line="360" w:lineRule="auto"/>
      <w:jc w:val="right"/>
    </w:pPr>
    <w:rPr>
      <w:sz w:val="24"/>
      <w:lang w:val="en-US"/>
    </w:rPr>
  </w:style>
  <w:style w:type="character" w:customStyle="1" w:styleId="2d">
    <w:name w:val="Текст сноски Знак2"/>
    <w:uiPriority w:val="99"/>
    <w:semiHidden/>
    <w:rPr>
      <w:rFonts w:ascii="Times New Roman" w:hAnsi="Times New Roman"/>
    </w:rPr>
  </w:style>
  <w:style w:type="character" w:customStyle="1" w:styleId="extended-textfull">
    <w:name w:val="extended-text__full"/>
    <w:basedOn w:val="a5"/>
  </w:style>
  <w:style w:type="character" w:customStyle="1" w:styleId="tlid-translation">
    <w:name w:val="tlid-translation"/>
    <w:basedOn w:val="a5"/>
  </w:style>
  <w:style w:type="character" w:styleId="HTML2">
    <w:name w:val="HTML Cite"/>
    <w:uiPriority w:val="99"/>
    <w:semiHidden/>
    <w:unhideWhenUsed/>
    <w:rPr>
      <w:i/>
      <w:iCs/>
    </w:rPr>
  </w:style>
  <w:style w:type="paragraph" w:customStyle="1" w:styleId="1f0">
    <w:name w:val="Обычный1"/>
    <w:uiPriority w:val="99"/>
    <w:pPr>
      <w:spacing w:after="0" w:line="240" w:lineRule="auto"/>
    </w:pPr>
    <w:rPr>
      <w:rFonts w:ascii="Times New Roman" w:eastAsia="Times New Roman" w:hAnsi="Times New Roman" w:cs="Times New Roman"/>
      <w:sz w:val="20"/>
      <w:szCs w:val="20"/>
      <w:lang w:eastAsia="ru-RU"/>
    </w:rPr>
  </w:style>
  <w:style w:type="paragraph" w:customStyle="1" w:styleId="afffffd">
    <w:name w:val="Сноска (основной набор)"/>
    <w:basedOn w:val="affff7"/>
    <w:uiPriority w:val="99"/>
    <w:pPr>
      <w:spacing w:line="186" w:lineRule="atLeast"/>
    </w:pPr>
    <w:rPr>
      <w:sz w:val="17"/>
      <w:szCs w:val="17"/>
    </w:rPr>
  </w:style>
  <w:style w:type="character" w:customStyle="1" w:styleId="afffffe">
    <w:name w:val="Основной текст_"/>
    <w:link w:val="1f1"/>
    <w:rPr>
      <w:rFonts w:ascii="Times New Roman" w:eastAsia="Times New Roman" w:hAnsi="Times New Roman" w:cs="Times New Roman"/>
      <w:sz w:val="26"/>
      <w:szCs w:val="26"/>
      <w:shd w:val="clear" w:color="auto" w:fill="FFFFFF"/>
    </w:rPr>
  </w:style>
  <w:style w:type="paragraph" w:customStyle="1" w:styleId="1f1">
    <w:name w:val="Основной текст1"/>
    <w:basedOn w:val="a3"/>
    <w:link w:val="afffffe"/>
    <w:pPr>
      <w:widowControl w:val="0"/>
      <w:shd w:val="clear" w:color="auto" w:fill="FFFFFF"/>
      <w:spacing w:line="336" w:lineRule="exact"/>
    </w:pPr>
    <w:rPr>
      <w:rFonts w:ascii="PT Astra Serif" w:hAnsi="PT Astra Serif"/>
      <w:sz w:val="26"/>
      <w:szCs w:val="26"/>
      <w:lang w:eastAsia="en-US"/>
    </w:rPr>
  </w:style>
  <w:style w:type="character" w:customStyle="1" w:styleId="w-article-headerlink1">
    <w:name w:val="w-article-header_link1"/>
    <w:rPr>
      <w:caps/>
      <w:strike w:val="0"/>
      <w:color w:val="AACEEE"/>
      <w:sz w:val="18"/>
      <w:szCs w:val="18"/>
      <w:u w:val="none"/>
    </w:rPr>
  </w:style>
  <w:style w:type="character" w:customStyle="1" w:styleId="affffff">
    <w:name w:val="Прямой светлый (Стиль начертание)"/>
    <w:uiPriority w:val="99"/>
  </w:style>
  <w:style w:type="character" w:customStyle="1" w:styleId="affffff0">
    <w:name w:val="Полужирный курсивный (Стиль начертание)"/>
    <w:uiPriority w:val="99"/>
    <w:rPr>
      <w:b/>
      <w:bCs w:val="0"/>
      <w:i/>
      <w:iCs w:val="0"/>
    </w:rPr>
  </w:style>
  <w:style w:type="table" w:customStyle="1" w:styleId="1f2">
    <w:name w:val="Светлый список1"/>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extended-textshort">
    <w:name w:val="extended-text__short"/>
    <w:basedOn w:val="a5"/>
  </w:style>
  <w:style w:type="character" w:customStyle="1" w:styleId="-">
    <w:name w:val="Интернет-ссылка"/>
    <w:rPr>
      <w:color w:val="000080"/>
      <w:u w:val="single"/>
    </w:rPr>
  </w:style>
  <w:style w:type="character" w:customStyle="1" w:styleId="1f3">
    <w:name w:val="Просмотренная гиперссылка1"/>
    <w:uiPriority w:val="99"/>
    <w:semiHidden/>
    <w:unhideWhenUsed/>
    <w:rPr>
      <w:color w:val="800080"/>
      <w:u w:val="single"/>
    </w:rPr>
  </w:style>
  <w:style w:type="paragraph" w:styleId="affffff1">
    <w:name w:val="caption"/>
    <w:basedOn w:val="a3"/>
    <w:next w:val="a3"/>
    <w:link w:val="affffff2"/>
    <w:uiPriority w:val="35"/>
    <w:unhideWhenUsed/>
    <w:qFormat/>
    <w:pPr>
      <w:spacing w:after="200"/>
    </w:pPr>
    <w:rPr>
      <w:rFonts w:ascii="Calibri" w:eastAsia="Calibri" w:hAnsi="Calibri"/>
      <w:i/>
      <w:iCs/>
      <w:color w:val="44546A"/>
      <w:sz w:val="18"/>
      <w:szCs w:val="18"/>
      <w:lang w:val="de-DE" w:eastAsia="en-US"/>
    </w:rPr>
  </w:style>
  <w:style w:type="character" w:customStyle="1" w:styleId="NichtaufgelsteErwhnung1">
    <w:name w:val="Nicht aufgelöste Erwähnung1"/>
    <w:uiPriority w:val="99"/>
    <w:semiHidden/>
    <w:unhideWhenUsed/>
    <w:rPr>
      <w:color w:val="808080"/>
      <w:shd w:val="clear" w:color="auto" w:fill="E6E6E6"/>
    </w:rPr>
  </w:style>
  <w:style w:type="paragraph" w:customStyle="1" w:styleId="affffff3">
    <w:name w:val="òåêñò"/>
    <w:basedOn w:val="a3"/>
    <w:pPr>
      <w:ind w:firstLine="432"/>
      <w:jc w:val="both"/>
    </w:pPr>
    <w:rPr>
      <w:rFonts w:ascii="TimesET" w:hAnsi="TimesET"/>
      <w:sz w:val="28"/>
      <w:szCs w:val="20"/>
      <w:lang w:val="en-GB"/>
    </w:rPr>
  </w:style>
  <w:style w:type="table" w:customStyle="1" w:styleId="93">
    <w:name w:val="Сетка таблицы9"/>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ad">
    <w:name w:val="lead"/>
    <w:basedOn w:val="a3"/>
    <w:pPr>
      <w:spacing w:before="100" w:beforeAutospacing="1" w:after="100" w:afterAutospacing="1"/>
    </w:pPr>
    <w:rPr>
      <w:rFonts w:ascii="PT Astra Serif" w:hAnsi="PT Astra Serif"/>
    </w:rPr>
  </w:style>
  <w:style w:type="paragraph" w:customStyle="1" w:styleId="affffff4">
    <w:name w:val="Структурные элементы"/>
    <w:basedOn w:val="a3"/>
    <w:link w:val="affffff5"/>
    <w:qFormat/>
    <w:pPr>
      <w:widowControl w:val="0"/>
      <w:jc w:val="center"/>
    </w:pPr>
    <w:rPr>
      <w:rFonts w:ascii="PT Astra Serif" w:hAnsi="PT Astra Serif"/>
      <w:lang w:val="en-US"/>
    </w:rPr>
  </w:style>
  <w:style w:type="character" w:customStyle="1" w:styleId="affffff5">
    <w:name w:val="Структурные элементы Знак"/>
    <w:link w:val="affffff4"/>
    <w:rPr>
      <w:rFonts w:ascii="Times New Roman" w:eastAsia="Times New Roman" w:hAnsi="Times New Roman" w:cs="Times New Roman"/>
      <w:sz w:val="24"/>
      <w:szCs w:val="24"/>
      <w:lang w:eastAsia="ru-RU"/>
    </w:rPr>
  </w:style>
  <w:style w:type="paragraph" w:customStyle="1" w:styleId="affffff6">
    <w:name w:val="Название таблицы"/>
    <w:basedOn w:val="affffff1"/>
    <w:next w:val="a3"/>
    <w:link w:val="affffff7"/>
    <w:qFormat/>
    <w:pPr>
      <w:keepNext/>
      <w:spacing w:before="240" w:after="120"/>
    </w:pPr>
    <w:rPr>
      <w:rFonts w:ascii="Arial" w:hAnsi="Arial"/>
      <w:b/>
      <w:i w:val="0"/>
      <w:iCs w:val="0"/>
      <w:color w:val="auto"/>
      <w:sz w:val="20"/>
      <w:szCs w:val="22"/>
      <w:lang w:val="ru-RU"/>
    </w:rPr>
  </w:style>
  <w:style w:type="character" w:customStyle="1" w:styleId="affffff7">
    <w:name w:val="Название таблицы Знак"/>
    <w:link w:val="affffff6"/>
    <w:rPr>
      <w:rFonts w:ascii="Arial" w:eastAsia="Calibri" w:hAnsi="Arial" w:cs="Times New Roman"/>
      <w:b/>
      <w:sz w:val="20"/>
    </w:rPr>
  </w:style>
  <w:style w:type="character" w:customStyle="1" w:styleId="citation">
    <w:name w:val="citation"/>
  </w:style>
  <w:style w:type="character" w:customStyle="1" w:styleId="e24kjd">
    <w:name w:val="e24kjd"/>
  </w:style>
  <w:style w:type="character" w:customStyle="1" w:styleId="kx21rb">
    <w:name w:val="kx21rb"/>
  </w:style>
  <w:style w:type="character" w:customStyle="1" w:styleId="commmm">
    <w:name w:val="commmm"/>
  </w:style>
  <w:style w:type="character" w:customStyle="1" w:styleId="squot">
    <w:name w:val="squot"/>
  </w:style>
  <w:style w:type="character" w:customStyle="1" w:styleId="quot">
    <w:name w:val="quot"/>
  </w:style>
  <w:style w:type="character" w:customStyle="1" w:styleId="sbra">
    <w:name w:val="sbra"/>
  </w:style>
  <w:style w:type="character" w:customStyle="1" w:styleId="bra">
    <w:name w:val="bra"/>
  </w:style>
  <w:style w:type="character" w:customStyle="1" w:styleId="js-item-maininfo">
    <w:name w:val="js-item-maininfo"/>
  </w:style>
  <w:style w:type="paragraph" w:customStyle="1" w:styleId="tit2">
    <w:name w:val="tit2"/>
    <w:basedOn w:val="a3"/>
    <w:pPr>
      <w:spacing w:before="100" w:beforeAutospacing="1" w:after="100" w:afterAutospacing="1"/>
    </w:pPr>
    <w:rPr>
      <w:rFonts w:ascii="PT Astra Serif" w:hAnsi="PT Astra Serif"/>
    </w:rPr>
  </w:style>
  <w:style w:type="character" w:customStyle="1" w:styleId="blk">
    <w:name w:val="blk"/>
  </w:style>
  <w:style w:type="paragraph" w:customStyle="1" w:styleId="paragraphblock">
    <w:name w:val="paragraph_block"/>
    <w:basedOn w:val="a3"/>
    <w:pPr>
      <w:spacing w:before="100" w:beforeAutospacing="1" w:after="100" w:afterAutospacing="1"/>
    </w:pPr>
    <w:rPr>
      <w:rFonts w:ascii="PT Astra Serif" w:hAnsi="PT Astra Serif"/>
    </w:rPr>
  </w:style>
  <w:style w:type="character" w:customStyle="1" w:styleId="A30">
    <w:name w:val="A3"/>
    <w:uiPriority w:val="99"/>
    <w:rPr>
      <w:rFonts w:cs="Book Antiqua"/>
      <w:b/>
      <w:bCs/>
      <w:color w:val="000000"/>
      <w:sz w:val="18"/>
      <w:szCs w:val="18"/>
    </w:rPr>
  </w:style>
  <w:style w:type="character" w:customStyle="1" w:styleId="A40">
    <w:name w:val="A4"/>
    <w:uiPriority w:val="99"/>
    <w:rPr>
      <w:rFonts w:ascii="Times New Roman" w:hAnsi="Times New Roman" w:cs="Times New Roman"/>
      <w:color w:val="000000"/>
      <w:sz w:val="16"/>
      <w:szCs w:val="16"/>
    </w:rPr>
  </w:style>
  <w:style w:type="character" w:customStyle="1" w:styleId="help">
    <w:name w:val="help"/>
  </w:style>
  <w:style w:type="character" w:customStyle="1" w:styleId="help1">
    <w:name w:val="help1"/>
  </w:style>
  <w:style w:type="character" w:customStyle="1" w:styleId="info-link">
    <w:name w:val="info-link"/>
  </w:style>
  <w:style w:type="character" w:customStyle="1" w:styleId="galleys">
    <w:name w:val="galleys"/>
  </w:style>
  <w:style w:type="character" w:customStyle="1" w:styleId="pages">
    <w:name w:val="pages"/>
  </w:style>
  <w:style w:type="character" w:customStyle="1" w:styleId="views">
    <w:name w:val="views"/>
  </w:style>
  <w:style w:type="character" w:customStyle="1" w:styleId="blocktitle">
    <w:name w:val="blocktitle"/>
  </w:style>
  <w:style w:type="character" w:customStyle="1" w:styleId="issue">
    <w:name w:val="issue"/>
  </w:style>
  <w:style w:type="numbering" w:customStyle="1" w:styleId="113">
    <w:name w:val="Нет списка11"/>
    <w:next w:val="a7"/>
    <w:uiPriority w:val="99"/>
    <w:semiHidden/>
    <w:unhideWhenUsed/>
  </w:style>
  <w:style w:type="character" w:customStyle="1" w:styleId="1f4">
    <w:name w:val="Заголовок Знак1"/>
    <w:uiPriority w:val="10"/>
    <w:rPr>
      <w:rFonts w:ascii="Calibri Light" w:eastAsia="Times New Roman" w:hAnsi="Calibri Light" w:cs="Times New Roman"/>
      <w:spacing w:val="-10"/>
      <w:sz w:val="56"/>
      <w:szCs w:val="56"/>
    </w:rPr>
  </w:style>
  <w:style w:type="numbering" w:customStyle="1" w:styleId="114">
    <w:name w:val="Импортированный стиль 11"/>
  </w:style>
  <w:style w:type="table" w:customStyle="1" w:styleId="83">
    <w:name w:val="Сетка таблицы8"/>
    <w:basedOn w:val="a6"/>
    <w:next w:val="af0"/>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6"/>
    <w:uiPriority w:val="59"/>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ветлый список11"/>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21">
    <w:name w:val="Нет списка12"/>
    <w:next w:val="a7"/>
    <w:uiPriority w:val="99"/>
    <w:semiHidden/>
    <w:unhideWhenUsed/>
  </w:style>
  <w:style w:type="table" w:customStyle="1" w:styleId="910">
    <w:name w:val="Сетка таблицы91"/>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Импортированный стиль 12"/>
  </w:style>
  <w:style w:type="table" w:customStyle="1" w:styleId="101">
    <w:name w:val="Сетка таблицы10"/>
    <w:basedOn w:val="a6"/>
    <w:next w:val="af0"/>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6"/>
    <w:uiPriority w:val="59"/>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ветлый список12"/>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31">
    <w:name w:val="Нет списка13"/>
    <w:next w:val="a7"/>
    <w:uiPriority w:val="99"/>
    <w:semiHidden/>
    <w:unhideWhenUsed/>
  </w:style>
  <w:style w:type="table" w:customStyle="1" w:styleId="920">
    <w:name w:val="Сетка таблицы92"/>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Импортированный стиль 13"/>
  </w:style>
  <w:style w:type="table" w:customStyle="1" w:styleId="313">
    <w:name w:val="Сетка таблицы313"/>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6"/>
    <w:uiPriority w:val="59"/>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ветлый список13"/>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41">
    <w:name w:val="Нет списка14"/>
    <w:next w:val="a7"/>
    <w:uiPriority w:val="99"/>
    <w:semiHidden/>
    <w:unhideWhenUsed/>
  </w:style>
  <w:style w:type="table" w:customStyle="1" w:styleId="930">
    <w:name w:val="Сетка таблицы93"/>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e">
    <w:name w:val="Знак сноски2"/>
    <w:rPr>
      <w:vertAlign w:val="superscript"/>
    </w:rPr>
  </w:style>
  <w:style w:type="paragraph" w:customStyle="1" w:styleId="affffff8">
    <w:name w:val="Заголовок источника"/>
    <w:basedOn w:val="a3"/>
    <w:qFormat/>
    <w:pPr>
      <w:spacing w:before="120" w:after="160"/>
      <w:ind w:firstLine="709"/>
      <w:jc w:val="both"/>
    </w:pPr>
    <w:rPr>
      <w:rFonts w:ascii="PT Astra Serif" w:hAnsi="PT Astra Serif" w:cs="Calibri"/>
      <w:color w:val="000000"/>
      <w:sz w:val="26"/>
      <w:lang w:eastAsia="ar-SA"/>
    </w:rPr>
  </w:style>
  <w:style w:type="character" w:customStyle="1" w:styleId="romain">
    <w:name w:val="romain"/>
  </w:style>
  <w:style w:type="character" w:customStyle="1" w:styleId="a-list-item">
    <w:name w:val="a-list-item"/>
  </w:style>
  <w:style w:type="character" w:customStyle="1" w:styleId="a-text-bold">
    <w:name w:val="a-text-bold"/>
  </w:style>
  <w:style w:type="character" w:customStyle="1" w:styleId="1f5">
    <w:name w:val="Название Знак1"/>
    <w:basedOn w:val="a5"/>
    <w:uiPriority w:val="10"/>
    <w:rPr>
      <w:rFonts w:ascii="Times New Roman" w:eastAsia="SimSun" w:hAnsi="Times New Roman" w:cs="Times New Roman"/>
      <w:b/>
      <w:bCs/>
      <w:sz w:val="24"/>
      <w:szCs w:val="20"/>
      <w:lang w:val="en-US" w:eastAsia="zh-CN"/>
    </w:rPr>
  </w:style>
  <w:style w:type="paragraph" w:customStyle="1" w:styleId="msonormal0">
    <w:name w:val="msonormal"/>
    <w:basedOn w:val="a3"/>
    <w:pPr>
      <w:spacing w:before="100" w:beforeAutospacing="1" w:after="100" w:afterAutospacing="1"/>
    </w:pPr>
    <w:rPr>
      <w:rFonts w:ascii="PT Astra Serif" w:hAnsi="PT Astra Serif"/>
    </w:rPr>
  </w:style>
  <w:style w:type="character" w:customStyle="1" w:styleId="314">
    <w:name w:val="Неразрешенное упоминание31"/>
    <w:uiPriority w:val="99"/>
    <w:semiHidden/>
    <w:unhideWhenUsed/>
    <w:rPr>
      <w:color w:val="605E5C"/>
      <w:shd w:val="clear" w:color="auto" w:fill="E1DFDD"/>
    </w:rPr>
  </w:style>
  <w:style w:type="paragraph" w:customStyle="1" w:styleId="BodyText21">
    <w:name w:val="Body Text 21"/>
    <w:basedOn w:val="a3"/>
    <w:pPr>
      <w:widowControl w:val="0"/>
      <w:spacing w:line="180" w:lineRule="exact"/>
      <w:ind w:firstLine="284"/>
      <w:jc w:val="both"/>
    </w:pPr>
    <w:rPr>
      <w:rFonts w:ascii="Arial" w:hAnsi="Arial"/>
      <w:sz w:val="16"/>
      <w:szCs w:val="20"/>
    </w:rPr>
  </w:style>
  <w:style w:type="table" w:customStyle="1" w:styleId="-451">
    <w:name w:val="Таблица-сетка 4 — акцент 51"/>
    <w:basedOn w:val="a6"/>
    <w:uiPriority w:val="49"/>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l104">
    <w:name w:val="xl104"/>
    <w:basedOn w:val="a3"/>
    <w:pPr>
      <w:shd w:val="clear" w:color="000000" w:fill="76933C"/>
      <w:spacing w:before="100" w:beforeAutospacing="1" w:after="100" w:afterAutospacing="1"/>
      <w:jc w:val="center"/>
    </w:pPr>
    <w:rPr>
      <w:rFonts w:ascii="Arial" w:hAnsi="Arial"/>
      <w:sz w:val="22"/>
      <w:szCs w:val="22"/>
    </w:rPr>
  </w:style>
  <w:style w:type="paragraph" w:customStyle="1" w:styleId="xl105">
    <w:name w:val="xl105"/>
    <w:basedOn w:val="a3"/>
    <w:pPr>
      <w:shd w:val="clear" w:color="000000" w:fill="F79646"/>
      <w:spacing w:before="100" w:beforeAutospacing="1" w:after="100" w:afterAutospacing="1"/>
      <w:jc w:val="center"/>
    </w:pPr>
    <w:rPr>
      <w:rFonts w:ascii="Arial" w:hAnsi="Arial"/>
      <w:sz w:val="22"/>
      <w:szCs w:val="22"/>
    </w:rPr>
  </w:style>
  <w:style w:type="paragraph" w:customStyle="1" w:styleId="xl106">
    <w:name w:val="xl106"/>
    <w:basedOn w:val="a3"/>
    <w:pPr>
      <w:shd w:val="clear" w:color="000000" w:fill="D8E4BC"/>
      <w:spacing w:before="100" w:beforeAutospacing="1" w:after="100" w:afterAutospacing="1"/>
      <w:jc w:val="center"/>
    </w:pPr>
    <w:rPr>
      <w:rFonts w:ascii="Arial" w:hAnsi="Arial"/>
      <w:sz w:val="22"/>
      <w:szCs w:val="22"/>
    </w:rPr>
  </w:style>
  <w:style w:type="paragraph" w:customStyle="1" w:styleId="xl107">
    <w:name w:val="xl107"/>
    <w:basedOn w:val="a3"/>
    <w:pPr>
      <w:shd w:val="clear" w:color="000000" w:fill="DA9694"/>
      <w:spacing w:before="100" w:beforeAutospacing="1" w:after="100" w:afterAutospacing="1"/>
      <w:jc w:val="center"/>
    </w:pPr>
    <w:rPr>
      <w:rFonts w:ascii="Arial" w:hAnsi="Arial"/>
      <w:sz w:val="22"/>
      <w:szCs w:val="22"/>
    </w:rPr>
  </w:style>
  <w:style w:type="paragraph" w:customStyle="1" w:styleId="xl108">
    <w:name w:val="xl108"/>
    <w:basedOn w:val="a3"/>
    <w:pPr>
      <w:shd w:val="clear" w:color="000000" w:fill="F2DCDB"/>
      <w:spacing w:before="100" w:beforeAutospacing="1" w:after="100" w:afterAutospacing="1"/>
      <w:jc w:val="center"/>
    </w:pPr>
    <w:rPr>
      <w:rFonts w:ascii="Arial" w:hAnsi="Arial"/>
      <w:sz w:val="22"/>
      <w:szCs w:val="22"/>
    </w:rPr>
  </w:style>
  <w:style w:type="paragraph" w:customStyle="1" w:styleId="xl109">
    <w:name w:val="xl109"/>
    <w:basedOn w:val="a3"/>
    <w:pPr>
      <w:shd w:val="clear" w:color="000000" w:fill="D8E4BC"/>
      <w:spacing w:before="100" w:beforeAutospacing="1" w:after="100" w:afterAutospacing="1"/>
    </w:pPr>
    <w:rPr>
      <w:rFonts w:ascii="Arial" w:hAnsi="Arial"/>
      <w:sz w:val="22"/>
      <w:szCs w:val="22"/>
    </w:rPr>
  </w:style>
  <w:style w:type="paragraph" w:customStyle="1" w:styleId="xl110">
    <w:name w:val="xl110"/>
    <w:basedOn w:val="a3"/>
    <w:pPr>
      <w:shd w:val="clear" w:color="000000" w:fill="E6B8B7"/>
      <w:spacing w:before="100" w:beforeAutospacing="1" w:after="100" w:afterAutospacing="1"/>
    </w:pPr>
    <w:rPr>
      <w:rFonts w:ascii="Arial" w:hAnsi="Arial"/>
      <w:sz w:val="22"/>
      <w:szCs w:val="22"/>
    </w:rPr>
  </w:style>
  <w:style w:type="paragraph" w:customStyle="1" w:styleId="xl111">
    <w:name w:val="xl111"/>
    <w:basedOn w:val="a3"/>
    <w:pPr>
      <w:shd w:val="clear" w:color="000000" w:fill="F2DCDB"/>
      <w:spacing w:before="100" w:beforeAutospacing="1" w:after="100" w:afterAutospacing="1"/>
    </w:pPr>
    <w:rPr>
      <w:rFonts w:ascii="Arial" w:hAnsi="Arial"/>
      <w:sz w:val="22"/>
      <w:szCs w:val="22"/>
    </w:rPr>
  </w:style>
  <w:style w:type="paragraph" w:customStyle="1" w:styleId="xl112">
    <w:name w:val="xl112"/>
    <w:basedOn w:val="a3"/>
    <w:pPr>
      <w:shd w:val="clear" w:color="000000" w:fill="EBF1DE"/>
      <w:spacing w:before="100" w:beforeAutospacing="1" w:after="100" w:afterAutospacing="1"/>
    </w:pPr>
    <w:rPr>
      <w:rFonts w:ascii="Arial" w:hAnsi="Arial"/>
      <w:sz w:val="22"/>
      <w:szCs w:val="22"/>
    </w:rPr>
  </w:style>
  <w:style w:type="paragraph" w:customStyle="1" w:styleId="xl113">
    <w:name w:val="xl113"/>
    <w:basedOn w:val="a3"/>
    <w:pPr>
      <w:shd w:val="clear" w:color="000000" w:fill="F2DCDB"/>
      <w:spacing w:before="100" w:beforeAutospacing="1" w:after="100" w:afterAutospacing="1"/>
    </w:pPr>
    <w:rPr>
      <w:rFonts w:ascii="Arial" w:hAnsi="Arial"/>
      <w:sz w:val="22"/>
      <w:szCs w:val="22"/>
    </w:rPr>
  </w:style>
  <w:style w:type="table" w:customStyle="1" w:styleId="170">
    <w:name w:val="Сетка таблицы17"/>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Импортированный стиль 14"/>
  </w:style>
  <w:style w:type="numbering" w:customStyle="1" w:styleId="151">
    <w:name w:val="Нет списка15"/>
    <w:next w:val="a7"/>
    <w:uiPriority w:val="99"/>
    <w:semiHidden/>
    <w:unhideWhenUsed/>
  </w:style>
  <w:style w:type="numbering" w:customStyle="1" w:styleId="1112">
    <w:name w:val="Нет списка111"/>
    <w:next w:val="a7"/>
    <w:uiPriority w:val="99"/>
    <w:semiHidden/>
    <w:unhideWhenUsed/>
  </w:style>
  <w:style w:type="numbering" w:customStyle="1" w:styleId="213">
    <w:name w:val="Нет списка21"/>
    <w:next w:val="a7"/>
    <w:uiPriority w:val="99"/>
    <w:semiHidden/>
    <w:unhideWhenUsed/>
  </w:style>
  <w:style w:type="numbering" w:customStyle="1" w:styleId="1113">
    <w:name w:val="Импортированный стиль 111"/>
  </w:style>
  <w:style w:type="numbering" w:customStyle="1" w:styleId="1210">
    <w:name w:val="Нет списка121"/>
    <w:next w:val="a7"/>
    <w:uiPriority w:val="99"/>
    <w:semiHidden/>
    <w:unhideWhenUsed/>
  </w:style>
  <w:style w:type="numbering" w:customStyle="1" w:styleId="315">
    <w:name w:val="Нет списка31"/>
    <w:next w:val="a7"/>
    <w:uiPriority w:val="99"/>
    <w:semiHidden/>
    <w:unhideWhenUsed/>
  </w:style>
  <w:style w:type="numbering" w:customStyle="1" w:styleId="1211">
    <w:name w:val="Импортированный стиль 121"/>
  </w:style>
  <w:style w:type="numbering" w:customStyle="1" w:styleId="1310">
    <w:name w:val="Нет списка131"/>
    <w:next w:val="a7"/>
    <w:uiPriority w:val="99"/>
    <w:semiHidden/>
    <w:unhideWhenUsed/>
  </w:style>
  <w:style w:type="numbering" w:customStyle="1" w:styleId="412">
    <w:name w:val="Нет списка41"/>
    <w:next w:val="a7"/>
    <w:uiPriority w:val="99"/>
    <w:semiHidden/>
    <w:unhideWhenUsed/>
  </w:style>
  <w:style w:type="numbering" w:customStyle="1" w:styleId="1311">
    <w:name w:val="Импортированный стиль 131"/>
  </w:style>
  <w:style w:type="numbering" w:customStyle="1" w:styleId="1410">
    <w:name w:val="Нет списка141"/>
    <w:next w:val="a7"/>
    <w:uiPriority w:val="99"/>
    <w:semiHidden/>
    <w:unhideWhenUsed/>
  </w:style>
  <w:style w:type="character" w:customStyle="1" w:styleId="46">
    <w:name w:val="Неразрешенное упоминание4"/>
    <w:basedOn w:val="a5"/>
    <w:uiPriority w:val="99"/>
    <w:semiHidden/>
    <w:unhideWhenUsed/>
    <w:rPr>
      <w:color w:val="605E5C"/>
      <w:shd w:val="clear" w:color="auto" w:fill="E1DFDD"/>
    </w:rPr>
  </w:style>
  <w:style w:type="table" w:customStyle="1" w:styleId="1f6">
    <w:name w:val="Сетка таблицы светлая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
    <w:name w:val="Таблица-сетка 1 светлая2"/>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paragraph" w:customStyle="1" w:styleId="a2">
    <w:name w:val="Для списков с маркировкой"/>
    <w:basedOn w:val="a8"/>
    <w:link w:val="affffff9"/>
    <w:qFormat/>
    <w:pPr>
      <w:numPr>
        <w:numId w:val="4"/>
      </w:numPr>
      <w:spacing w:before="120" w:after="120"/>
      <w:contextualSpacing w:val="0"/>
    </w:pPr>
    <w:rPr>
      <w:rFonts w:ascii="Arial" w:eastAsiaTheme="minorEastAsia" w:hAnsi="Arial"/>
      <w:sz w:val="22"/>
      <w:szCs w:val="22"/>
      <w:lang w:eastAsia="ja-JP" w:bidi="ar-SA"/>
    </w:rPr>
  </w:style>
  <w:style w:type="character" w:customStyle="1" w:styleId="affffff9">
    <w:name w:val="Для списков с маркировкой Знак"/>
    <w:basedOn w:val="a5"/>
    <w:link w:val="a2"/>
    <w:rPr>
      <w:rFonts w:ascii="Arial" w:eastAsiaTheme="minorEastAsia" w:hAnsi="Arial" w:cs="Times New Roman"/>
      <w:lang w:val="en-US" w:eastAsia="ja-JP"/>
    </w:rPr>
  </w:style>
  <w:style w:type="paragraph" w:customStyle="1" w:styleId="document-text">
    <w:name w:val="document-text"/>
    <w:basedOn w:val="a3"/>
    <w:pPr>
      <w:spacing w:before="100" w:beforeAutospacing="1" w:after="100" w:afterAutospacing="1"/>
    </w:pPr>
    <w:rPr>
      <w:rFonts w:ascii="PT Astra Serif" w:hAnsi="PT Astra Serif"/>
    </w:rPr>
  </w:style>
  <w:style w:type="character" w:customStyle="1" w:styleId="jsx-3269105891">
    <w:name w:val="jsx-3269105891"/>
    <w:basedOn w:val="a5"/>
  </w:style>
  <w:style w:type="paragraph" w:customStyle="1" w:styleId="1f7">
    <w:name w:val="Приветствие1"/>
    <w:basedOn w:val="a3"/>
    <w:next w:val="a3"/>
    <w:rPr>
      <w:rFonts w:ascii="PT Astra Serif" w:hAnsi="PT Astra Serif"/>
      <w:sz w:val="20"/>
      <w:szCs w:val="20"/>
      <w:lang w:eastAsia="ar-SA"/>
    </w:rPr>
  </w:style>
  <w:style w:type="character" w:customStyle="1" w:styleId="search-result-highlighted">
    <w:name w:val="search-result-highlighted"/>
    <w:basedOn w:val="a5"/>
  </w:style>
  <w:style w:type="paragraph" w:customStyle="1" w:styleId="revann">
    <w:name w:val="rev_ann"/>
    <w:basedOn w:val="a3"/>
    <w:uiPriority w:val="99"/>
    <w:semiHidden/>
    <w:pPr>
      <w:spacing w:before="100" w:beforeAutospacing="1" w:after="100" w:afterAutospacing="1"/>
    </w:pPr>
    <w:rPr>
      <w:rFonts w:ascii="PT Astra Serif" w:eastAsiaTheme="minorHAnsi" w:hAnsi="PT Astra Serif"/>
      <w:b/>
      <w:bCs/>
      <w:color w:val="000000"/>
    </w:rPr>
  </w:style>
  <w:style w:type="paragraph" w:customStyle="1" w:styleId="card-widetext">
    <w:name w:val="card-wide__text"/>
    <w:basedOn w:val="a3"/>
    <w:pPr>
      <w:spacing w:before="100" w:beforeAutospacing="1" w:after="100" w:afterAutospacing="1"/>
    </w:pPr>
    <w:rPr>
      <w:rFonts w:ascii="PT Astra Serif" w:hAnsi="PT Astra Serif"/>
    </w:rPr>
  </w:style>
  <w:style w:type="table" w:customStyle="1" w:styleId="affffffa">
    <w:name w:val="Таблица Стандарт Темная"/>
    <w:uiPriority w:val="99"/>
    <w:qFormat/>
    <w:pPr>
      <w:spacing w:after="0" w:line="240" w:lineRule="auto"/>
    </w:pPr>
    <w:rPr>
      <w:rFonts w:ascii="Arial" w:eastAsia="SimSun" w:hAnsi="Arial" w:cs="Times New Roman"/>
      <w:sz w:val="20"/>
      <w:szCs w:val="20"/>
      <w:lang w:eastAsia="ru-RU"/>
    </w:rPr>
    <w:tblPr>
      <w:tblBorders>
        <w:top w:val="single" w:sz="4" w:space="0" w:color="99CCFF"/>
        <w:left w:val="single" w:sz="4" w:space="0" w:color="99CCFF"/>
        <w:bottom w:val="single" w:sz="4" w:space="0" w:color="99CCFF"/>
        <w:right w:val="single" w:sz="4" w:space="0" w:color="99CCFF"/>
        <w:insideH w:val="single" w:sz="4" w:space="0" w:color="99CCFF"/>
        <w:insideV w:val="single" w:sz="4" w:space="0" w:color="99CCFF"/>
      </w:tblBorders>
      <w:tblCellMar>
        <w:top w:w="0" w:type="dxa"/>
        <w:left w:w="0" w:type="dxa"/>
        <w:bottom w:w="0" w:type="dxa"/>
        <w:right w:w="0" w:type="dxa"/>
      </w:tblCellMar>
    </w:tblPr>
    <w:tblStylePr w:type="firstRow">
      <w:rPr>
        <w:b/>
        <w:bCs/>
        <w:color w:val="auto"/>
      </w:rPr>
      <w:tblPr/>
      <w:tcPr>
        <w:tcBorders>
          <w:top w:val="single" w:sz="4" w:space="0" w:color="99CCFF"/>
          <w:left w:val="single" w:sz="4" w:space="0" w:color="99CCFF"/>
          <w:bottom w:val="single" w:sz="4" w:space="0" w:color="99CCFF"/>
          <w:right w:val="single" w:sz="4" w:space="0" w:color="99CCFF"/>
        </w:tcBorders>
        <w:shd w:val="clear" w:color="auto" w:fill="99CCFF"/>
      </w:tcPr>
    </w:tblStylePr>
    <w:tblStylePr w:type="lastRow">
      <w:rPr>
        <w:b/>
        <w:bCs/>
      </w:rPr>
      <w:tblPr/>
      <w:tcPr>
        <w:tcBorders>
          <w:top w:val="single" w:sz="2" w:space="0" w:color="36FE91"/>
        </w:tcBorders>
      </w:tcPr>
    </w:tblStylePr>
    <w:tblStylePr w:type="firstCol">
      <w:rPr>
        <w:b/>
        <w:bCs/>
      </w:rPr>
    </w:tblStylePr>
    <w:tblStylePr w:type="lastCol">
      <w:rPr>
        <w:b/>
        <w:bCs/>
      </w:rPr>
    </w:tblStylePr>
  </w:style>
  <w:style w:type="table" w:customStyle="1" w:styleId="-4511">
    <w:name w:val="Таблица-сетка 4 — акцент 511"/>
    <w:basedOn w:val="a6"/>
    <w:uiPriority w:val="49"/>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6">
    <w:name w:val="Сетка таблицы светлая1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Заголовок 0"/>
    <w:basedOn w:val="a4"/>
    <w:next w:val="a4"/>
    <w:qFormat/>
    <w:pPr>
      <w:ind w:firstLine="0"/>
      <w:jc w:val="center"/>
    </w:pPr>
    <w:rPr>
      <w:b/>
    </w:rPr>
  </w:style>
  <w:style w:type="paragraph" w:customStyle="1" w:styleId="affffffb">
    <w:name w:val="Заг_осн.текст без абзаца"/>
    <w:basedOn w:val="a4"/>
    <w:qFormat/>
    <w:pPr>
      <w:ind w:firstLine="0"/>
    </w:pPr>
  </w:style>
  <w:style w:type="paragraph" w:customStyle="1" w:styleId="1f8">
    <w:name w:val="Заголовок 1 Приложение"/>
    <w:basedOn w:val="10"/>
    <w:next w:val="a4"/>
    <w:qFormat/>
    <w:pPr>
      <w:ind w:firstLine="0"/>
      <w:jc w:val="center"/>
    </w:pPr>
  </w:style>
  <w:style w:type="paragraph" w:customStyle="1" w:styleId="2f">
    <w:name w:val="Заголовок 2 Приложение"/>
    <w:basedOn w:val="21"/>
    <w:next w:val="a4"/>
    <w:qFormat/>
    <w:pPr>
      <w:ind w:firstLine="0"/>
      <w:jc w:val="center"/>
    </w:pPr>
  </w:style>
  <w:style w:type="paragraph" w:customStyle="1" w:styleId="References">
    <w:name w:val="References"/>
    <w:basedOn w:val="a3"/>
    <w:pPr>
      <w:numPr>
        <w:numId w:val="5"/>
      </w:numPr>
      <w:spacing w:line="360" w:lineRule="auto"/>
      <w:jc w:val="both"/>
    </w:pPr>
    <w:rPr>
      <w:rFonts w:ascii="PT Astra Serif" w:hAnsi="PT Astra Serif"/>
      <w:szCs w:val="20"/>
      <w:lang w:eastAsia="en-US"/>
    </w:rPr>
  </w:style>
  <w:style w:type="numbering" w:customStyle="1" w:styleId="LFO15">
    <w:name w:val="LFO15"/>
    <w:basedOn w:val="a7"/>
    <w:pPr>
      <w:numPr>
        <w:numId w:val="5"/>
      </w:numPr>
    </w:pPr>
  </w:style>
  <w:style w:type="table" w:customStyle="1" w:styleId="-131">
    <w:name w:val="Таблица-сетка 1 светлая — акцент 31"/>
    <w:basedOn w:val="a6"/>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single" w:sz="2" w:space="0" w:color="C9C9C9" w:themeColor="accent3" w:themeTint="99"/>
        </w:tcBorders>
      </w:tcPr>
    </w:tblStylePr>
    <w:tblStylePr w:type="firstCol">
      <w:rPr>
        <w:b/>
        <w:bCs/>
      </w:rPr>
    </w:tblStylePr>
    <w:tblStylePr w:type="lastCol">
      <w:rPr>
        <w:b/>
        <w:bCs/>
      </w:rPr>
    </w:tblStylePr>
  </w:style>
  <w:style w:type="table" w:customStyle="1" w:styleId="-13">
    <w:name w:val="Таблица-сетка 1 светлая3"/>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character" w:customStyle="1" w:styleId="vkekvd">
    <w:name w:val="vkekvd"/>
    <w:basedOn w:val="a5"/>
  </w:style>
  <w:style w:type="character" w:customStyle="1" w:styleId="t286pc">
    <w:name w:val="t286pc"/>
    <w:basedOn w:val="a5"/>
  </w:style>
  <w:style w:type="paragraph" w:customStyle="1" w:styleId="Pa3">
    <w:name w:val="Pa3"/>
    <w:basedOn w:val="a3"/>
    <w:next w:val="a3"/>
    <w:uiPriority w:val="99"/>
    <w:pPr>
      <w:spacing w:line="241" w:lineRule="atLeast"/>
    </w:pPr>
    <w:rPr>
      <w:rFonts w:ascii="Octava" w:eastAsiaTheme="minorHAnsi" w:hAnsi="Octava" w:cstheme="minorBidi"/>
      <w:lang w:eastAsia="en-US"/>
    </w:rPr>
  </w:style>
  <w:style w:type="character" w:customStyle="1" w:styleId="uv3um">
    <w:name w:val="uv3um"/>
    <w:basedOn w:val="a5"/>
  </w:style>
  <w:style w:type="table" w:customStyle="1" w:styleId="-14">
    <w:name w:val="Таблица-сетка 1 светлая4"/>
    <w:basedOn w:val="a6"/>
    <w:uiPriority w:val="46"/>
    <w:qFormat/>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paragraph" w:styleId="affffffc">
    <w:name w:val="Intense Quote"/>
    <w:basedOn w:val="a3"/>
    <w:next w:val="a3"/>
    <w:link w:val="affffffd"/>
    <w:uiPriority w:val="30"/>
    <w:qFormat/>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fffffd">
    <w:name w:val="Выделенная цитата Знак"/>
    <w:basedOn w:val="a5"/>
    <w:link w:val="affffffc"/>
    <w:uiPriority w:val="30"/>
    <w:rPr>
      <w:i/>
      <w:iCs/>
      <w:color w:val="2E74B5" w:themeColor="accent1" w:themeShade="BF"/>
    </w:rPr>
  </w:style>
  <w:style w:type="table" w:customStyle="1" w:styleId="-611">
    <w:name w:val="Список-таблица 6 цветная — акцент 11"/>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12">
    <w:name w:val="Список-таблица 6 цветная1"/>
    <w:basedOn w:val="a6"/>
    <w:uiPriority w:val="9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1">
    <w:name w:val="Список-таблица 6 цветная — акцент 31"/>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2">
    <w:name w:val="Таблица-сетка 4 — акцент 52"/>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f0">
    <w:name w:val="Сетка таблицы светлая2"/>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5">
    <w:name w:val="Таблица-сетка 1 светлая5"/>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531">
    <w:name w:val="53"/>
    <w:basedOn w:val="a6"/>
    <w:pPr>
      <w:spacing w:after="0" w:line="240" w:lineRule="auto"/>
    </w:pPr>
    <w:rPr>
      <w:rFonts w:ascii="Calibri" w:eastAsia="Calibri" w:hAnsi="Calibri" w:cs="Calibri"/>
      <w:lang w:eastAsia="zh-CN"/>
    </w:rPr>
    <w:tblPr>
      <w:tblStyleRowBandSize w:val="1"/>
      <w:tblStyleColBandSize w:val="1"/>
    </w:tblPr>
  </w:style>
  <w:style w:type="paragraph" w:customStyle="1" w:styleId="FirstParagraph">
    <w:name w:val="First Paragraph"/>
    <w:basedOn w:val="af4"/>
    <w:next w:val="af4"/>
    <w:qFormat/>
    <w:pPr>
      <w:spacing w:before="180" w:after="180"/>
      <w:jc w:val="left"/>
    </w:pPr>
    <w:rPr>
      <w:rFonts w:asciiTheme="minorHAnsi" w:eastAsiaTheme="minorHAnsi" w:hAnsiTheme="minorHAnsi" w:cstheme="minorBidi"/>
      <w:lang w:eastAsia="en-US" w:bidi="ar-SA"/>
    </w:rPr>
  </w:style>
  <w:style w:type="paragraph" w:customStyle="1" w:styleId="Compact">
    <w:name w:val="Compact"/>
    <w:basedOn w:val="af4"/>
    <w:qFormat/>
    <w:pPr>
      <w:spacing w:before="36" w:after="36"/>
      <w:jc w:val="left"/>
    </w:pPr>
    <w:rPr>
      <w:rFonts w:asciiTheme="minorHAnsi" w:eastAsiaTheme="minorHAnsi" w:hAnsiTheme="minorHAnsi" w:cstheme="minorBidi"/>
      <w:lang w:eastAsia="en-US" w:bidi="ar-SA"/>
    </w:rPr>
  </w:style>
  <w:style w:type="table" w:customStyle="1" w:styleId="Table">
    <w:name w:val="Table"/>
    <w:semiHidden/>
    <w:unhideWhenUsed/>
    <w:qFormat/>
    <w:pPr>
      <w:spacing w:after="200" w:line="240" w:lineRule="auto"/>
    </w:pPr>
    <w:rPr>
      <w:sz w:val="24"/>
      <w:szCs w:val="24"/>
      <w:lang w:eastAsia="ru-R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000000"/>
        </w:tcBorders>
        <w:vAlign w:val="bottom"/>
      </w:tcPr>
    </w:tblStylePr>
  </w:style>
  <w:style w:type="table" w:customStyle="1" w:styleId="180">
    <w:name w:val="Сетка таблицы18"/>
    <w:basedOn w:val="a6"/>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писок-таблица 6 цветная — акцент 12"/>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
    <w:name w:val="Список-таблица 6 цветная2"/>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2">
    <w:name w:val="Список-таблица 6 цветная — акцент 32"/>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3">
    <w:name w:val="Таблица-сетка 4 — акцент 53"/>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3b">
    <w:name w:val="Сетка таблицы светлая3"/>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ff2">
    <w:name w:val="Название объекта Знак"/>
    <w:basedOn w:val="a5"/>
    <w:link w:val="affffff1"/>
    <w:uiPriority w:val="35"/>
    <w:rPr>
      <w:rFonts w:ascii="Calibri" w:eastAsia="Calibri" w:hAnsi="Calibri" w:cs="Times New Roman"/>
      <w:i/>
      <w:iCs/>
      <w:color w:val="44546A"/>
      <w:sz w:val="18"/>
      <w:szCs w:val="18"/>
      <w:lang w:val="de-DE"/>
    </w:rPr>
  </w:style>
  <w:style w:type="paragraph" w:customStyle="1" w:styleId="2105">
    <w:name w:val="Перечисления без  ссылок по ГОСТ 2.105"/>
    <w:basedOn w:val="a3"/>
    <w:qFormat/>
    <w:pPr>
      <w:numPr>
        <w:numId w:val="6"/>
      </w:numPr>
      <w:tabs>
        <w:tab w:val="clear" w:pos="720"/>
        <w:tab w:val="num" w:pos="993"/>
      </w:tabs>
      <w:spacing w:before="120" w:after="120"/>
      <w:ind w:firstLine="709"/>
      <w:jc w:val="both"/>
    </w:pPr>
    <w:rPr>
      <w:rFonts w:ascii="Arial" w:hAnsi="Arial"/>
      <w:sz w:val="22"/>
    </w:rPr>
  </w:style>
  <w:style w:type="paragraph" w:customStyle="1" w:styleId="21050">
    <w:name w:val="Перечисления для ссылок из текста по ГОСТ 2.105"/>
    <w:basedOn w:val="a3"/>
    <w:pPr>
      <w:numPr>
        <w:numId w:val="7"/>
      </w:numPr>
      <w:tabs>
        <w:tab w:val="left" w:pos="993"/>
      </w:tabs>
      <w:spacing w:before="120" w:after="120"/>
      <w:jc w:val="both"/>
    </w:pPr>
    <w:rPr>
      <w:rFonts w:ascii="Arial" w:hAnsi="Arial"/>
      <w:sz w:val="22"/>
    </w:rPr>
  </w:style>
  <w:style w:type="paragraph" w:customStyle="1" w:styleId="affffffe">
    <w:name w:val="Заголовок структуры ГОСТ"/>
    <w:basedOn w:val="a3"/>
    <w:qFormat/>
    <w:pPr>
      <w:pageBreakBefore/>
      <w:spacing w:before="120" w:after="120"/>
      <w:jc w:val="both"/>
    </w:pPr>
    <w:rPr>
      <w:rFonts w:ascii="Arial" w:eastAsiaTheme="minorHAnsi" w:hAnsi="Arial" w:cstheme="minorBidi"/>
      <w:caps/>
      <w:sz w:val="28"/>
      <w:szCs w:val="22"/>
      <w:lang w:eastAsia="en-US"/>
    </w:rPr>
  </w:style>
  <w:style w:type="table" w:customStyle="1" w:styleId="afffffff">
    <w:name w:val="Таблица Стандарт Светлая"/>
    <w:basedOn w:val="-131"/>
    <w:uiPriority w:val="99"/>
    <w:tblPr/>
    <w:tblStylePr w:type="firstRow">
      <w:rPr>
        <w:b/>
        <w:bCs/>
      </w:rPr>
      <w:tblPr/>
      <w:tcPr>
        <w:tcBorders>
          <w:bottom w:val="single" w:sz="12" w:space="0" w:color="C9C9C9" w:themeColor="accent3" w:themeTint="99"/>
        </w:tcBorders>
        <w:shd w:val="clear" w:color="auto" w:fill="DBDBDB" w:themeFill="accent3" w:themeFillTint="66"/>
      </w:tcPr>
    </w:tblStylePr>
    <w:tblStylePr w:type="lastRow">
      <w:rPr>
        <w:b/>
        <w:bCs/>
      </w:rPr>
      <w:tblPr/>
      <w:tcPr>
        <w:tcBorders>
          <w:top w:val="single" w:sz="2" w:space="0" w:color="C9C9C9" w:themeColor="accent3" w:themeTint="99"/>
        </w:tcBorders>
      </w:tcPr>
    </w:tblStylePr>
    <w:tblStylePr w:type="firstCol">
      <w:rPr>
        <w:b/>
        <w:bCs/>
      </w:rPr>
    </w:tblStylePr>
    <w:tblStylePr w:type="lastCol">
      <w:rPr>
        <w:b/>
        <w:bCs/>
      </w:rPr>
    </w:tblStylePr>
  </w:style>
  <w:style w:type="table" w:customStyle="1" w:styleId="117">
    <w:name w:val="Таблица простая 11"/>
    <w:basedOn w:val="a6"/>
    <w:uiPriority w:val="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0">
    <w:name w:val="Название рисунка"/>
    <w:basedOn w:val="a3"/>
    <w:pPr>
      <w:keepNext/>
      <w:keepLines/>
      <w:suppressLineNumbers/>
      <w:spacing w:before="120" w:after="120"/>
      <w:jc w:val="center"/>
    </w:pPr>
    <w:rPr>
      <w:rFonts w:ascii="Arial" w:eastAsiaTheme="minorEastAsia" w:hAnsi="Arial"/>
      <w:sz w:val="22"/>
      <w:szCs w:val="22"/>
      <w:lang w:val="en-US" w:eastAsia="ar-SA"/>
    </w:rPr>
  </w:style>
  <w:style w:type="paragraph" w:customStyle="1" w:styleId="afffffff1">
    <w:name w:val="Для списков с нумерацией"/>
    <w:basedOn w:val="a8"/>
    <w:link w:val="afffffff2"/>
    <w:pPr>
      <w:tabs>
        <w:tab w:val="left" w:pos="1560"/>
      </w:tabs>
      <w:spacing w:before="120" w:after="120"/>
      <w:ind w:left="0"/>
      <w:contextualSpacing w:val="0"/>
    </w:pPr>
    <w:rPr>
      <w:rFonts w:ascii="Arial" w:eastAsiaTheme="minorEastAsia" w:hAnsi="Arial"/>
      <w:lang w:eastAsia="ja-JP" w:bidi="ar-SA"/>
    </w:rPr>
  </w:style>
  <w:style w:type="character" w:customStyle="1" w:styleId="afffffff2">
    <w:name w:val="Для списков с нумерацией Знак"/>
    <w:basedOn w:val="a9"/>
    <w:link w:val="afffffff1"/>
    <w:rPr>
      <w:rFonts w:ascii="Arial" w:eastAsiaTheme="minorEastAsia" w:hAnsi="Arial" w:cs="Times New Roman"/>
      <w:sz w:val="24"/>
      <w:szCs w:val="24"/>
      <w:lang w:val="en-US" w:eastAsia="ja-JP"/>
    </w:rPr>
  </w:style>
  <w:style w:type="paragraph" w:customStyle="1" w:styleId="afffffff3">
    <w:name w:val="Для примечаний"/>
    <w:basedOn w:val="a3"/>
    <w:link w:val="afffffff4"/>
    <w:pPr>
      <w:tabs>
        <w:tab w:val="left" w:pos="1134"/>
      </w:tabs>
      <w:spacing w:before="120" w:after="120"/>
      <w:jc w:val="both"/>
    </w:pPr>
    <w:rPr>
      <w:rFonts w:ascii="Arial" w:eastAsia="DejaVu Sans" w:hAnsi="Arial"/>
      <w:color w:val="000000"/>
      <w:sz w:val="22"/>
      <w:szCs w:val="22"/>
      <w:lang w:val="en-US" w:eastAsia="ar-SA"/>
    </w:rPr>
  </w:style>
  <w:style w:type="character" w:customStyle="1" w:styleId="afffffff4">
    <w:name w:val="Для примечаний Знак"/>
    <w:basedOn w:val="a5"/>
    <w:link w:val="afffffff3"/>
    <w:rPr>
      <w:rFonts w:ascii="Arial" w:eastAsia="DejaVu Sans" w:hAnsi="Arial" w:cs="Times New Roman"/>
      <w:color w:val="000000"/>
      <w:lang w:val="en-US" w:eastAsia="ar-SA"/>
    </w:rPr>
  </w:style>
  <w:style w:type="paragraph" w:customStyle="1" w:styleId="afffffff5">
    <w:name w:val="Примечание"/>
    <w:basedOn w:val="a3"/>
    <w:link w:val="afffffff6"/>
    <w:pPr>
      <w:keepNext/>
      <w:spacing w:before="120" w:after="120"/>
      <w:jc w:val="both"/>
    </w:pPr>
    <w:rPr>
      <w:rFonts w:ascii="Arial" w:eastAsiaTheme="minorEastAsia" w:hAnsi="Arial"/>
      <w:color w:val="000000"/>
      <w:sz w:val="22"/>
      <w:szCs w:val="22"/>
      <w:lang w:val="en-US" w:eastAsia="ar-SA"/>
    </w:rPr>
  </w:style>
  <w:style w:type="character" w:customStyle="1" w:styleId="afffffff6">
    <w:name w:val="Примечание Знак"/>
    <w:basedOn w:val="a5"/>
    <w:link w:val="afffffff5"/>
    <w:rPr>
      <w:rFonts w:ascii="Arial" w:eastAsiaTheme="minorEastAsia" w:hAnsi="Arial" w:cs="Times New Roman"/>
      <w:color w:val="000000"/>
      <w:lang w:val="en-US" w:eastAsia="ar-SA"/>
    </w:rPr>
  </w:style>
  <w:style w:type="paragraph" w:customStyle="1" w:styleId="afffffff7">
    <w:name w:val="Основное меню (преемственное)"/>
    <w:basedOn w:val="a3"/>
    <w:next w:val="a3"/>
    <w:uiPriority w:val="99"/>
    <w:pPr>
      <w:spacing w:before="120" w:after="120"/>
      <w:jc w:val="both"/>
    </w:pPr>
    <w:rPr>
      <w:rFonts w:ascii="Verdana" w:eastAsiaTheme="minorEastAsia" w:hAnsi="Verdana" w:cs="Verdana"/>
      <w:sz w:val="22"/>
      <w:szCs w:val="22"/>
      <w:lang w:val="en-US" w:eastAsia="ja-JP"/>
    </w:rPr>
  </w:style>
  <w:style w:type="paragraph" w:customStyle="1" w:styleId="afffffff8">
    <w:name w:val="Комментарий"/>
    <w:basedOn w:val="a3"/>
    <w:next w:val="a3"/>
    <w:uiPriority w:val="99"/>
    <w:pPr>
      <w:spacing w:before="75" w:after="120"/>
      <w:jc w:val="both"/>
    </w:pPr>
    <w:rPr>
      <w:rFonts w:ascii="Arial" w:eastAsiaTheme="minorEastAsia" w:hAnsi="Arial" w:cstheme="minorBidi"/>
      <w:i/>
      <w:iCs/>
      <w:color w:val="800080"/>
      <w:sz w:val="22"/>
      <w:szCs w:val="22"/>
      <w:lang w:val="en-US" w:eastAsia="ja-JP"/>
    </w:rPr>
  </w:style>
  <w:style w:type="paragraph" w:customStyle="1" w:styleId="afffffff9">
    <w:name w:val="Колонтитул (левый)"/>
    <w:basedOn w:val="a3"/>
    <w:next w:val="a3"/>
    <w:uiPriority w:val="99"/>
    <w:pPr>
      <w:spacing w:before="120" w:after="120"/>
      <w:jc w:val="both"/>
    </w:pPr>
    <w:rPr>
      <w:rFonts w:ascii="Arial" w:eastAsiaTheme="minorEastAsia" w:hAnsi="Arial" w:cstheme="minorBidi"/>
      <w:sz w:val="16"/>
      <w:szCs w:val="16"/>
      <w:lang w:val="en-US" w:eastAsia="ja-JP"/>
    </w:rPr>
  </w:style>
  <w:style w:type="paragraph" w:customStyle="1" w:styleId="afffffffa">
    <w:name w:val="Колонтитул (правый)"/>
    <w:basedOn w:val="a3"/>
    <w:next w:val="a3"/>
    <w:uiPriority w:val="99"/>
    <w:pPr>
      <w:spacing w:before="120" w:after="120"/>
      <w:jc w:val="both"/>
    </w:pPr>
    <w:rPr>
      <w:rFonts w:ascii="Arial" w:eastAsiaTheme="minorEastAsia" w:hAnsi="Arial" w:cstheme="minorBidi"/>
      <w:sz w:val="16"/>
      <w:szCs w:val="16"/>
      <w:lang w:val="en-US" w:eastAsia="ja-JP"/>
    </w:rPr>
  </w:style>
  <w:style w:type="paragraph" w:customStyle="1" w:styleId="afffffffb">
    <w:name w:val="Комментарий пользователя"/>
    <w:basedOn w:val="afffffff8"/>
    <w:next w:val="a3"/>
    <w:uiPriority w:val="99"/>
    <w:pPr>
      <w:spacing w:before="0"/>
    </w:pPr>
    <w:rPr>
      <w:i w:val="0"/>
      <w:iCs w:val="0"/>
      <w:color w:val="000080"/>
    </w:rPr>
  </w:style>
  <w:style w:type="paragraph" w:customStyle="1" w:styleId="afffffffc">
    <w:name w:val="Моноширинный"/>
    <w:basedOn w:val="a3"/>
    <w:next w:val="a3"/>
    <w:uiPriority w:val="99"/>
    <w:pPr>
      <w:spacing w:before="120" w:after="120"/>
      <w:jc w:val="both"/>
    </w:pPr>
    <w:rPr>
      <w:rFonts w:ascii="Courier New" w:eastAsiaTheme="minorEastAsia" w:hAnsi="Courier New" w:cs="Courier New"/>
      <w:sz w:val="22"/>
      <w:szCs w:val="22"/>
      <w:lang w:val="en-US" w:eastAsia="ja-JP"/>
    </w:rPr>
  </w:style>
  <w:style w:type="paragraph" w:customStyle="1" w:styleId="afffffffd">
    <w:name w:val="Нормальный (таблица)"/>
    <w:basedOn w:val="a3"/>
    <w:next w:val="a3"/>
    <w:uiPriority w:val="99"/>
    <w:pPr>
      <w:spacing w:before="120" w:after="120"/>
      <w:jc w:val="both"/>
    </w:pPr>
    <w:rPr>
      <w:rFonts w:ascii="Arial" w:eastAsiaTheme="minorEastAsia" w:hAnsi="Arial" w:cstheme="minorBidi"/>
      <w:sz w:val="22"/>
      <w:szCs w:val="22"/>
      <w:lang w:val="en-US" w:eastAsia="ja-JP"/>
    </w:rPr>
  </w:style>
  <w:style w:type="paragraph" w:customStyle="1" w:styleId="afffffffe">
    <w:name w:val="Объект"/>
    <w:basedOn w:val="a3"/>
    <w:next w:val="a3"/>
    <w:uiPriority w:val="99"/>
    <w:pPr>
      <w:spacing w:before="120" w:after="120"/>
      <w:jc w:val="both"/>
    </w:pPr>
    <w:rPr>
      <w:rFonts w:ascii="Arial" w:eastAsiaTheme="minorEastAsia" w:hAnsi="Arial" w:cstheme="minorBidi"/>
      <w:sz w:val="22"/>
      <w:szCs w:val="22"/>
      <w:lang w:val="en-US" w:eastAsia="ja-JP"/>
    </w:rPr>
  </w:style>
  <w:style w:type="paragraph" w:customStyle="1" w:styleId="affffffff">
    <w:name w:val="Таблицы (моноширинный)"/>
    <w:basedOn w:val="a3"/>
    <w:next w:val="a3"/>
    <w:uiPriority w:val="99"/>
    <w:pPr>
      <w:spacing w:before="120" w:after="120"/>
      <w:jc w:val="both"/>
    </w:pPr>
    <w:rPr>
      <w:rFonts w:ascii="Courier New" w:eastAsiaTheme="minorEastAsia" w:hAnsi="Courier New" w:cs="Courier New"/>
      <w:sz w:val="22"/>
      <w:szCs w:val="22"/>
      <w:lang w:val="en-US" w:eastAsia="ja-JP"/>
    </w:rPr>
  </w:style>
  <w:style w:type="paragraph" w:customStyle="1" w:styleId="affffffff0">
    <w:name w:val="Оглавление"/>
    <w:basedOn w:val="affffffff"/>
    <w:next w:val="a3"/>
    <w:uiPriority w:val="99"/>
    <w:pPr>
      <w:ind w:left="140"/>
    </w:pPr>
    <w:rPr>
      <w:rFonts w:ascii="Arial" w:hAnsi="Arial" w:cs="Arial"/>
    </w:rPr>
  </w:style>
  <w:style w:type="character" w:customStyle="1" w:styleId="affffffff1">
    <w:name w:val="Опечатки"/>
    <w:uiPriority w:val="99"/>
    <w:rPr>
      <w:color w:val="FF0000"/>
    </w:rPr>
  </w:style>
  <w:style w:type="paragraph" w:customStyle="1" w:styleId="affffffff2">
    <w:name w:val="Переменная часть"/>
    <w:basedOn w:val="afffffff7"/>
    <w:next w:val="a3"/>
    <w:uiPriority w:val="99"/>
    <w:rPr>
      <w:rFonts w:ascii="Arial" w:hAnsi="Arial" w:cs="Arial"/>
      <w:szCs w:val="20"/>
    </w:rPr>
  </w:style>
  <w:style w:type="paragraph" w:customStyle="1" w:styleId="affffffff3">
    <w:name w:val="Центрированный (таблица)"/>
    <w:basedOn w:val="afffffffd"/>
    <w:next w:val="a3"/>
    <w:uiPriority w:val="99"/>
    <w:pPr>
      <w:jc w:val="center"/>
    </w:pPr>
  </w:style>
  <w:style w:type="table" w:customStyle="1" w:styleId="118">
    <w:name w:val="Светлый список — акцент 11"/>
    <w:basedOn w:val="a6"/>
    <w:next w:val="124"/>
    <w:uiPriority w:val="61"/>
    <w:pPr>
      <w:spacing w:after="0" w:line="240" w:lineRule="auto"/>
    </w:pPr>
    <w:rPr>
      <w:rFonts w:ascii="Arial" w:eastAsia="Arial" w:hAnsi="Arial"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sing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4">
    <w:name w:val="Светлый список — акцент 12"/>
    <w:basedOn w:val="a6"/>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
    <w:name w:val="Light Shading Accent 3"/>
    <w:basedOn w:val="a6"/>
    <w:uiPriority w:val="60"/>
    <w:pPr>
      <w:spacing w:after="0" w:line="240" w:lineRule="auto"/>
    </w:pPr>
    <w:rPr>
      <w:rFonts w:ascii="Times New Roman" w:eastAsia="Times New Roman" w:hAnsi="Times New Roman" w:cs="Times New Roman"/>
      <w:color w:val="7B7B7B" w:themeColor="accent3" w:themeShade="BF"/>
      <w:sz w:val="20"/>
      <w:szCs w:val="20"/>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la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8E8E8" w:themeFill="accent3" w:themeFillTint="3F"/>
      </w:tcPr>
    </w:tblStylePr>
    <w:tblStylePr w:type="band1Horz">
      <w:tblPr/>
      <w:tcPr>
        <w:tcBorders>
          <w:left w:val="none" w:sz="4" w:space="0" w:color="000000"/>
          <w:right w:val="none" w:sz="4" w:space="0" w:color="000000"/>
        </w:tcBorders>
        <w:shd w:val="clear" w:color="auto" w:fill="E8E8E8" w:themeFill="accent3" w:themeFillTint="3F"/>
      </w:tcPr>
    </w:tblStylePr>
  </w:style>
  <w:style w:type="table" w:styleId="-30">
    <w:name w:val="Light List Accent 3"/>
    <w:basedOn w:val="a6"/>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2f1">
    <w:name w:val="Стиль2"/>
    <w:basedOn w:val="a3"/>
    <w:link w:val="2f2"/>
    <w:qFormat/>
    <w:pPr>
      <w:spacing w:before="120" w:after="120"/>
      <w:jc w:val="both"/>
    </w:pPr>
    <w:rPr>
      <w:rFonts w:ascii="Arial" w:hAnsi="Arial"/>
      <w:sz w:val="22"/>
      <w:lang w:val="en-US"/>
    </w:rPr>
  </w:style>
  <w:style w:type="character" w:customStyle="1" w:styleId="2f2">
    <w:name w:val="Стиль2 Знак"/>
    <w:link w:val="2f1"/>
    <w:rPr>
      <w:rFonts w:ascii="Arial" w:eastAsia="Times New Roman" w:hAnsi="Arial" w:cs="Times New Roman"/>
      <w:szCs w:val="24"/>
      <w:lang w:val="en-US" w:eastAsia="ru-RU"/>
    </w:rPr>
  </w:style>
  <w:style w:type="character" w:styleId="affffffff4">
    <w:name w:val="Book Title"/>
    <w:uiPriority w:val="33"/>
    <w:rPr>
      <w:b/>
      <w:bCs/>
      <w:smallCaps/>
      <w:spacing w:val="5"/>
    </w:rPr>
  </w:style>
  <w:style w:type="table" w:customStyle="1" w:styleId="-151">
    <w:name w:val="Таблица-сетка 1 светлая — акцент 51"/>
    <w:basedOn w:val="a6"/>
    <w:uiPriority w:val="46"/>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single" w:sz="2" w:space="0" w:color="8EAADB"/>
        </w:tcBorders>
      </w:tcPr>
    </w:tblStylePr>
    <w:tblStylePr w:type="firstCol">
      <w:rPr>
        <w:b/>
        <w:bCs/>
      </w:rPr>
    </w:tblStylePr>
    <w:tblStylePr w:type="lastCol">
      <w:rPr>
        <w:b/>
        <w:bCs/>
      </w:rPr>
    </w:tblStylePr>
  </w:style>
  <w:style w:type="paragraph" w:customStyle="1" w:styleId="3c">
    <w:name w:val="Стиль3"/>
    <w:basedOn w:val="a3"/>
    <w:uiPriority w:val="99"/>
    <w:semiHidden/>
    <w:pPr>
      <w:spacing w:before="120" w:after="120"/>
      <w:jc w:val="center"/>
    </w:pPr>
    <w:rPr>
      <w:rFonts w:ascii="Arial" w:hAnsi="Arial"/>
      <w:sz w:val="16"/>
      <w:szCs w:val="20"/>
      <w:lang w:val="en-US" w:eastAsia="ja-JP"/>
    </w:rPr>
  </w:style>
  <w:style w:type="paragraph" w:customStyle="1" w:styleId="affffffff5">
    <w:name w:val="Рисунок"/>
    <w:basedOn w:val="a3"/>
    <w:link w:val="Char"/>
    <w:pPr>
      <w:spacing w:before="120" w:after="240"/>
      <w:jc w:val="center"/>
    </w:pPr>
    <w:rPr>
      <w:rFonts w:ascii="Arial" w:eastAsiaTheme="minorHAnsi" w:hAnsi="Arial" w:cstheme="minorBidi"/>
      <w:sz w:val="22"/>
      <w:szCs w:val="22"/>
    </w:rPr>
  </w:style>
  <w:style w:type="character" w:customStyle="1" w:styleId="Char">
    <w:name w:val="Рисунок Char"/>
    <w:basedOn w:val="a5"/>
    <w:link w:val="affffffff5"/>
    <w:rPr>
      <w:rFonts w:ascii="Arial" w:hAnsi="Arial"/>
      <w:lang w:eastAsia="ru-RU"/>
    </w:rPr>
  </w:style>
  <w:style w:type="table" w:customStyle="1" w:styleId="1114">
    <w:name w:val="Таблица простая 111"/>
    <w:basedOn w:val="a6"/>
    <w:uiPriority w:val="41"/>
    <w:pPr>
      <w:spacing w:after="0" w:line="240" w:lineRule="auto"/>
    </w:pPr>
    <w:rPr>
      <w:rFonts w:eastAsiaTheme="minorEastAsia"/>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Vlist">
    <w:name w:val="AV_list"/>
    <w:uiPriority w:val="99"/>
    <w:pPr>
      <w:numPr>
        <w:numId w:val="8"/>
      </w:numPr>
    </w:pPr>
  </w:style>
  <w:style w:type="table" w:styleId="-16">
    <w:name w:val="Light List Accent 1"/>
    <w:basedOn w:val="a6"/>
    <w:uiPriority w:val="61"/>
    <w:pPr>
      <w:spacing w:after="0" w:line="240" w:lineRule="auto"/>
    </w:pPr>
    <w:rPr>
      <w:rFonts w:ascii="Arial" w:eastAsia="Arial" w:hAnsi="Arial" w:cs="Times New Roman"/>
      <w:sz w:val="20"/>
      <w:szCs w:val="20"/>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customStyle="1" w:styleId="AVlistlev3">
    <w:name w:val="AV_list_lev3"/>
    <w:uiPriority w:val="99"/>
    <w:pPr>
      <w:numPr>
        <w:numId w:val="9"/>
      </w:numPr>
    </w:pPr>
  </w:style>
  <w:style w:type="numbering" w:customStyle="1" w:styleId="AVlistlev2">
    <w:name w:val="AV_list_lev2"/>
    <w:uiPriority w:val="99"/>
    <w:pPr>
      <w:numPr>
        <w:numId w:val="10"/>
      </w:numPr>
    </w:pPr>
  </w:style>
  <w:style w:type="table" w:customStyle="1" w:styleId="AVreport">
    <w:name w:val="AV_report"/>
    <w:basedOn w:val="a6"/>
    <w:uiPriority w:val="99"/>
    <w:qFormat/>
    <w:pPr>
      <w:keepNext/>
      <w:spacing w:after="0" w:line="240" w:lineRule="auto"/>
      <w:contextualSpacing/>
      <w:jc w:val="right"/>
    </w:pPr>
    <w:rPr>
      <w:rFonts w:ascii="Arial" w:eastAsia="Times New Roman" w:hAnsi="Arial" w:cs="Arial"/>
      <w:sz w:val="16"/>
      <w:szCs w:val="18"/>
      <w:lang w:eastAsia="ru-RU"/>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28" w:type="dxa"/>
        <w:right w:w="28" w:type="dxa"/>
      </w:tblCellMar>
    </w:tblPr>
    <w:tcPr>
      <w:vAlign w:val="center"/>
    </w:tcPr>
    <w:tblStylePr w:type="firstRow">
      <w:pPr>
        <w:spacing w:beforeAutospacing="0" w:afterAutospacing="0"/>
        <w:contextualSpacing w:val="0"/>
        <w:jc w:val="center"/>
      </w:pPr>
      <w:rPr>
        <w:b/>
        <w:color w:val="FFFFFF" w:themeColor="background1"/>
      </w:rPr>
      <w:tblPr/>
      <w:trPr>
        <w:tblHeader/>
      </w:trPr>
      <w:tcPr>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44546A" w:themeFill="text2"/>
        <w:vAlign w:val="center"/>
      </w:tcPr>
    </w:tblStylePr>
    <w:tblStylePr w:type="lastRow">
      <w:pPr>
        <w:keepNext w:val="0"/>
      </w:pPr>
    </w:tblStylePr>
    <w:tblStylePr w:type="firstCol">
      <w:pPr>
        <w:jc w:val="left"/>
      </w:pPr>
      <w:rPr>
        <w:b w:val="0"/>
        <w:i w:val="0"/>
      </w:rPr>
    </w:tblStylePr>
  </w:style>
  <w:style w:type="table" w:styleId="affffffff6">
    <w:name w:val="Light Shading"/>
    <w:basedOn w:val="a6"/>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17">
    <w:name w:val="Light Shading Accent 1"/>
    <w:basedOn w:val="a6"/>
    <w:uiPriority w:val="60"/>
    <w:pPr>
      <w:spacing w:after="0" w:line="240" w:lineRule="auto"/>
    </w:pPr>
    <w:rPr>
      <w:rFonts w:ascii="Times New Roman" w:eastAsia="Times New Roman" w:hAnsi="Times New Roman" w:cs="Times New Roman"/>
      <w:color w:val="2E74B5" w:themeColor="accent1" w:themeShade="BF"/>
      <w:sz w:val="20"/>
      <w:szCs w:val="20"/>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tcBorders>
      </w:tcPr>
    </w:tblStylePr>
    <w:tblStylePr w:type="la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6E6F4" w:themeFill="accent1" w:themeFillTint="3F"/>
      </w:tcPr>
    </w:tblStylePr>
    <w:tblStylePr w:type="band1Horz">
      <w:tblPr/>
      <w:tcPr>
        <w:tcBorders>
          <w:left w:val="none" w:sz="4" w:space="0" w:color="000000"/>
          <w:right w:val="none" w:sz="4" w:space="0" w:color="000000"/>
        </w:tcBorders>
        <w:shd w:val="clear" w:color="auto" w:fill="D6E6F4" w:themeFill="accent1" w:themeFillTint="3F"/>
      </w:tcPr>
    </w:tblStylePr>
  </w:style>
  <w:style w:type="paragraph" w:customStyle="1" w:styleId="affffffff7">
    <w:name w:val="Нормальный"/>
    <w:pPr>
      <w:spacing w:after="0" w:line="240" w:lineRule="auto"/>
    </w:pPr>
    <w:rPr>
      <w:rFonts w:ascii="Times New Roman" w:eastAsia="Times New Roman" w:hAnsi="Times New Roman" w:cs="Times New Roman"/>
      <w:sz w:val="24"/>
      <w:szCs w:val="24"/>
    </w:rPr>
  </w:style>
  <w:style w:type="paragraph" w:styleId="affffffff8">
    <w:name w:val="table of figures"/>
    <w:basedOn w:val="a3"/>
    <w:next w:val="a3"/>
    <w:uiPriority w:val="99"/>
    <w:unhideWhenUsed/>
    <w:pPr>
      <w:spacing w:before="120" w:after="120"/>
      <w:jc w:val="both"/>
    </w:pPr>
    <w:rPr>
      <w:rFonts w:ascii="Arial" w:hAnsi="Arial"/>
      <w:sz w:val="22"/>
      <w:szCs w:val="20"/>
      <w:lang w:eastAsia="ar-SA"/>
    </w:rPr>
  </w:style>
  <w:style w:type="paragraph" w:customStyle="1" w:styleId="s7">
    <w:name w:val="s7"/>
    <w:basedOn w:val="a3"/>
    <w:pPr>
      <w:spacing w:before="100" w:beforeAutospacing="1" w:after="100" w:afterAutospacing="1"/>
    </w:pPr>
    <w:rPr>
      <w:rFonts w:ascii="Calibri" w:eastAsia="Calibri" w:hAnsi="Calibri"/>
      <w:sz w:val="22"/>
      <w:szCs w:val="22"/>
      <w:lang w:eastAsia="en-US"/>
    </w:rPr>
  </w:style>
  <w:style w:type="paragraph" w:customStyle="1" w:styleId="FORMATTEXT0">
    <w:name w:val=".FORMATTEXT"/>
    <w:uiPriority w:val="99"/>
    <w:pPr>
      <w:widowControl w:val="0"/>
      <w:spacing w:after="0" w:line="240" w:lineRule="auto"/>
    </w:pPr>
    <w:rPr>
      <w:rFonts w:ascii="Arial" w:eastAsiaTheme="minorEastAsia" w:hAnsi="Arial" w:cs="Arial"/>
      <w:sz w:val="20"/>
      <w:szCs w:val="20"/>
      <w:lang w:eastAsia="ru-RU"/>
    </w:rPr>
  </w:style>
  <w:style w:type="paragraph" w:customStyle="1" w:styleId="HEADERTEXT0">
    <w:name w:val=".HEADERTEXT"/>
    <w:uiPriority w:val="99"/>
    <w:pPr>
      <w:widowControl w:val="0"/>
      <w:spacing w:after="0" w:line="240" w:lineRule="auto"/>
    </w:pPr>
    <w:rPr>
      <w:rFonts w:ascii="Arial" w:eastAsiaTheme="minorEastAsia" w:hAnsi="Arial" w:cs="Arial"/>
      <w:color w:val="2B4279"/>
      <w:sz w:val="20"/>
      <w:szCs w:val="20"/>
      <w:lang w:eastAsia="ru-RU"/>
    </w:rPr>
  </w:style>
  <w:style w:type="character" w:customStyle="1" w:styleId="font21">
    <w:name w:val="font21"/>
    <w:rPr>
      <w:rFonts w:ascii="Times New Roman" w:hAnsi="Times New Roman" w:cs="Times New Roman" w:hint="default"/>
      <w:b/>
      <w:bCs/>
      <w:i w:val="0"/>
      <w:iCs w:val="0"/>
      <w:color w:val="000000"/>
      <w:u w:val="none"/>
    </w:rPr>
  </w:style>
  <w:style w:type="character" w:customStyle="1" w:styleId="hgkelc">
    <w:name w:val="hgkelc"/>
    <w:basedOn w:val="a5"/>
  </w:style>
  <w:style w:type="paragraph" w:customStyle="1" w:styleId="font6">
    <w:name w:val="font6"/>
    <w:basedOn w:val="a3"/>
    <w:pPr>
      <w:spacing w:before="100" w:beforeAutospacing="1" w:after="100" w:afterAutospacing="1"/>
    </w:pPr>
    <w:rPr>
      <w:b/>
      <w:bCs/>
      <w:color w:val="000000"/>
      <w:sz w:val="22"/>
      <w:szCs w:val="22"/>
    </w:rPr>
  </w:style>
  <w:style w:type="paragraph" w:customStyle="1" w:styleId="xl114">
    <w:name w:val="xl114"/>
    <w:basedOn w:val="a3"/>
    <w:pPr>
      <w:pBdr>
        <w:top w:val="single" w:sz="8" w:space="0" w:color="000000"/>
        <w:left w:val="single" w:sz="4" w:space="0" w:color="000000"/>
        <w:bottom w:val="single" w:sz="4" w:space="0" w:color="000000"/>
      </w:pBdr>
      <w:shd w:val="clear" w:color="000000" w:fill="D9D9D9"/>
      <w:spacing w:before="100" w:beforeAutospacing="1" w:after="100" w:afterAutospacing="1"/>
      <w:jc w:val="center"/>
    </w:pPr>
    <w:rPr>
      <w:b/>
      <w:bCs/>
    </w:rPr>
  </w:style>
  <w:style w:type="paragraph" w:customStyle="1" w:styleId="xl115">
    <w:name w:val="xl115"/>
    <w:basedOn w:val="a3"/>
    <w:pPr>
      <w:pBdr>
        <w:top w:val="single" w:sz="8" w:space="0" w:color="000000"/>
        <w:bottom w:val="single" w:sz="4" w:space="0" w:color="000000"/>
      </w:pBdr>
      <w:shd w:val="clear" w:color="000000" w:fill="D9D9D9"/>
      <w:spacing w:before="100" w:beforeAutospacing="1" w:after="100" w:afterAutospacing="1"/>
      <w:jc w:val="center"/>
    </w:pPr>
    <w:rPr>
      <w:b/>
      <w:bCs/>
    </w:rPr>
  </w:style>
  <w:style w:type="paragraph" w:customStyle="1" w:styleId="xl116">
    <w:name w:val="xl116"/>
    <w:basedOn w:val="a3"/>
    <w:pPr>
      <w:pBdr>
        <w:top w:val="single" w:sz="8" w:space="0" w:color="000000"/>
        <w:bottom w:val="single" w:sz="4" w:space="0" w:color="000000"/>
        <w:right w:val="single" w:sz="4" w:space="0" w:color="000000"/>
      </w:pBdr>
      <w:shd w:val="clear" w:color="000000" w:fill="D9D9D9"/>
      <w:spacing w:before="100" w:beforeAutospacing="1" w:after="100" w:afterAutospacing="1"/>
      <w:jc w:val="center"/>
    </w:pPr>
    <w:rPr>
      <w:b/>
      <w:bCs/>
    </w:rPr>
  </w:style>
  <w:style w:type="paragraph" w:customStyle="1" w:styleId="xl117">
    <w:name w:val="xl117"/>
    <w:basedOn w:val="a3"/>
    <w:pPr>
      <w:pBdr>
        <w:top w:val="single" w:sz="4" w:space="0" w:color="000000"/>
        <w:left w:val="single" w:sz="4" w:space="0" w:color="000000"/>
        <w:right w:val="single" w:sz="4" w:space="0" w:color="000000"/>
      </w:pBdr>
      <w:spacing w:before="100" w:beforeAutospacing="1" w:after="100" w:afterAutospacing="1"/>
    </w:pPr>
  </w:style>
  <w:style w:type="paragraph" w:customStyle="1" w:styleId="xl118">
    <w:name w:val="xl118"/>
    <w:basedOn w:val="a3"/>
    <w:pPr>
      <w:pBdr>
        <w:left w:val="single" w:sz="4" w:space="0" w:color="000000"/>
        <w:bottom w:val="single" w:sz="4" w:space="0" w:color="000000"/>
        <w:right w:val="single" w:sz="4" w:space="0" w:color="000000"/>
      </w:pBdr>
      <w:spacing w:before="100" w:beforeAutospacing="1" w:after="100" w:afterAutospacing="1"/>
    </w:pPr>
  </w:style>
  <w:style w:type="paragraph" w:customStyle="1" w:styleId="xl119">
    <w:name w:val="xl119"/>
    <w:basedOn w:val="a3"/>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20">
    <w:name w:val="xl120"/>
    <w:basedOn w:val="a3"/>
    <w:pPr>
      <w:pBdr>
        <w:left w:val="single" w:sz="4" w:space="0" w:color="000000"/>
        <w:bottom w:val="single" w:sz="8" w:space="0" w:color="000000"/>
        <w:right w:val="single" w:sz="4" w:space="0" w:color="000000"/>
      </w:pBdr>
      <w:spacing w:before="100" w:beforeAutospacing="1" w:after="100" w:afterAutospacing="1"/>
    </w:pPr>
  </w:style>
  <w:style w:type="paragraph" w:customStyle="1" w:styleId="xl121">
    <w:name w:val="xl121"/>
    <w:basedOn w:val="a3"/>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122">
    <w:name w:val="xl122"/>
    <w:basedOn w:val="a3"/>
    <w:pPr>
      <w:pBdr>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23">
    <w:name w:val="xl123"/>
    <w:basedOn w:val="a3"/>
    <w:pPr>
      <w:pBdr>
        <w:top w:val="single" w:sz="8" w:space="0" w:color="000000"/>
        <w:left w:val="single" w:sz="4" w:space="0" w:color="000000"/>
        <w:right w:val="single" w:sz="4" w:space="0" w:color="000000"/>
      </w:pBdr>
      <w:spacing w:before="100" w:beforeAutospacing="1" w:after="100" w:afterAutospacing="1"/>
    </w:pPr>
  </w:style>
  <w:style w:type="paragraph" w:customStyle="1" w:styleId="xl124">
    <w:name w:val="xl124"/>
    <w:basedOn w:val="a3"/>
    <w:pPr>
      <w:pBdr>
        <w:left w:val="single" w:sz="4" w:space="0" w:color="000000"/>
        <w:bottom w:val="single" w:sz="8" w:space="0" w:color="000000"/>
        <w:right w:val="single" w:sz="4" w:space="0" w:color="000000"/>
      </w:pBdr>
      <w:spacing w:before="100" w:beforeAutospacing="1" w:after="100" w:afterAutospacing="1"/>
    </w:pPr>
  </w:style>
  <w:style w:type="paragraph" w:customStyle="1" w:styleId="xl125">
    <w:name w:val="xl125"/>
    <w:basedOn w:val="a3"/>
    <w:pPr>
      <w:pBdr>
        <w:top w:val="single" w:sz="4" w:space="0" w:color="000000"/>
        <w:left w:val="single" w:sz="4" w:space="0" w:color="000000"/>
        <w:right w:val="single" w:sz="4" w:space="0" w:color="000000"/>
      </w:pBdr>
      <w:spacing w:before="100" w:beforeAutospacing="1" w:after="100" w:afterAutospacing="1"/>
    </w:pPr>
  </w:style>
  <w:style w:type="paragraph" w:customStyle="1" w:styleId="xl126">
    <w:name w:val="xl126"/>
    <w:basedOn w:val="a3"/>
    <w:pPr>
      <w:pBdr>
        <w:left w:val="single" w:sz="4" w:space="0" w:color="000000"/>
        <w:bottom w:val="single" w:sz="4" w:space="0" w:color="000000"/>
        <w:right w:val="single" w:sz="4" w:space="0" w:color="000000"/>
      </w:pBdr>
      <w:spacing w:before="100" w:beforeAutospacing="1" w:after="100" w:afterAutospacing="1"/>
    </w:pPr>
  </w:style>
  <w:style w:type="paragraph" w:customStyle="1" w:styleId="xl127">
    <w:name w:val="xl127"/>
    <w:basedOn w:val="a3"/>
    <w:pPr>
      <w:pBdr>
        <w:top w:val="single" w:sz="8" w:space="0" w:color="000000"/>
        <w:left w:val="single" w:sz="4" w:space="0" w:color="000000"/>
        <w:right w:val="single" w:sz="4" w:space="0" w:color="000000"/>
      </w:pBdr>
      <w:spacing w:before="100" w:beforeAutospacing="1" w:after="100" w:afterAutospacing="1"/>
    </w:pPr>
  </w:style>
  <w:style w:type="paragraph" w:customStyle="1" w:styleId="xl128">
    <w:name w:val="xl128"/>
    <w:basedOn w:val="a3"/>
    <w:pPr>
      <w:pBdr>
        <w:left w:val="single" w:sz="4" w:space="0" w:color="000000"/>
        <w:bottom w:val="single" w:sz="4" w:space="0" w:color="000000"/>
        <w:right w:val="single" w:sz="4" w:space="0" w:color="000000"/>
      </w:pBdr>
      <w:spacing w:before="100" w:beforeAutospacing="1" w:after="100" w:afterAutospacing="1"/>
    </w:pPr>
  </w:style>
  <w:style w:type="paragraph" w:customStyle="1" w:styleId="xl129">
    <w:name w:val="xl129"/>
    <w:basedOn w:val="a3"/>
    <w:pPr>
      <w:pBdr>
        <w:top w:val="single" w:sz="8" w:space="0" w:color="000000"/>
        <w:right w:val="single" w:sz="4" w:space="0" w:color="000000"/>
      </w:pBdr>
      <w:spacing w:before="100" w:beforeAutospacing="1" w:after="100" w:afterAutospacing="1"/>
      <w:jc w:val="center"/>
    </w:pPr>
  </w:style>
  <w:style w:type="paragraph" w:customStyle="1" w:styleId="xl130">
    <w:name w:val="xl130"/>
    <w:basedOn w:val="a3"/>
    <w:pPr>
      <w:pBdr>
        <w:bottom w:val="single" w:sz="8" w:space="0" w:color="000000"/>
        <w:right w:val="single" w:sz="4" w:space="0" w:color="000000"/>
      </w:pBdr>
      <w:spacing w:before="100" w:beforeAutospacing="1" w:after="100" w:afterAutospacing="1"/>
      <w:jc w:val="center"/>
    </w:pPr>
  </w:style>
  <w:style w:type="paragraph" w:customStyle="1" w:styleId="xl131">
    <w:name w:val="xl131"/>
    <w:basedOn w:val="a3"/>
    <w:pPr>
      <w:pBdr>
        <w:left w:val="single" w:sz="4" w:space="0" w:color="000000"/>
        <w:bottom w:val="single" w:sz="4" w:space="0" w:color="000000"/>
      </w:pBdr>
      <w:shd w:val="clear" w:color="000000" w:fill="D9D9D9"/>
      <w:spacing w:before="100" w:beforeAutospacing="1" w:after="100" w:afterAutospacing="1"/>
      <w:jc w:val="center"/>
    </w:pPr>
    <w:rPr>
      <w:b/>
      <w:bCs/>
    </w:rPr>
  </w:style>
  <w:style w:type="paragraph" w:customStyle="1" w:styleId="xl132">
    <w:name w:val="xl132"/>
    <w:basedOn w:val="a3"/>
    <w:pPr>
      <w:pBdr>
        <w:bottom w:val="single" w:sz="4" w:space="0" w:color="000000"/>
      </w:pBdr>
      <w:shd w:val="clear" w:color="000000" w:fill="D9D9D9"/>
      <w:spacing w:before="100" w:beforeAutospacing="1" w:after="100" w:afterAutospacing="1"/>
      <w:jc w:val="center"/>
    </w:pPr>
    <w:rPr>
      <w:b/>
      <w:bCs/>
    </w:rPr>
  </w:style>
  <w:style w:type="paragraph" w:customStyle="1" w:styleId="xl133">
    <w:name w:val="xl133"/>
    <w:basedOn w:val="a3"/>
    <w:pPr>
      <w:pBdr>
        <w:bottom w:val="single" w:sz="4" w:space="0" w:color="000000"/>
        <w:right w:val="single" w:sz="4" w:space="0" w:color="000000"/>
      </w:pBdr>
      <w:shd w:val="clear" w:color="000000" w:fill="D9D9D9"/>
      <w:spacing w:before="100" w:beforeAutospacing="1" w:after="100" w:afterAutospacing="1"/>
      <w:jc w:val="center"/>
    </w:pPr>
    <w:rPr>
      <w:b/>
      <w:bCs/>
    </w:rPr>
  </w:style>
  <w:style w:type="paragraph" w:customStyle="1" w:styleId="xl134">
    <w:name w:val="xl134"/>
    <w:basedOn w:val="a3"/>
    <w:pPr>
      <w:pBdr>
        <w:top w:val="single" w:sz="8"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35">
    <w:name w:val="xl135"/>
    <w:basedOn w:val="a3"/>
    <w:pPr>
      <w:pBdr>
        <w:top w:val="single" w:sz="4" w:space="0" w:color="000000"/>
        <w:left w:val="single" w:sz="4" w:space="0" w:color="000000"/>
        <w:bottom w:val="single" w:sz="8" w:space="0" w:color="000000"/>
        <w:right w:val="single" w:sz="4" w:space="0" w:color="000000"/>
      </w:pBdr>
      <w:spacing w:before="100" w:beforeAutospacing="1" w:after="100" w:afterAutospacing="1"/>
    </w:pPr>
  </w:style>
  <w:style w:type="paragraph" w:customStyle="1" w:styleId="Pa5">
    <w:name w:val="Pa5"/>
    <w:basedOn w:val="Default"/>
    <w:next w:val="Default"/>
    <w:uiPriority w:val="99"/>
    <w:pPr>
      <w:spacing w:line="231" w:lineRule="atLeast"/>
    </w:pPr>
    <w:rPr>
      <w:rFonts w:ascii="Times New Roman" w:eastAsiaTheme="minorHAnsi" w:hAnsi="Times New Roman"/>
      <w:color w:val="auto"/>
    </w:rPr>
  </w:style>
  <w:style w:type="paragraph" w:customStyle="1" w:styleId="ds-markdown-paragraph">
    <w:name w:val="ds-markdown-paragraph"/>
    <w:basedOn w:val="a3"/>
    <w:pPr>
      <w:spacing w:before="100" w:beforeAutospacing="1" w:after="100" w:afterAutospacing="1"/>
    </w:pPr>
  </w:style>
  <w:style w:type="paragraph" w:customStyle="1" w:styleId="affffffff9">
    <w:name w:val="Заг_подпись рисунка"/>
    <w:basedOn w:val="a3"/>
    <w:qFormat/>
    <w:pPr>
      <w:spacing w:before="120"/>
    </w:pPr>
    <w:rPr>
      <w:rFonts w:ascii="PT Astra Serif" w:hAnsi="PT Astra Serif"/>
      <w:color w:val="767171" w:themeColor="background2" w:themeShade="80"/>
      <w:sz w:val="23"/>
    </w:rPr>
  </w:style>
  <w:style w:type="character" w:customStyle="1" w:styleId="ConsPlusNormal0">
    <w:name w:val="ConsPlusNormal Знак"/>
    <w:link w:val="ConsPlusNormal"/>
    <w:rPr>
      <w:rFonts w:ascii="Times New Roman" w:hAnsi="Times New Roman" w:cs="Times New Roman"/>
      <w:sz w:val="30"/>
      <w:szCs w:val="30"/>
    </w:rPr>
  </w:style>
  <w:style w:type="character" w:customStyle="1" w:styleId="A20">
    <w:name w:val="A2"/>
    <w:uiPriority w:val="99"/>
    <w:rPr>
      <w:rFonts w:cs="Octava"/>
      <w:color w:val="000000"/>
      <w:sz w:val="20"/>
      <w:szCs w:val="20"/>
    </w:rPr>
  </w:style>
  <w:style w:type="numbering" w:customStyle="1" w:styleId="161">
    <w:name w:val="Нет списка16"/>
    <w:next w:val="a7"/>
    <w:uiPriority w:val="99"/>
    <w:semiHidden/>
    <w:unhideWhenUsed/>
  </w:style>
  <w:style w:type="table" w:customStyle="1" w:styleId="-160">
    <w:name w:val="Таблица-сетка 1 светлая6"/>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paragraph" w:styleId="affffffffa">
    <w:name w:val="toa heading"/>
    <w:basedOn w:val="a3"/>
    <w:next w:val="a3"/>
    <w:uiPriority w:val="99"/>
    <w:unhideWhenUsed/>
    <w:pPr>
      <w:spacing w:before="120"/>
    </w:pPr>
    <w:rPr>
      <w:rFonts w:asciiTheme="majorHAnsi" w:eastAsiaTheme="majorEastAsia" w:hAnsiTheme="majorHAnsi" w:cstheme="majorBidi"/>
      <w:b/>
      <w:bCs/>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pPr>
      <w:widowControl w:val="0"/>
      <w:spacing w:before="107"/>
      <w:ind w:left="202"/>
    </w:pPr>
    <w:rPr>
      <w:rFonts w:ascii="Microsoft Sans Serif" w:eastAsia="Microsoft Sans Serif" w:hAnsi="Microsoft Sans Serif" w:cs="Microsoft Sans Serif"/>
      <w:sz w:val="22"/>
      <w:szCs w:val="22"/>
      <w:lang w:eastAsia="en-US"/>
    </w:rPr>
  </w:style>
  <w:style w:type="table" w:customStyle="1" w:styleId="-613">
    <w:name w:val="Список-таблица 6 цветная — акцент 13"/>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3">
    <w:name w:val="Список-таблица 6 цветная3"/>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3">
    <w:name w:val="Список-таблица 6 цветная — акцент 33"/>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4">
    <w:name w:val="Таблица-сетка 4 — акцент 54"/>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7">
    <w:name w:val="Сетка таблицы светлая4"/>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ffffb">
    <w:name w:val="Источник Знак"/>
    <w:basedOn w:val="a5"/>
    <w:link w:val="affffffffc"/>
    <w:rPr>
      <w:rFonts w:ascii="Arial" w:hAnsi="Arial" w:cs="Arial"/>
      <w:sz w:val="16"/>
      <w:szCs w:val="16"/>
    </w:rPr>
  </w:style>
  <w:style w:type="paragraph" w:customStyle="1" w:styleId="affffffffc">
    <w:name w:val="Источник"/>
    <w:basedOn w:val="a3"/>
    <w:link w:val="affffffffb"/>
    <w:qFormat/>
    <w:pPr>
      <w:spacing w:before="120" w:after="120"/>
      <w:jc w:val="both"/>
    </w:pPr>
    <w:rPr>
      <w:rFonts w:ascii="Arial" w:eastAsiaTheme="minorHAnsi" w:hAnsi="Arial" w:cs="Arial"/>
      <w:sz w:val="16"/>
      <w:szCs w:val="16"/>
      <w:lang w:eastAsia="en-US"/>
    </w:rPr>
  </w:style>
  <w:style w:type="paragraph" w:customStyle="1" w:styleId="56">
    <w:name w:val="Основной текст5"/>
    <w:basedOn w:val="a3"/>
    <w:uiPriority w:val="99"/>
    <w:pPr>
      <w:widowControl w:val="0"/>
      <w:shd w:val="clear" w:color="auto" w:fill="FFFFFF"/>
      <w:spacing w:before="60" w:after="300" w:line="240" w:lineRule="atLeast"/>
      <w:ind w:hanging="720"/>
      <w:jc w:val="center"/>
    </w:pPr>
    <w:rPr>
      <w:rFonts w:ascii="Arial" w:eastAsiaTheme="minorEastAsia" w:hAnsi="Arial" w:cs="Arial"/>
      <w:spacing w:val="5"/>
      <w:sz w:val="17"/>
      <w:szCs w:val="17"/>
    </w:rPr>
  </w:style>
  <w:style w:type="paragraph" w:styleId="HTML3">
    <w:name w:val="HTML Address"/>
    <w:basedOn w:val="a3"/>
    <w:link w:val="HTML4"/>
    <w:uiPriority w:val="99"/>
    <w:semiHidden/>
    <w:unhideWhenUsed/>
    <w:rPr>
      <w:i/>
      <w:iCs/>
    </w:rPr>
  </w:style>
  <w:style w:type="character" w:customStyle="1" w:styleId="HTML4">
    <w:name w:val="Адрес HTML Знак"/>
    <w:basedOn w:val="a5"/>
    <w:link w:val="HTML3"/>
    <w:uiPriority w:val="99"/>
    <w:semiHidden/>
    <w:rPr>
      <w:rFonts w:ascii="Times New Roman" w:eastAsia="Times New Roman" w:hAnsi="Times New Roman" w:cs="Times New Roman"/>
      <w:i/>
      <w:iCs/>
      <w:sz w:val="24"/>
      <w:szCs w:val="24"/>
      <w:lang w:eastAsia="ru-RU"/>
    </w:rPr>
  </w:style>
  <w:style w:type="paragraph" w:styleId="affffffffd">
    <w:name w:val="envelope address"/>
    <w:basedOn w:val="a3"/>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affffffffe">
    <w:name w:val="Date"/>
    <w:basedOn w:val="a3"/>
    <w:next w:val="a3"/>
    <w:link w:val="afffffffff"/>
    <w:uiPriority w:val="99"/>
    <w:semiHidden/>
    <w:unhideWhenUsed/>
  </w:style>
  <w:style w:type="character" w:customStyle="1" w:styleId="afffffffff">
    <w:name w:val="Дата Знак"/>
    <w:basedOn w:val="a5"/>
    <w:link w:val="affffffffe"/>
    <w:uiPriority w:val="99"/>
    <w:semiHidden/>
    <w:rPr>
      <w:rFonts w:ascii="Times New Roman" w:eastAsia="Times New Roman" w:hAnsi="Times New Roman" w:cs="Times New Roman"/>
      <w:sz w:val="24"/>
      <w:szCs w:val="24"/>
      <w:lang w:eastAsia="ru-RU"/>
    </w:rPr>
  </w:style>
  <w:style w:type="paragraph" w:styleId="afffffffff0">
    <w:name w:val="Note Heading"/>
    <w:basedOn w:val="a3"/>
    <w:next w:val="a3"/>
    <w:link w:val="afffffffff1"/>
    <w:uiPriority w:val="99"/>
    <w:unhideWhenUsed/>
  </w:style>
  <w:style w:type="character" w:customStyle="1" w:styleId="afffffffff1">
    <w:name w:val="Заголовок записки Знак"/>
    <w:basedOn w:val="a5"/>
    <w:link w:val="afffffffff0"/>
    <w:uiPriority w:val="99"/>
    <w:rPr>
      <w:rFonts w:ascii="Times New Roman" w:eastAsia="Times New Roman" w:hAnsi="Times New Roman" w:cs="Times New Roman"/>
      <w:sz w:val="24"/>
      <w:szCs w:val="24"/>
      <w:lang w:eastAsia="ru-RU"/>
    </w:rPr>
  </w:style>
  <w:style w:type="paragraph" w:styleId="afffffffff2">
    <w:name w:val="Body Text First Indent"/>
    <w:basedOn w:val="af4"/>
    <w:link w:val="afffffffff3"/>
    <w:uiPriority w:val="99"/>
    <w:semiHidden/>
    <w:unhideWhenUsed/>
    <w:pPr>
      <w:spacing w:after="0"/>
      <w:ind w:firstLine="360"/>
      <w:jc w:val="left"/>
    </w:pPr>
    <w:rPr>
      <w:rFonts w:ascii="Times New Roman" w:hAnsi="Times New Roman"/>
      <w:lang w:val="ru-RU" w:bidi="ar-SA"/>
    </w:rPr>
  </w:style>
  <w:style w:type="character" w:customStyle="1" w:styleId="afffffffff3">
    <w:name w:val="Красная строка Знак"/>
    <w:basedOn w:val="af5"/>
    <w:link w:val="afffffffff2"/>
    <w:uiPriority w:val="99"/>
    <w:semiHidden/>
    <w:rPr>
      <w:rFonts w:ascii="Times New Roman" w:eastAsia="Times New Roman" w:hAnsi="Times New Roman" w:cs="Times New Roman"/>
      <w:sz w:val="24"/>
      <w:szCs w:val="24"/>
      <w:lang w:eastAsia="ru-RU"/>
    </w:rPr>
  </w:style>
  <w:style w:type="paragraph" w:styleId="2f3">
    <w:name w:val="Body Text First Indent 2"/>
    <w:basedOn w:val="affa"/>
    <w:link w:val="2f4"/>
    <w:uiPriority w:val="99"/>
    <w:semiHidden/>
    <w:unhideWhenUsed/>
    <w:pPr>
      <w:ind w:left="360" w:firstLine="360"/>
      <w:jc w:val="left"/>
    </w:pPr>
    <w:rPr>
      <w:rFonts w:ascii="Times New Roman" w:hAnsi="Times New Roman"/>
      <w:lang w:val="ru-RU" w:eastAsia="ru-RU"/>
    </w:rPr>
  </w:style>
  <w:style w:type="character" w:customStyle="1" w:styleId="2f4">
    <w:name w:val="Красная строка 2 Знак"/>
    <w:basedOn w:val="affb"/>
    <w:link w:val="2f3"/>
    <w:uiPriority w:val="99"/>
    <w:semiHidden/>
    <w:rPr>
      <w:rFonts w:ascii="Times New Roman" w:eastAsia="Times New Roman" w:hAnsi="Times New Roman" w:cs="Times New Roman"/>
      <w:sz w:val="24"/>
      <w:szCs w:val="24"/>
      <w:lang w:eastAsia="ru-RU"/>
    </w:rPr>
  </w:style>
  <w:style w:type="paragraph" w:styleId="a1">
    <w:name w:val="List Bullet"/>
    <w:basedOn w:val="a3"/>
    <w:uiPriority w:val="99"/>
    <w:semiHidden/>
    <w:unhideWhenUsed/>
    <w:pPr>
      <w:numPr>
        <w:numId w:val="11"/>
      </w:numPr>
      <w:contextualSpacing/>
    </w:pPr>
  </w:style>
  <w:style w:type="paragraph" w:styleId="20">
    <w:name w:val="List Bullet 2"/>
    <w:basedOn w:val="a3"/>
    <w:uiPriority w:val="99"/>
    <w:semiHidden/>
    <w:unhideWhenUsed/>
    <w:pPr>
      <w:numPr>
        <w:numId w:val="12"/>
      </w:numPr>
      <w:contextualSpacing/>
    </w:pPr>
  </w:style>
  <w:style w:type="paragraph" w:styleId="3">
    <w:name w:val="List Bullet 3"/>
    <w:basedOn w:val="a3"/>
    <w:uiPriority w:val="99"/>
    <w:semiHidden/>
    <w:unhideWhenUsed/>
    <w:pPr>
      <w:numPr>
        <w:numId w:val="13"/>
      </w:numPr>
      <w:contextualSpacing/>
    </w:pPr>
  </w:style>
  <w:style w:type="paragraph" w:styleId="4">
    <w:name w:val="List Bullet 4"/>
    <w:basedOn w:val="a3"/>
    <w:uiPriority w:val="99"/>
    <w:semiHidden/>
    <w:unhideWhenUsed/>
    <w:pPr>
      <w:numPr>
        <w:numId w:val="14"/>
      </w:numPr>
      <w:contextualSpacing/>
    </w:pPr>
  </w:style>
  <w:style w:type="paragraph" w:styleId="50">
    <w:name w:val="List Bullet 5"/>
    <w:basedOn w:val="a3"/>
    <w:uiPriority w:val="99"/>
    <w:semiHidden/>
    <w:unhideWhenUsed/>
    <w:pPr>
      <w:numPr>
        <w:numId w:val="15"/>
      </w:numPr>
      <w:contextualSpacing/>
    </w:pPr>
  </w:style>
  <w:style w:type="paragraph" w:styleId="a0">
    <w:name w:val="List Number"/>
    <w:basedOn w:val="a3"/>
    <w:uiPriority w:val="99"/>
    <w:semiHidden/>
    <w:unhideWhenUsed/>
    <w:pPr>
      <w:numPr>
        <w:numId w:val="16"/>
      </w:numPr>
      <w:contextualSpacing/>
    </w:pPr>
  </w:style>
  <w:style w:type="paragraph" w:styleId="2">
    <w:name w:val="List Number 2"/>
    <w:basedOn w:val="a3"/>
    <w:uiPriority w:val="99"/>
    <w:semiHidden/>
    <w:unhideWhenUsed/>
    <w:pPr>
      <w:numPr>
        <w:numId w:val="17"/>
      </w:numPr>
      <w:contextualSpacing/>
    </w:pPr>
  </w:style>
  <w:style w:type="paragraph" w:styleId="30">
    <w:name w:val="List Number 3"/>
    <w:basedOn w:val="a3"/>
    <w:uiPriority w:val="99"/>
    <w:semiHidden/>
    <w:unhideWhenUsed/>
    <w:pPr>
      <w:numPr>
        <w:numId w:val="18"/>
      </w:numPr>
      <w:contextualSpacing/>
    </w:pPr>
  </w:style>
  <w:style w:type="paragraph" w:styleId="40">
    <w:name w:val="List Number 4"/>
    <w:basedOn w:val="a3"/>
    <w:uiPriority w:val="99"/>
    <w:semiHidden/>
    <w:unhideWhenUsed/>
    <w:pPr>
      <w:numPr>
        <w:numId w:val="19"/>
      </w:numPr>
      <w:contextualSpacing/>
    </w:pPr>
  </w:style>
  <w:style w:type="paragraph" w:styleId="5">
    <w:name w:val="List Number 5"/>
    <w:basedOn w:val="a3"/>
    <w:uiPriority w:val="99"/>
    <w:semiHidden/>
    <w:unhideWhenUsed/>
    <w:pPr>
      <w:numPr>
        <w:numId w:val="20"/>
      </w:numPr>
      <w:contextualSpacing/>
    </w:pPr>
  </w:style>
  <w:style w:type="paragraph" w:styleId="2f5">
    <w:name w:val="envelope return"/>
    <w:basedOn w:val="a3"/>
    <w:uiPriority w:val="99"/>
    <w:semiHidden/>
    <w:unhideWhenUsed/>
    <w:rPr>
      <w:rFonts w:asciiTheme="majorHAnsi" w:eastAsiaTheme="majorEastAsia" w:hAnsiTheme="majorHAnsi" w:cstheme="majorBidi"/>
      <w:sz w:val="20"/>
      <w:szCs w:val="20"/>
    </w:rPr>
  </w:style>
  <w:style w:type="paragraph" w:styleId="afffffffff4">
    <w:name w:val="Normal Indent"/>
    <w:basedOn w:val="a3"/>
    <w:uiPriority w:val="99"/>
    <w:semiHidden/>
    <w:unhideWhenUsed/>
    <w:pPr>
      <w:ind w:left="708"/>
    </w:pPr>
  </w:style>
  <w:style w:type="paragraph" w:styleId="afffffffff5">
    <w:name w:val="Signature"/>
    <w:basedOn w:val="a3"/>
    <w:link w:val="afffffffff6"/>
    <w:uiPriority w:val="99"/>
    <w:semiHidden/>
    <w:unhideWhenUsed/>
    <w:pPr>
      <w:ind w:left="4252"/>
    </w:pPr>
  </w:style>
  <w:style w:type="character" w:customStyle="1" w:styleId="afffffffff6">
    <w:name w:val="Подпись Знак"/>
    <w:basedOn w:val="a5"/>
    <w:link w:val="afffffffff5"/>
    <w:uiPriority w:val="99"/>
    <w:semiHidden/>
    <w:rPr>
      <w:rFonts w:ascii="Times New Roman" w:eastAsia="Times New Roman" w:hAnsi="Times New Roman" w:cs="Times New Roman"/>
      <w:sz w:val="24"/>
      <w:szCs w:val="24"/>
      <w:lang w:eastAsia="ru-RU"/>
    </w:rPr>
  </w:style>
  <w:style w:type="paragraph" w:styleId="afffffffff7">
    <w:name w:val="Salutation"/>
    <w:basedOn w:val="a3"/>
    <w:next w:val="a3"/>
    <w:link w:val="afffffffff8"/>
    <w:uiPriority w:val="99"/>
    <w:semiHidden/>
    <w:unhideWhenUsed/>
  </w:style>
  <w:style w:type="character" w:customStyle="1" w:styleId="afffffffff8">
    <w:name w:val="Приветствие Знак"/>
    <w:basedOn w:val="a5"/>
    <w:link w:val="afffffffff7"/>
    <w:uiPriority w:val="99"/>
    <w:semiHidden/>
    <w:rPr>
      <w:rFonts w:ascii="Times New Roman" w:eastAsia="Times New Roman" w:hAnsi="Times New Roman" w:cs="Times New Roman"/>
      <w:sz w:val="24"/>
      <w:szCs w:val="24"/>
      <w:lang w:eastAsia="ru-RU"/>
    </w:rPr>
  </w:style>
  <w:style w:type="paragraph" w:styleId="afffffffff9">
    <w:name w:val="List Continue"/>
    <w:basedOn w:val="a3"/>
    <w:uiPriority w:val="99"/>
    <w:semiHidden/>
    <w:unhideWhenUsed/>
    <w:pPr>
      <w:spacing w:after="120"/>
      <w:ind w:left="283"/>
      <w:contextualSpacing/>
    </w:pPr>
  </w:style>
  <w:style w:type="paragraph" w:styleId="2f6">
    <w:name w:val="List Continue 2"/>
    <w:basedOn w:val="a3"/>
    <w:uiPriority w:val="99"/>
    <w:semiHidden/>
    <w:unhideWhenUsed/>
    <w:pPr>
      <w:spacing w:after="120"/>
      <w:ind w:left="566"/>
      <w:contextualSpacing/>
    </w:pPr>
  </w:style>
  <w:style w:type="paragraph" w:styleId="3d">
    <w:name w:val="List Continue 3"/>
    <w:basedOn w:val="a3"/>
    <w:uiPriority w:val="99"/>
    <w:semiHidden/>
    <w:unhideWhenUsed/>
    <w:pPr>
      <w:spacing w:after="120"/>
      <w:ind w:left="849"/>
      <w:contextualSpacing/>
    </w:pPr>
  </w:style>
  <w:style w:type="paragraph" w:styleId="48">
    <w:name w:val="List Continue 4"/>
    <w:basedOn w:val="a3"/>
    <w:uiPriority w:val="99"/>
    <w:semiHidden/>
    <w:unhideWhenUsed/>
    <w:pPr>
      <w:spacing w:after="120"/>
      <w:ind w:left="1132"/>
      <w:contextualSpacing/>
    </w:pPr>
  </w:style>
  <w:style w:type="paragraph" w:styleId="57">
    <w:name w:val="List Continue 5"/>
    <w:basedOn w:val="a3"/>
    <w:uiPriority w:val="99"/>
    <w:semiHidden/>
    <w:unhideWhenUsed/>
    <w:pPr>
      <w:spacing w:after="120"/>
      <w:ind w:left="1415"/>
      <w:contextualSpacing/>
    </w:pPr>
  </w:style>
  <w:style w:type="paragraph" w:styleId="afffffffffa">
    <w:name w:val="Closing"/>
    <w:basedOn w:val="a3"/>
    <w:link w:val="afffffffffb"/>
    <w:uiPriority w:val="99"/>
    <w:semiHidden/>
    <w:unhideWhenUsed/>
    <w:pPr>
      <w:ind w:left="4252"/>
    </w:pPr>
  </w:style>
  <w:style w:type="character" w:customStyle="1" w:styleId="afffffffffb">
    <w:name w:val="Прощание Знак"/>
    <w:basedOn w:val="a5"/>
    <w:link w:val="afffffffffa"/>
    <w:uiPriority w:val="99"/>
    <w:semiHidden/>
    <w:rPr>
      <w:rFonts w:ascii="Times New Roman" w:eastAsia="Times New Roman" w:hAnsi="Times New Roman" w:cs="Times New Roman"/>
      <w:sz w:val="24"/>
      <w:szCs w:val="24"/>
      <w:lang w:eastAsia="ru-RU"/>
    </w:rPr>
  </w:style>
  <w:style w:type="paragraph" w:styleId="afffffffffc">
    <w:name w:val="List"/>
    <w:basedOn w:val="a3"/>
    <w:uiPriority w:val="99"/>
    <w:semiHidden/>
    <w:unhideWhenUsed/>
    <w:pPr>
      <w:ind w:left="283" w:hanging="283"/>
      <w:contextualSpacing/>
    </w:pPr>
  </w:style>
  <w:style w:type="paragraph" w:styleId="2f7">
    <w:name w:val="List 2"/>
    <w:basedOn w:val="a3"/>
    <w:uiPriority w:val="99"/>
    <w:semiHidden/>
    <w:unhideWhenUsed/>
    <w:pPr>
      <w:ind w:left="566" w:hanging="283"/>
      <w:contextualSpacing/>
    </w:pPr>
  </w:style>
  <w:style w:type="paragraph" w:styleId="3e">
    <w:name w:val="List 3"/>
    <w:basedOn w:val="a3"/>
    <w:uiPriority w:val="99"/>
    <w:semiHidden/>
    <w:unhideWhenUsed/>
    <w:pPr>
      <w:ind w:left="849" w:hanging="283"/>
      <w:contextualSpacing/>
    </w:pPr>
  </w:style>
  <w:style w:type="paragraph" w:styleId="49">
    <w:name w:val="List 4"/>
    <w:basedOn w:val="a3"/>
    <w:uiPriority w:val="99"/>
    <w:semiHidden/>
    <w:unhideWhenUsed/>
    <w:pPr>
      <w:ind w:left="1132" w:hanging="283"/>
      <w:contextualSpacing/>
    </w:pPr>
  </w:style>
  <w:style w:type="paragraph" w:styleId="58">
    <w:name w:val="List 5"/>
    <w:basedOn w:val="a3"/>
    <w:uiPriority w:val="99"/>
    <w:semiHidden/>
    <w:unhideWhenUsed/>
    <w:pPr>
      <w:ind w:left="1415" w:hanging="283"/>
      <w:contextualSpacing/>
    </w:pPr>
  </w:style>
  <w:style w:type="paragraph" w:styleId="afffffffffd">
    <w:name w:val="Bibliography"/>
    <w:basedOn w:val="a3"/>
    <w:next w:val="a3"/>
    <w:uiPriority w:val="37"/>
    <w:semiHidden/>
    <w:unhideWhenUsed/>
  </w:style>
  <w:style w:type="paragraph" w:styleId="afffffffffe">
    <w:name w:val="table of authorities"/>
    <w:basedOn w:val="a3"/>
    <w:next w:val="a3"/>
    <w:uiPriority w:val="99"/>
    <w:semiHidden/>
    <w:unhideWhenUsed/>
    <w:pPr>
      <w:ind w:left="240" w:hanging="240"/>
    </w:pPr>
  </w:style>
  <w:style w:type="paragraph" w:styleId="affffffffff">
    <w:name w:val="macro"/>
    <w:link w:val="affffffffff0"/>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affffffffff0">
    <w:name w:val="Текст макроса Знак"/>
    <w:basedOn w:val="a5"/>
    <w:link w:val="affffffffff"/>
    <w:uiPriority w:val="99"/>
    <w:semiHidden/>
    <w:rPr>
      <w:rFonts w:ascii="Consolas" w:eastAsia="Times New Roman" w:hAnsi="Consolas" w:cs="Times New Roman"/>
      <w:sz w:val="20"/>
      <w:szCs w:val="20"/>
      <w:lang w:eastAsia="ru-RU"/>
    </w:rPr>
  </w:style>
  <w:style w:type="paragraph" w:styleId="1f9">
    <w:name w:val="index 1"/>
    <w:basedOn w:val="a3"/>
    <w:next w:val="a3"/>
    <w:uiPriority w:val="99"/>
    <w:semiHidden/>
    <w:unhideWhenUsed/>
    <w:pPr>
      <w:ind w:left="240" w:hanging="240"/>
    </w:pPr>
  </w:style>
  <w:style w:type="paragraph" w:styleId="affffffffff1">
    <w:name w:val="index heading"/>
    <w:basedOn w:val="a3"/>
    <w:next w:val="1f9"/>
    <w:uiPriority w:val="99"/>
    <w:semiHidden/>
    <w:unhideWhenUsed/>
    <w:rPr>
      <w:rFonts w:asciiTheme="majorHAnsi" w:eastAsiaTheme="majorEastAsia" w:hAnsiTheme="majorHAnsi" w:cstheme="majorBidi"/>
      <w:b/>
      <w:bCs/>
    </w:rPr>
  </w:style>
  <w:style w:type="paragraph" w:styleId="2f8">
    <w:name w:val="index 2"/>
    <w:basedOn w:val="a3"/>
    <w:next w:val="a3"/>
    <w:uiPriority w:val="99"/>
    <w:semiHidden/>
    <w:unhideWhenUsed/>
    <w:pPr>
      <w:ind w:left="480" w:hanging="240"/>
    </w:pPr>
  </w:style>
  <w:style w:type="paragraph" w:styleId="3f">
    <w:name w:val="index 3"/>
    <w:basedOn w:val="a3"/>
    <w:next w:val="a3"/>
    <w:uiPriority w:val="99"/>
    <w:semiHidden/>
    <w:unhideWhenUsed/>
    <w:pPr>
      <w:ind w:left="720" w:hanging="240"/>
    </w:pPr>
  </w:style>
  <w:style w:type="paragraph" w:styleId="4a">
    <w:name w:val="index 4"/>
    <w:basedOn w:val="a3"/>
    <w:next w:val="a3"/>
    <w:uiPriority w:val="99"/>
    <w:semiHidden/>
    <w:unhideWhenUsed/>
    <w:pPr>
      <w:ind w:left="960" w:hanging="240"/>
    </w:pPr>
  </w:style>
  <w:style w:type="paragraph" w:styleId="59">
    <w:name w:val="index 5"/>
    <w:basedOn w:val="a3"/>
    <w:next w:val="a3"/>
    <w:uiPriority w:val="99"/>
    <w:semiHidden/>
    <w:unhideWhenUsed/>
    <w:pPr>
      <w:ind w:left="1200" w:hanging="240"/>
    </w:pPr>
  </w:style>
  <w:style w:type="paragraph" w:styleId="64">
    <w:name w:val="index 6"/>
    <w:basedOn w:val="a3"/>
    <w:next w:val="a3"/>
    <w:uiPriority w:val="99"/>
    <w:semiHidden/>
    <w:unhideWhenUsed/>
    <w:pPr>
      <w:ind w:left="1440" w:hanging="240"/>
    </w:pPr>
  </w:style>
  <w:style w:type="paragraph" w:styleId="74">
    <w:name w:val="index 7"/>
    <w:basedOn w:val="a3"/>
    <w:next w:val="a3"/>
    <w:uiPriority w:val="99"/>
    <w:semiHidden/>
    <w:unhideWhenUsed/>
    <w:pPr>
      <w:ind w:left="1680" w:hanging="240"/>
    </w:pPr>
  </w:style>
  <w:style w:type="paragraph" w:styleId="84">
    <w:name w:val="index 8"/>
    <w:basedOn w:val="a3"/>
    <w:next w:val="a3"/>
    <w:uiPriority w:val="99"/>
    <w:semiHidden/>
    <w:unhideWhenUsed/>
    <w:pPr>
      <w:ind w:left="1920" w:hanging="240"/>
    </w:pPr>
  </w:style>
  <w:style w:type="paragraph" w:styleId="94">
    <w:name w:val="index 9"/>
    <w:basedOn w:val="a3"/>
    <w:next w:val="a3"/>
    <w:uiPriority w:val="99"/>
    <w:semiHidden/>
    <w:unhideWhenUsed/>
    <w:pPr>
      <w:ind w:left="2160" w:hanging="240"/>
    </w:pPr>
  </w:style>
  <w:style w:type="paragraph" w:styleId="affffffffff2">
    <w:name w:val="Block Text"/>
    <w:basedOn w:val="a3"/>
    <w:uiPriority w:val="99"/>
    <w:semiHidden/>
    <w:unhideWhenUse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affffffffff3">
    <w:name w:val="Message Header"/>
    <w:basedOn w:val="a3"/>
    <w:link w:val="affffffffff4"/>
    <w:uiPriority w:val="99"/>
    <w:semiHidden/>
    <w:unhideWhenUsed/>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Theme="majorHAnsi" w:eastAsiaTheme="majorEastAsia" w:hAnsiTheme="majorHAnsi" w:cstheme="majorBidi"/>
    </w:rPr>
  </w:style>
  <w:style w:type="character" w:customStyle="1" w:styleId="affffffffff4">
    <w:name w:val="Шапка Знак"/>
    <w:basedOn w:val="a5"/>
    <w:link w:val="affffffffff3"/>
    <w:uiPriority w:val="99"/>
    <w:semiHidden/>
    <w:rPr>
      <w:rFonts w:asciiTheme="majorHAnsi" w:eastAsiaTheme="majorEastAsia" w:hAnsiTheme="majorHAnsi" w:cstheme="majorBidi"/>
      <w:sz w:val="24"/>
      <w:szCs w:val="24"/>
      <w:shd w:val="pct20" w:color="auto" w:fill="auto"/>
      <w:lang w:eastAsia="ru-RU"/>
    </w:rPr>
  </w:style>
  <w:style w:type="paragraph" w:styleId="affffffffff5">
    <w:name w:val="E-mail Signature"/>
    <w:basedOn w:val="a3"/>
    <w:link w:val="affffffffff6"/>
    <w:uiPriority w:val="99"/>
    <w:semiHidden/>
    <w:unhideWhenUsed/>
  </w:style>
  <w:style w:type="character" w:customStyle="1" w:styleId="affffffffff6">
    <w:name w:val="Электронная подпись Знак"/>
    <w:basedOn w:val="a5"/>
    <w:link w:val="affffffffff5"/>
    <w:uiPriority w:val="99"/>
    <w:semiHidden/>
    <w:rPr>
      <w:rFonts w:ascii="Times New Roman" w:eastAsia="Times New Roman" w:hAnsi="Times New Roman" w:cs="Times New Roman"/>
      <w:sz w:val="24"/>
      <w:szCs w:val="24"/>
      <w:lang w:eastAsia="ru-RU"/>
    </w:rPr>
  </w:style>
  <w:style w:type="table" w:customStyle="1" w:styleId="-163">
    <w:name w:val="Таблица-сетка 1 светлая63"/>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61">
    <w:name w:val="Таблица-сетка 1 светлая61"/>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6132">
    <w:name w:val="Список-таблица 6 цветная — акцент 132"/>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320">
    <w:name w:val="Список-таблица 6 цветная32"/>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32">
    <w:name w:val="Список-таблица 6 цветная — акцент 332"/>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42">
    <w:name w:val="Таблица-сетка 4 — акцент 542"/>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21">
    <w:name w:val="Сетка таблицы светлая42"/>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a5"/>
    <w:uiPriority w:val="99"/>
    <w:semiHidden/>
    <w:unhideWhenUsed/>
    <w:rPr>
      <w:color w:val="605E5C"/>
      <w:shd w:val="clear" w:color="auto" w:fill="E1DFDD"/>
    </w:rPr>
  </w:style>
  <w:style w:type="table" w:customStyle="1" w:styleId="GridTable1Light1">
    <w:name w:val="Grid Table 1 Light1"/>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ListTable6Colorful-Accent11">
    <w:name w:val="List Table 6 Colorful - Accent 11"/>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1">
    <w:name w:val="List Table 6 Colorful1"/>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31">
    <w:name w:val="List Table 6 Colorful - Accent 31"/>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1">
    <w:name w:val="Grid Table 4 - Accent 51"/>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71">
    <w:name w:val="Нет списка17"/>
    <w:next w:val="a7"/>
    <w:uiPriority w:val="99"/>
    <w:semiHidden/>
    <w:unhideWhenUsed/>
  </w:style>
  <w:style w:type="paragraph" w:customStyle="1" w:styleId="s3">
    <w:name w:val="s_3"/>
    <w:basedOn w:val="a3"/>
    <w:pPr>
      <w:spacing w:before="100" w:beforeAutospacing="1" w:after="100" w:afterAutospacing="1"/>
    </w:pPr>
  </w:style>
  <w:style w:type="paragraph" w:customStyle="1" w:styleId="3f0">
    <w:name w:val="Заголовок 3_Приложение"/>
    <w:basedOn w:val="31"/>
    <w:qFormat/>
    <w:pPr>
      <w:spacing w:before="240" w:after="240" w:line="252" w:lineRule="auto"/>
    </w:pPr>
    <w:rPr>
      <w:rFonts w:eastAsia="Times New Roman"/>
      <w:lang w:val="ru-RU" w:eastAsia="ar-SA"/>
    </w:rPr>
  </w:style>
  <w:style w:type="character" w:customStyle="1" w:styleId="affffffffff7">
    <w:name w:val="Заголовок Знак"/>
    <w:uiPriority w:val="10"/>
    <w:rPr>
      <w:rFonts w:ascii="Times New Roman" w:hAnsi="Times New Roman"/>
      <w:b/>
      <w:sz w:val="28"/>
      <w:u w:val="single"/>
    </w:rPr>
  </w:style>
  <w:style w:type="character" w:customStyle="1" w:styleId="ab">
    <w:name w:val="Заголовок оглавления Знак"/>
    <w:link w:val="aa"/>
    <w:rPr>
      <w:rFonts w:ascii="PT Astra Serif" w:eastAsiaTheme="majorEastAsia" w:hAnsi="PT Astra Serif" w:cstheme="majorBidi"/>
      <w:b/>
      <w:caps/>
      <w:sz w:val="28"/>
      <w:szCs w:val="32"/>
      <w:lang w:val="en-US" w:bidi="en-US"/>
    </w:rPr>
  </w:style>
  <w:style w:type="paragraph" w:customStyle="1" w:styleId="affffffffff8">
    <w:name w:val="Заголовок раздела"/>
    <w:basedOn w:val="a3"/>
    <w:pPr>
      <w:spacing w:after="160" w:line="259" w:lineRule="auto"/>
      <w:jc w:val="center"/>
    </w:pPr>
    <w:rPr>
      <w:b/>
      <w:color w:val="000000"/>
      <w:sz w:val="28"/>
      <w:szCs w:val="20"/>
      <w:u w:val="single"/>
    </w:rPr>
  </w:style>
  <w:style w:type="paragraph" w:customStyle="1" w:styleId="a">
    <w:name w:val="Заголовок стратегии"/>
    <w:basedOn w:val="10"/>
    <w:pPr>
      <w:numPr>
        <w:numId w:val="21"/>
      </w:numPr>
      <w:jc w:val="left"/>
    </w:pPr>
    <w:rPr>
      <w:rFonts w:ascii="Times New Roman" w:eastAsia="Times New Roman" w:hAnsi="Times New Roman" w:cs="Times New Roman"/>
      <w:b w:val="0"/>
      <w:caps w:val="0"/>
      <w:sz w:val="26"/>
      <w:lang w:val="ru-RU" w:eastAsia="ru-RU" w:bidi="ar-SA"/>
    </w:rPr>
  </w:style>
  <w:style w:type="numbering" w:customStyle="1" w:styleId="181">
    <w:name w:val="Нет списка18"/>
    <w:next w:val="a7"/>
    <w:uiPriority w:val="99"/>
    <w:semiHidden/>
    <w:unhideWhenUsed/>
  </w:style>
  <w:style w:type="table" w:customStyle="1" w:styleId="190">
    <w:name w:val="Сетка таблицы19"/>
    <w:basedOn w:val="a6"/>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7"/>
    <w:uiPriority w:val="99"/>
    <w:semiHidden/>
    <w:unhideWhenUsed/>
  </w:style>
  <w:style w:type="table" w:customStyle="1" w:styleId="1100">
    <w:name w:val="Сетка таблицы110"/>
    <w:basedOn w:val="a6"/>
    <w:next w:val="af0"/>
    <w:uiPriority w:val="3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7"/>
    <w:uiPriority w:val="99"/>
    <w:semiHidden/>
    <w:unhideWhenUsed/>
  </w:style>
  <w:style w:type="numbering" w:customStyle="1" w:styleId="321">
    <w:name w:val="Нет списка32"/>
    <w:next w:val="a7"/>
    <w:uiPriority w:val="99"/>
    <w:semiHidden/>
    <w:unhideWhenUsed/>
  </w:style>
  <w:style w:type="numbering" w:customStyle="1" w:styleId="422">
    <w:name w:val="Нет списка42"/>
    <w:next w:val="a7"/>
    <w:uiPriority w:val="99"/>
    <w:semiHidden/>
    <w:unhideWhenUsed/>
  </w:style>
  <w:style w:type="table" w:customStyle="1" w:styleId="240">
    <w:name w:val="Сетка таблицы24"/>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7"/>
    <w:uiPriority w:val="99"/>
    <w:semiHidden/>
    <w:unhideWhenUsed/>
  </w:style>
  <w:style w:type="table" w:customStyle="1" w:styleId="350">
    <w:name w:val="Сетка таблицы35"/>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Нет списка61"/>
    <w:next w:val="a7"/>
    <w:uiPriority w:val="99"/>
    <w:semiHidden/>
    <w:unhideWhenUsed/>
  </w:style>
  <w:style w:type="numbering" w:customStyle="1" w:styleId="711">
    <w:name w:val="Нет списка71"/>
    <w:next w:val="a7"/>
    <w:uiPriority w:val="99"/>
    <w:semiHidden/>
    <w:unhideWhenUsed/>
  </w:style>
  <w:style w:type="table" w:customStyle="1" w:styleId="1115">
    <w:name w:val="Сетка таблицы111"/>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0">
    <w:name w:val="Нет списка81"/>
    <w:next w:val="a7"/>
    <w:uiPriority w:val="99"/>
    <w:semiHidden/>
    <w:unhideWhenUsed/>
  </w:style>
  <w:style w:type="table" w:customStyle="1" w:styleId="440">
    <w:name w:val="Сетка таблицы44"/>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6"/>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7"/>
    <w:uiPriority w:val="99"/>
    <w:semiHidden/>
    <w:unhideWhenUsed/>
  </w:style>
  <w:style w:type="table" w:customStyle="1" w:styleId="540">
    <w:name w:val="Сетка таблицы54"/>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
    <w:basedOn w:val="a6"/>
    <w:next w:val="af0"/>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6"/>
    <w:next w:val="af0"/>
    <w:uiPriority w:val="59"/>
    <w:pPr>
      <w:spacing w:after="0" w:line="240" w:lineRule="auto"/>
    </w:pPr>
    <w:rPr>
      <w:rFonts w:ascii="Calibri" w:eastAsia="Times New Roman" w:hAnsi="Calibri" w:cs="Times New Roman"/>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7"/>
    <w:uiPriority w:val="99"/>
    <w:semiHidden/>
    <w:unhideWhenUsed/>
  </w:style>
  <w:style w:type="table" w:customStyle="1" w:styleId="740">
    <w:name w:val="Сетка таблицы74"/>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Њ¬ÿ ÿ‡ÔÚ½Ì11"/>
    <w:basedOn w:val="a6"/>
    <w:next w:val="af0"/>
    <w:uiPriority w:val="5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Таблица-сетка 1 светлая11"/>
    <w:basedOn w:val="a6"/>
    <w:uiPriority w:val="4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411">
    <w:name w:val="Сетка таблицы141"/>
    <w:basedOn w:val="a6"/>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0">
    <w:name w:val="Сетка таблицы314"/>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ветлый список14"/>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940">
    <w:name w:val="Сетка таблицы94"/>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7"/>
    <w:uiPriority w:val="99"/>
    <w:semiHidden/>
    <w:unhideWhenUsed/>
  </w:style>
  <w:style w:type="numbering" w:customStyle="1" w:styleId="1121">
    <w:name w:val="Импортированный стиль 112"/>
  </w:style>
  <w:style w:type="table" w:customStyle="1" w:styleId="811">
    <w:name w:val="Сетка таблицы81"/>
    <w:basedOn w:val="a6"/>
    <w:next w:val="af0"/>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6"/>
    <w:uiPriority w:val="59"/>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0">
    <w:name w:val="Сетка таблицы71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ветлый список111"/>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220">
    <w:name w:val="Нет списка122"/>
    <w:next w:val="a7"/>
    <w:uiPriority w:val="99"/>
    <w:semiHidden/>
    <w:unhideWhenUsed/>
  </w:style>
  <w:style w:type="table" w:customStyle="1" w:styleId="9110">
    <w:name w:val="Сетка таблицы911"/>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Импортированный стиль 122"/>
  </w:style>
  <w:style w:type="table" w:customStyle="1" w:styleId="1011">
    <w:name w:val="Сетка таблицы101"/>
    <w:basedOn w:val="a6"/>
    <w:next w:val="af0"/>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6"/>
    <w:uiPriority w:val="59"/>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
    <w:name w:val="Светлый список121"/>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320">
    <w:name w:val="Нет списка132"/>
    <w:next w:val="a7"/>
    <w:uiPriority w:val="99"/>
    <w:semiHidden/>
    <w:unhideWhenUsed/>
  </w:style>
  <w:style w:type="table" w:customStyle="1" w:styleId="921">
    <w:name w:val="Сетка таблицы921"/>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Импортированный стиль 132"/>
  </w:style>
  <w:style w:type="table" w:customStyle="1" w:styleId="3131">
    <w:name w:val="Сетка таблицы313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етка таблицы341"/>
    <w:basedOn w:val="a6"/>
    <w:uiPriority w:val="59"/>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0">
    <w:name w:val="Сетка таблицы53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6"/>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ветлый список131"/>
    <w:basedOn w:val="a6"/>
    <w:uiPriority w:val="6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Autospacing="0" w:afterAutospacing="0" w:line="240" w:lineRule="auto"/>
      </w:pPr>
      <w:rPr>
        <w:b/>
        <w:bCs/>
        <w:color w:val="FFFFFF"/>
      </w:rPr>
      <w:tblPr/>
      <w:tcPr>
        <w:shd w:val="clear" w:color="auto" w:fill="000000"/>
      </w:tcPr>
    </w:tblStylePr>
    <w:tblStylePr w:type="lastRow">
      <w:pPr>
        <w:spacing w:beforeAutospacing="0" w:afterAutospacing="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420">
    <w:name w:val="Нет списка142"/>
    <w:next w:val="a7"/>
    <w:uiPriority w:val="99"/>
    <w:semiHidden/>
    <w:unhideWhenUsed/>
  </w:style>
  <w:style w:type="table" w:customStyle="1" w:styleId="931">
    <w:name w:val="Сетка таблицы931"/>
    <w:basedOn w:val="a6"/>
    <w:next w:val="af0"/>
    <w:pPr>
      <w:spacing w:after="200" w:line="276"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2">
    <w:name w:val="Таблица-сетка 4 — акцент 512"/>
    <w:basedOn w:val="a6"/>
    <w:uiPriority w:val="49"/>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710">
    <w:name w:val="Сетка таблицы171"/>
    <w:basedOn w:val="a6"/>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Импортированный стиль 141"/>
  </w:style>
  <w:style w:type="numbering" w:customStyle="1" w:styleId="1511">
    <w:name w:val="Нет списка151"/>
    <w:next w:val="a7"/>
    <w:uiPriority w:val="99"/>
    <w:semiHidden/>
    <w:unhideWhenUsed/>
  </w:style>
  <w:style w:type="numbering" w:customStyle="1" w:styleId="11110">
    <w:name w:val="Нет списка1111"/>
    <w:next w:val="a7"/>
    <w:uiPriority w:val="99"/>
    <w:semiHidden/>
    <w:unhideWhenUsed/>
  </w:style>
  <w:style w:type="numbering" w:customStyle="1" w:styleId="2111">
    <w:name w:val="Нет списка211"/>
    <w:next w:val="a7"/>
    <w:uiPriority w:val="99"/>
    <w:semiHidden/>
    <w:unhideWhenUsed/>
  </w:style>
  <w:style w:type="numbering" w:customStyle="1" w:styleId="11111">
    <w:name w:val="Импортированный стиль 1111"/>
  </w:style>
  <w:style w:type="numbering" w:customStyle="1" w:styleId="12110">
    <w:name w:val="Нет списка1211"/>
    <w:next w:val="a7"/>
    <w:uiPriority w:val="99"/>
    <w:semiHidden/>
    <w:unhideWhenUsed/>
  </w:style>
  <w:style w:type="numbering" w:customStyle="1" w:styleId="3112">
    <w:name w:val="Нет списка311"/>
    <w:next w:val="a7"/>
    <w:uiPriority w:val="99"/>
    <w:semiHidden/>
    <w:unhideWhenUsed/>
  </w:style>
  <w:style w:type="numbering" w:customStyle="1" w:styleId="12111">
    <w:name w:val="Импортированный стиль 1211"/>
  </w:style>
  <w:style w:type="numbering" w:customStyle="1" w:styleId="13110">
    <w:name w:val="Нет списка1311"/>
    <w:next w:val="a7"/>
    <w:uiPriority w:val="99"/>
    <w:semiHidden/>
    <w:unhideWhenUsed/>
  </w:style>
  <w:style w:type="numbering" w:customStyle="1" w:styleId="4111">
    <w:name w:val="Нет списка411"/>
    <w:next w:val="a7"/>
    <w:uiPriority w:val="99"/>
    <w:semiHidden/>
    <w:unhideWhenUsed/>
  </w:style>
  <w:style w:type="numbering" w:customStyle="1" w:styleId="13111">
    <w:name w:val="Импортированный стиль 1311"/>
  </w:style>
  <w:style w:type="numbering" w:customStyle="1" w:styleId="14110">
    <w:name w:val="Нет списка1411"/>
    <w:next w:val="a7"/>
    <w:uiPriority w:val="99"/>
    <w:semiHidden/>
    <w:unhideWhenUsed/>
  </w:style>
  <w:style w:type="table" w:customStyle="1" w:styleId="125">
    <w:name w:val="Сетка таблицы светлая12"/>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1">
    <w:name w:val="Таблица-сетка 1 светлая21"/>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fa">
    <w:name w:val="Таблица Стандарт Темная1"/>
    <w:uiPriority w:val="99"/>
    <w:qFormat/>
    <w:pPr>
      <w:spacing w:after="0" w:line="240" w:lineRule="auto"/>
    </w:pPr>
    <w:rPr>
      <w:rFonts w:ascii="Arial" w:eastAsia="SimSun" w:hAnsi="Arial" w:cs="Times New Roman"/>
      <w:sz w:val="20"/>
      <w:szCs w:val="20"/>
      <w:lang w:eastAsia="ru-RU"/>
    </w:rPr>
    <w:tblPr>
      <w:tblBorders>
        <w:top w:val="single" w:sz="4" w:space="0" w:color="99CCFF"/>
        <w:left w:val="single" w:sz="4" w:space="0" w:color="99CCFF"/>
        <w:bottom w:val="single" w:sz="4" w:space="0" w:color="99CCFF"/>
        <w:right w:val="single" w:sz="4" w:space="0" w:color="99CCFF"/>
        <w:insideH w:val="single" w:sz="4" w:space="0" w:color="99CCFF"/>
        <w:insideV w:val="single" w:sz="4" w:space="0" w:color="99CCFF"/>
      </w:tblBorders>
      <w:tblCellMar>
        <w:top w:w="0" w:type="dxa"/>
        <w:left w:w="0" w:type="dxa"/>
        <w:bottom w:w="0" w:type="dxa"/>
        <w:right w:w="0" w:type="dxa"/>
      </w:tblCellMar>
    </w:tblPr>
    <w:tblStylePr w:type="firstRow">
      <w:rPr>
        <w:b/>
        <w:bCs/>
        <w:color w:val="auto"/>
      </w:rPr>
      <w:tblPr/>
      <w:tcPr>
        <w:tcBorders>
          <w:top w:val="single" w:sz="4" w:space="0" w:color="99CCFF"/>
          <w:left w:val="single" w:sz="4" w:space="0" w:color="99CCFF"/>
          <w:bottom w:val="single" w:sz="4" w:space="0" w:color="99CCFF"/>
          <w:right w:val="single" w:sz="4" w:space="0" w:color="99CCFF"/>
        </w:tcBorders>
        <w:shd w:val="clear" w:color="auto" w:fill="99CCFF"/>
      </w:tcPr>
    </w:tblStylePr>
    <w:tblStylePr w:type="lastRow">
      <w:rPr>
        <w:b/>
        <w:bCs/>
      </w:rPr>
      <w:tblPr/>
      <w:tcPr>
        <w:tcBorders>
          <w:top w:val="single" w:sz="2" w:space="0" w:color="36FE91"/>
        </w:tcBorders>
      </w:tcPr>
    </w:tblStylePr>
    <w:tblStylePr w:type="firstCol">
      <w:rPr>
        <w:b/>
        <w:bCs/>
      </w:rPr>
    </w:tblStylePr>
    <w:tblStylePr w:type="lastCol">
      <w:rPr>
        <w:b/>
        <w:bCs/>
      </w:rPr>
    </w:tblStylePr>
  </w:style>
  <w:style w:type="table" w:customStyle="1" w:styleId="-45111">
    <w:name w:val="Таблица-сетка 4 — акцент 5111"/>
    <w:basedOn w:val="a6"/>
    <w:uiPriority w:val="49"/>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117">
    <w:name w:val="Сетка таблицы светлая11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FO151">
    <w:name w:val="LFO151"/>
    <w:basedOn w:val="a7"/>
  </w:style>
  <w:style w:type="table" w:customStyle="1" w:styleId="1fb">
    <w:name w:val="Таблица Стандарт1"/>
    <w:basedOn w:val="a6"/>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single" w:sz="2" w:space="0" w:color="C9C9C9" w:themeColor="accent3" w:themeTint="99"/>
        </w:tcBorders>
      </w:tcPr>
    </w:tblStylePr>
    <w:tblStylePr w:type="firstCol">
      <w:rPr>
        <w:b/>
        <w:bCs/>
      </w:rPr>
    </w:tblStylePr>
    <w:tblStylePr w:type="lastCol">
      <w:rPr>
        <w:b/>
        <w:bCs/>
      </w:rPr>
    </w:tblStylePr>
  </w:style>
  <w:style w:type="table" w:customStyle="1" w:styleId="-1310">
    <w:name w:val="Таблица-сетка 1 светлая31"/>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41">
    <w:name w:val="Таблица-сетка 1 светлая41"/>
    <w:basedOn w:val="a6"/>
    <w:uiPriority w:val="46"/>
    <w:qFormat/>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6111">
    <w:name w:val="Список-таблица 6 цветная — акцент 111"/>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110">
    <w:name w:val="Список-таблица 6 цветная11"/>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11">
    <w:name w:val="Список-таблица 6 цветная — акцент 311"/>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21">
    <w:name w:val="Таблица-сетка 4 — акцент 521"/>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14">
    <w:name w:val="Сетка таблицы светлая2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510">
    <w:name w:val="Таблица-сетка 1 светлая51"/>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5311">
    <w:name w:val="531"/>
    <w:basedOn w:val="a6"/>
    <w:pPr>
      <w:spacing w:after="0" w:line="240" w:lineRule="auto"/>
    </w:pPr>
    <w:rPr>
      <w:rFonts w:ascii="Calibri" w:eastAsia="Calibri" w:hAnsi="Calibri" w:cs="Calibri"/>
      <w:lang w:eastAsia="zh-CN"/>
    </w:rPr>
    <w:tblPr>
      <w:tblStyleRowBandSize w:val="1"/>
      <w:tblStyleColBandSize w:val="1"/>
    </w:tblPr>
  </w:style>
  <w:style w:type="table" w:customStyle="1" w:styleId="Table1">
    <w:name w:val="Table1"/>
    <w:semiHidden/>
    <w:unhideWhenUsed/>
    <w:qFormat/>
    <w:pPr>
      <w:spacing w:after="200" w:line="240" w:lineRule="auto"/>
    </w:pPr>
    <w:rPr>
      <w:sz w:val="24"/>
      <w:szCs w:val="24"/>
      <w:lang w:eastAsia="ru-R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000000"/>
        </w:tcBorders>
        <w:vAlign w:val="bottom"/>
      </w:tcPr>
    </w:tblStylePr>
  </w:style>
  <w:style w:type="table" w:customStyle="1" w:styleId="1810">
    <w:name w:val="Сетка таблицы181"/>
    <w:basedOn w:val="a6"/>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писок-таблица 6 цветная — акцент 121"/>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21"/>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21">
    <w:name w:val="Список-таблица 6 цветная — акцент 321"/>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31">
    <w:name w:val="Таблица-сетка 4 — акцент 531"/>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316">
    <w:name w:val="Сетка таблицы светлая3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c">
    <w:name w:val="Таблица Стандарт Светлая1"/>
    <w:basedOn w:val="-131"/>
    <w:uiPriority w:val="99"/>
    <w:tblPr/>
    <w:tblStylePr w:type="firstRow">
      <w:rPr>
        <w:b/>
        <w:bCs/>
      </w:rPr>
      <w:tblPr/>
      <w:tcPr>
        <w:tcBorders>
          <w:bottom w:val="single" w:sz="12" w:space="0" w:color="C9C9C9" w:themeColor="accent3" w:themeTint="99"/>
        </w:tcBorders>
        <w:shd w:val="clear" w:color="auto" w:fill="DBDBDB" w:themeFill="accent3" w:themeFillTint="66"/>
      </w:tcPr>
    </w:tblStylePr>
    <w:tblStylePr w:type="lastRow">
      <w:rPr>
        <w:b/>
        <w:bCs/>
      </w:rPr>
      <w:tblPr/>
      <w:tcPr>
        <w:tcBorders>
          <w:top w:val="single" w:sz="2" w:space="0" w:color="C9C9C9" w:themeColor="accent3" w:themeTint="99"/>
        </w:tcBorders>
      </w:tcPr>
    </w:tblStylePr>
    <w:tblStylePr w:type="firstCol">
      <w:rPr>
        <w:b/>
        <w:bCs/>
      </w:rPr>
    </w:tblStylePr>
    <w:tblStylePr w:type="lastCol">
      <w:rPr>
        <w:b/>
        <w:bCs/>
      </w:rPr>
    </w:tblStylePr>
  </w:style>
  <w:style w:type="table" w:customStyle="1" w:styleId="1122">
    <w:name w:val="Таблица простая 112"/>
    <w:basedOn w:val="a6"/>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8">
    <w:name w:val="Светлый список — акцент 111"/>
    <w:basedOn w:val="a6"/>
    <w:next w:val="124"/>
    <w:uiPriority w:val="61"/>
    <w:pPr>
      <w:spacing w:after="0" w:line="240" w:lineRule="auto"/>
    </w:pPr>
    <w:rPr>
      <w:rFonts w:ascii="Arial" w:eastAsia="Arial" w:hAnsi="Arial"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sing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14">
    <w:name w:val="Светлый список — акцент 121"/>
    <w:basedOn w:val="a6"/>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311">
    <w:name w:val="Светлая заливка - Акцент 31"/>
    <w:basedOn w:val="a6"/>
    <w:next w:val="-3"/>
    <w:uiPriority w:val="60"/>
    <w:pPr>
      <w:spacing w:after="0" w:line="240" w:lineRule="auto"/>
    </w:pPr>
    <w:rPr>
      <w:rFonts w:ascii="Times New Roman" w:eastAsia="Times New Roman" w:hAnsi="Times New Roman" w:cs="Times New Roman"/>
      <w:color w:val="7B7B7B" w:themeColor="accent3" w:themeShade="BF"/>
      <w:sz w:val="20"/>
      <w:szCs w:val="20"/>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la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8E8E8" w:themeFill="accent3" w:themeFillTint="3F"/>
      </w:tcPr>
    </w:tblStylePr>
    <w:tblStylePr w:type="band1Horz">
      <w:tblPr/>
      <w:tcPr>
        <w:tcBorders>
          <w:left w:val="none" w:sz="4" w:space="0" w:color="000000"/>
          <w:right w:val="none" w:sz="4" w:space="0" w:color="000000"/>
        </w:tcBorders>
        <w:shd w:val="clear" w:color="auto" w:fill="E8E8E8" w:themeFill="accent3" w:themeFillTint="3F"/>
      </w:tcPr>
    </w:tblStylePr>
  </w:style>
  <w:style w:type="table" w:customStyle="1" w:styleId="-312">
    <w:name w:val="Светлый список - Акцент 31"/>
    <w:basedOn w:val="a6"/>
    <w:next w:val="-30"/>
    <w:uiPriority w:val="6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1511">
    <w:name w:val="Таблица-сетка 1 светлая — акцент 511"/>
    <w:basedOn w:val="a6"/>
    <w:uiPriority w:val="46"/>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single" w:sz="2" w:space="0" w:color="8EAADB"/>
        </w:tcBorders>
      </w:tcPr>
    </w:tblStylePr>
    <w:tblStylePr w:type="firstCol">
      <w:rPr>
        <w:b/>
        <w:bCs/>
      </w:rPr>
    </w:tblStylePr>
    <w:tblStylePr w:type="lastCol">
      <w:rPr>
        <w:b/>
        <w:bCs/>
      </w:rPr>
    </w:tblStylePr>
  </w:style>
  <w:style w:type="table" w:customStyle="1" w:styleId="11112">
    <w:name w:val="Таблица простая 1111"/>
    <w:basedOn w:val="a6"/>
    <w:uiPriority w:val="41"/>
    <w:pPr>
      <w:spacing w:after="0" w:line="240" w:lineRule="auto"/>
    </w:pPr>
    <w:rPr>
      <w:rFonts w:eastAsiaTheme="minorEastAsia"/>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Vlist1">
    <w:name w:val="AV_list1"/>
    <w:uiPriority w:val="99"/>
  </w:style>
  <w:style w:type="table" w:customStyle="1" w:styleId="-112">
    <w:name w:val="Светлый список - Акцент 11"/>
    <w:basedOn w:val="a6"/>
    <w:next w:val="-16"/>
    <w:uiPriority w:val="61"/>
    <w:pPr>
      <w:spacing w:after="0" w:line="240" w:lineRule="auto"/>
    </w:pPr>
    <w:rPr>
      <w:rFonts w:ascii="Arial" w:eastAsia="Arial" w:hAnsi="Arial" w:cs="Times New Roman"/>
      <w:sz w:val="20"/>
      <w:szCs w:val="20"/>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customStyle="1" w:styleId="AVlistlev31">
    <w:name w:val="AV_list_lev31"/>
    <w:uiPriority w:val="99"/>
  </w:style>
  <w:style w:type="numbering" w:customStyle="1" w:styleId="AVlistlev21">
    <w:name w:val="AV_list_lev21"/>
    <w:uiPriority w:val="99"/>
  </w:style>
  <w:style w:type="table" w:customStyle="1" w:styleId="AVreport1">
    <w:name w:val="AV_report1"/>
    <w:basedOn w:val="a6"/>
    <w:uiPriority w:val="99"/>
    <w:qFormat/>
    <w:pPr>
      <w:keepNext/>
      <w:spacing w:after="0" w:line="240" w:lineRule="auto"/>
      <w:contextualSpacing/>
      <w:jc w:val="right"/>
    </w:pPr>
    <w:rPr>
      <w:rFonts w:ascii="Arial" w:eastAsia="Times New Roman" w:hAnsi="Arial" w:cs="Arial"/>
      <w:sz w:val="16"/>
      <w:szCs w:val="18"/>
      <w:lang w:eastAsia="ru-RU"/>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28" w:type="dxa"/>
        <w:right w:w="28" w:type="dxa"/>
      </w:tblCellMar>
    </w:tblPr>
    <w:tcPr>
      <w:vAlign w:val="center"/>
    </w:tcPr>
    <w:tblStylePr w:type="firstRow">
      <w:pPr>
        <w:spacing w:beforeAutospacing="0" w:afterAutospacing="0"/>
        <w:contextualSpacing w:val="0"/>
        <w:jc w:val="center"/>
      </w:pPr>
      <w:rPr>
        <w:b/>
        <w:color w:val="FFFFFF" w:themeColor="background1"/>
      </w:rPr>
      <w:tblPr/>
      <w:trPr>
        <w:tblHeader/>
      </w:trPr>
      <w:tcPr>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44546A" w:themeFill="text2"/>
        <w:vAlign w:val="center"/>
      </w:tcPr>
    </w:tblStylePr>
    <w:tblStylePr w:type="lastRow">
      <w:pPr>
        <w:keepNext w:val="0"/>
      </w:pPr>
    </w:tblStylePr>
    <w:tblStylePr w:type="firstCol">
      <w:pPr>
        <w:jc w:val="left"/>
      </w:pPr>
      <w:rPr>
        <w:b w:val="0"/>
        <w:i w:val="0"/>
      </w:rPr>
    </w:tblStylePr>
  </w:style>
  <w:style w:type="table" w:customStyle="1" w:styleId="1fd">
    <w:name w:val="Светлая заливка1"/>
    <w:basedOn w:val="a6"/>
    <w:next w:val="affffffff6"/>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3">
    <w:name w:val="Светлая заливка - Акцент 11"/>
    <w:basedOn w:val="a6"/>
    <w:next w:val="-17"/>
    <w:uiPriority w:val="60"/>
    <w:pPr>
      <w:spacing w:after="0" w:line="240" w:lineRule="auto"/>
    </w:pPr>
    <w:rPr>
      <w:rFonts w:ascii="Times New Roman" w:eastAsia="Times New Roman" w:hAnsi="Times New Roman" w:cs="Times New Roman"/>
      <w:color w:val="2E74B5" w:themeColor="accent1" w:themeShade="BF"/>
      <w:sz w:val="20"/>
      <w:szCs w:val="20"/>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tcBorders>
      </w:tcPr>
    </w:tblStylePr>
    <w:tblStylePr w:type="la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6E6F4" w:themeFill="accent1" w:themeFillTint="3F"/>
      </w:tcPr>
    </w:tblStylePr>
    <w:tblStylePr w:type="band1Horz">
      <w:tblPr/>
      <w:tcPr>
        <w:tcBorders>
          <w:left w:val="none" w:sz="4" w:space="0" w:color="000000"/>
          <w:right w:val="none" w:sz="4" w:space="0" w:color="000000"/>
        </w:tcBorders>
        <w:shd w:val="clear" w:color="auto" w:fill="D6E6F4" w:themeFill="accent1" w:themeFillTint="3F"/>
      </w:tcPr>
    </w:tblStylePr>
  </w:style>
  <w:style w:type="numbering" w:customStyle="1" w:styleId="1611">
    <w:name w:val="Нет списка161"/>
    <w:next w:val="a7"/>
    <w:uiPriority w:val="99"/>
    <w:semiHidden/>
    <w:unhideWhenUsed/>
  </w:style>
  <w:style w:type="table" w:customStyle="1" w:styleId="-170">
    <w:name w:val="Таблица-сетка 1 светлая7"/>
    <w:basedOn w:val="a6"/>
    <w:next w:val="-160"/>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14">
    <w:name w:val="Список-таблица 6 цветная — акцент 14"/>
    <w:basedOn w:val="a6"/>
    <w:next w:val="-613"/>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4">
    <w:name w:val="Список-таблица 6 цветная4"/>
    <w:basedOn w:val="a6"/>
    <w:next w:val="-63"/>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4">
    <w:name w:val="Список-таблица 6 цветная — акцент 34"/>
    <w:basedOn w:val="a6"/>
    <w:next w:val="-633"/>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5">
    <w:name w:val="Таблица-сетка 4 — акцент 55"/>
    <w:basedOn w:val="a6"/>
    <w:next w:val="-454"/>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5a">
    <w:name w:val="Сетка таблицы светлая5"/>
    <w:basedOn w:val="a6"/>
    <w:next w:val="47"/>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2">
    <w:name w:val="Таблица-сетка 1 светлая62"/>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611">
    <w:name w:val="Таблица-сетка 1 светлая611"/>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6131">
    <w:name w:val="Список-таблица 6 цветная — акцент 131"/>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310">
    <w:name w:val="Список-таблица 6 цветная31"/>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31">
    <w:name w:val="Список-таблица 6 цветная — акцент 331"/>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541">
    <w:name w:val="Таблица-сетка 4 — акцент 541"/>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3">
    <w:name w:val="Сетка таблицы светлая4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1">
    <w:name w:val="Grid Table 1 Light11"/>
    <w:basedOn w:val="a6"/>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TableNormal11">
    <w:name w:val="Table Normal1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ListTable6Colorful-Accent111">
    <w:name w:val="List Table 6 Colorful - Accent 111"/>
    <w:basedOn w:val="a6"/>
    <w:uiPriority w:val="5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11">
    <w:name w:val="List Table 6 Colorful11"/>
    <w:basedOn w:val="a6"/>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311">
    <w:name w:val="List Table 6 Colorful - Accent 311"/>
    <w:basedOn w:val="a6"/>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11">
    <w:name w:val="Grid Table 4 - Accent 511"/>
    <w:basedOn w:val="a6"/>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bCs/>
      </w:rPr>
      <w:tblPr/>
      <w:tcPr>
        <w:tcBorders>
          <w:top w:val="sing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1">
    <w:name w:val="Table Grid Light11"/>
    <w:basedOn w:val="a6"/>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711">
    <w:name w:val="Нет списка171"/>
    <w:next w:val="a7"/>
    <w:uiPriority w:val="99"/>
    <w:semiHidden/>
    <w:unhideWhenUsed/>
  </w:style>
  <w:style w:type="paragraph" w:customStyle="1" w:styleId="mcnta">
    <w:name w:val="mcnta"/>
    <w:basedOn w:val="a3"/>
    <w:pPr>
      <w:spacing w:before="100" w:beforeAutospacing="1" w:after="100" w:afterAutospacing="1"/>
    </w:pPr>
    <w:rPr>
      <w:rFonts w:eastAsiaTheme="minorHAnsi"/>
    </w:rPr>
  </w:style>
  <w:style w:type="numbering" w:customStyle="1" w:styleId="111110">
    <w:name w:val="Нет списка11111"/>
    <w:next w:val="a7"/>
    <w:uiPriority w:val="99"/>
    <w:semiHidden/>
    <w:unhideWhenUsed/>
  </w:style>
  <w:style w:type="table" w:customStyle="1" w:styleId="TableGridLight">
    <w:name w:val="Table Grid Light"/>
    <w:basedOn w:val="a6"/>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215">
    <w:name w:val="Таблица простая 21"/>
    <w:basedOn w:val="a6"/>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7">
    <w:name w:val="Таблица простая 31"/>
    <w:basedOn w:val="a6"/>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4">
    <w:name w:val="Таблица простая 41"/>
    <w:basedOn w:val="a6"/>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3">
    <w:name w:val="Таблица простая 51"/>
    <w:basedOn w:val="a6"/>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
    <w:name w:val="Grid Table 1 Light - Accent 1"/>
    <w:basedOn w:val="a6"/>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6"/>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6"/>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6"/>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6"/>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6"/>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6"/>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6"/>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6"/>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6"/>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6"/>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6"/>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6"/>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3">
    <w:name w:val="Таблица-сетка 31"/>
    <w:basedOn w:val="a6"/>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6"/>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6"/>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6"/>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6"/>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6"/>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6"/>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6"/>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6"/>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6"/>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6"/>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6"/>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6"/>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6"/>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6"/>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5">
    <w:name w:val="Таблица-сетка 6 цветная1"/>
    <w:basedOn w:val="a6"/>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6"/>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6"/>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6"/>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6"/>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6"/>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6"/>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6"/>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6"/>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6"/>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6"/>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6"/>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6"/>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6"/>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4">
    <w:name w:val="Список-таблица 1 светлая1"/>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6"/>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6"/>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6"/>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6"/>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6"/>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6"/>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6"/>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6"/>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4">
    <w:name w:val="Список-таблица 31"/>
    <w:basedOn w:val="a6"/>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6"/>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6"/>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6"/>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6"/>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6"/>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6"/>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6"/>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6"/>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6"/>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6"/>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6"/>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6"/>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6"/>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6"/>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6"/>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6"/>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6"/>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6"/>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6"/>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6"/>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a6"/>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6"/>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6"/>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6"/>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6"/>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6"/>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6"/>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6"/>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6"/>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6"/>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6"/>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6"/>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6"/>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6"/>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6"/>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6"/>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6"/>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6"/>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6"/>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6"/>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6"/>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6"/>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6"/>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6"/>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6"/>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6"/>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6"/>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6"/>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6"/>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6"/>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6"/>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6"/>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6"/>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6"/>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docdata">
    <w:name w:val="docdata"/>
    <w:basedOn w:val="a5"/>
  </w:style>
  <w:style w:type="character" w:customStyle="1" w:styleId="katex-mathml">
    <w:name w:val="katex-mathml"/>
    <w:basedOn w:val="a5"/>
  </w:style>
  <w:style w:type="character" w:customStyle="1" w:styleId="mord">
    <w:name w:val="mord"/>
    <w:basedOn w:val="a5"/>
  </w:style>
  <w:style w:type="character" w:customStyle="1" w:styleId="vlist-s">
    <w:name w:val="vlist-s"/>
    <w:basedOn w:val="a5"/>
  </w:style>
  <w:style w:type="character" w:customStyle="1" w:styleId="5b">
    <w:name w:val="Неразрешенное упоминание5"/>
    <w:basedOn w:val="a5"/>
    <w:uiPriority w:val="99"/>
    <w:unhideWhenUsed/>
    <w:rPr>
      <w:color w:val="605E5C"/>
      <w:shd w:val="clear" w:color="auto" w:fill="E1DFDD"/>
    </w:rPr>
  </w:style>
  <w:style w:type="character" w:customStyle="1" w:styleId="65">
    <w:name w:val="Неразрешенное упоминание6"/>
    <w:basedOn w:val="a5"/>
    <w:uiPriority w:val="99"/>
    <w:semiHidden/>
    <w:unhideWhenUsed/>
    <w:rPr>
      <w:color w:val="605E5C"/>
      <w:shd w:val="clear" w:color="auto" w:fill="E1DFDD"/>
    </w:rPr>
  </w:style>
  <w:style w:type="table" w:customStyle="1" w:styleId="-18">
    <w:name w:val="Таблица-сетка 1 светлая8"/>
    <w:basedOn w:val="a6"/>
    <w:uiPriority w:val="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character" w:customStyle="1" w:styleId="searchresult">
    <w:name w:val="search_result"/>
    <w:basedOn w:val="a5"/>
  </w:style>
  <w:style w:type="paragraph" w:customStyle="1" w:styleId="p1">
    <w:name w:val="p1"/>
    <w:basedOn w:val="a3"/>
    <w:pPr>
      <w:spacing w:before="100" w:beforeAutospacing="1" w:after="100" w:afterAutospacing="1"/>
    </w:pPr>
    <w:rPr>
      <w:rFonts w:ascii="Aptos" w:eastAsiaTheme="minorHAnsi" w:hAnsi="Aptos" w:cs="Aptos"/>
    </w:rPr>
  </w:style>
  <w:style w:type="paragraph" w:customStyle="1" w:styleId="li2">
    <w:name w:val="li2"/>
    <w:basedOn w:val="a3"/>
    <w:pPr>
      <w:spacing w:before="100" w:beforeAutospacing="1" w:after="100" w:afterAutospacing="1"/>
    </w:pPr>
    <w:rPr>
      <w:rFonts w:ascii="Aptos" w:eastAsiaTheme="minorHAnsi" w:hAnsi="Aptos" w:cs="Aptos"/>
    </w:rPr>
  </w:style>
  <w:style w:type="character" w:customStyle="1" w:styleId="s2">
    <w:name w:val="s2"/>
    <w:basedOn w:val="a5"/>
  </w:style>
  <w:style w:type="character" w:customStyle="1" w:styleId="s1">
    <w:name w:val="s1"/>
    <w:basedOn w:val="a5"/>
  </w:style>
  <w:style w:type="character" w:customStyle="1" w:styleId="s4">
    <w:name w:val="s4"/>
    <w:basedOn w:val="a5"/>
  </w:style>
  <w:style w:type="paragraph" w:customStyle="1" w:styleId="mcntmcntmcntmcntmcntmcntmcntmcntmcntmcntmcntmcntmcntmsonormal">
    <w:name w:val="mcntmcntmcntmcntmcntmcntmcntmcntmcntmcntmcntmcntmcntmsonormal"/>
    <w:basedOn w:val="a3"/>
    <w:pPr>
      <w:spacing w:before="100" w:beforeAutospacing="1" w:after="100" w:afterAutospacing="1"/>
    </w:pPr>
    <w:rPr>
      <w:lang w:bidi="he-IL"/>
    </w:rPr>
  </w:style>
  <w:style w:type="paragraph" w:customStyle="1" w:styleId="li1">
    <w:name w:val="li1"/>
    <w:basedOn w:val="a3"/>
    <w:pPr>
      <w:spacing w:before="100" w:beforeAutospacing="1" w:after="100" w:afterAutospacing="1"/>
    </w:pPr>
    <w:rPr>
      <w:rFonts w:ascii="Aptos" w:eastAsiaTheme="minorHAnsi" w:hAnsi="Aptos" w:cs="Aptos"/>
    </w:rPr>
  </w:style>
  <w:style w:type="paragraph" w:customStyle="1" w:styleId="p3">
    <w:name w:val="p3"/>
    <w:basedOn w:val="a3"/>
    <w:pPr>
      <w:spacing w:before="100" w:beforeAutospacing="1" w:after="100" w:afterAutospacing="1"/>
    </w:pPr>
    <w:rPr>
      <w:rFonts w:ascii="Aptos" w:eastAsiaTheme="minorHAnsi" w:hAnsi="Aptos" w:cs="Aptos"/>
    </w:rPr>
  </w:style>
  <w:style w:type="paragraph" w:customStyle="1" w:styleId="p4">
    <w:name w:val="p4"/>
    <w:basedOn w:val="a3"/>
    <w:pPr>
      <w:spacing w:before="100" w:beforeAutospacing="1" w:after="100" w:afterAutospacing="1"/>
    </w:pPr>
    <w:rPr>
      <w:rFonts w:ascii="Aptos" w:eastAsiaTheme="minorHAnsi" w:hAnsi="Aptos" w:cs="Aptos"/>
    </w:rPr>
  </w:style>
  <w:style w:type="character" w:customStyle="1" w:styleId="organictextcontentspan">
    <w:name w:val="organictextcontentspan"/>
    <w:basedOn w:val="a5"/>
  </w:style>
  <w:style w:type="table" w:customStyle="1" w:styleId="-180">
    <w:name w:val="Таблица-сетка 1 светлая8"/>
    <w:basedOn w:val="a6"/>
    <w:next w:val="-18"/>
    <w:uiPriority w:val="4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paragraph" w:customStyle="1" w:styleId="affffffffff9">
    <w:name w:val="Заг_осн. текст разряж"/>
    <w:basedOn w:val="a4"/>
    <w:qFormat/>
    <w:rPr>
      <w:spacing w:val="20"/>
      <w:szCs w:val="24"/>
    </w:rPr>
  </w:style>
  <w:style w:type="character" w:customStyle="1" w:styleId="s6">
    <w:name w:val="s6"/>
    <w:basedOn w:val="a5"/>
  </w:style>
  <w:style w:type="paragraph" w:customStyle="1" w:styleId="s30">
    <w:name w:val="s3"/>
    <w:basedOn w:val="a3"/>
    <w:pPr>
      <w:spacing w:before="100" w:beforeAutospacing="1" w:after="100" w:afterAutospacing="1"/>
    </w:pPr>
    <w:rPr>
      <w:rFonts w:eastAsiaTheme="minorEastAsia"/>
      <w:lang w:eastAsia="zh-CN"/>
    </w:rPr>
  </w:style>
  <w:style w:type="paragraph" w:customStyle="1" w:styleId="my-2">
    <w:name w:val="my-2"/>
    <w:basedOn w:val="a3"/>
    <w:pPr>
      <w:spacing w:before="100" w:beforeAutospacing="1" w:after="100" w:afterAutospacing="1"/>
    </w:pPr>
    <w:rPr>
      <w:rFonts w:eastAsiaTheme="minorEastAsia"/>
      <w:lang w:eastAsia="zh-CN"/>
    </w:rPr>
  </w:style>
  <w:style w:type="paragraph" w:customStyle="1" w:styleId="mcntmcntmcntmcntp1">
    <w:name w:val="mcntmcntmcntmcntp1"/>
    <w:basedOn w:val="a3"/>
    <w:pPr>
      <w:spacing w:before="100" w:beforeAutospacing="1" w:after="100" w:afterAutospacing="1"/>
    </w:pPr>
  </w:style>
  <w:style w:type="table" w:customStyle="1" w:styleId="-142">
    <w:name w:val="Таблица-сетка 1 светлая42"/>
    <w:basedOn w:val="a6"/>
    <w:uiPriority w:val="46"/>
    <w:qFormat/>
    <w:pPr>
      <w:spacing w:after="0" w:line="240" w:lineRule="auto"/>
    </w:pPr>
    <w:rPr>
      <w:sz w:val="20"/>
      <w:szCs w:val="20"/>
      <w:lang w:eastAsia="ru-RU"/>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numbering" w:customStyle="1" w:styleId="152">
    <w:name w:val="Импортированный стиль 15"/>
  </w:style>
  <w:style w:type="numbering" w:customStyle="1" w:styleId="LFO152">
    <w:name w:val="LFO152"/>
    <w:basedOn w:val="a7"/>
  </w:style>
  <w:style w:type="table" w:customStyle="1" w:styleId="2f9">
    <w:name w:val="Таблица Стандарт Светлая2"/>
    <w:basedOn w:val="-131"/>
    <w:uiPriority w:val="99"/>
    <w:tblPr/>
    <w:tblStylePr w:type="firstRow">
      <w:rPr>
        <w:b/>
        <w:bCs/>
      </w:rPr>
      <w:tblPr/>
      <w:tcPr>
        <w:tcBorders>
          <w:bottom w:val="single" w:sz="12" w:space="0" w:color="C9C9C9" w:themeColor="accent3" w:themeTint="99"/>
        </w:tcBorders>
        <w:shd w:val="clear" w:color="auto" w:fill="DBDBDB" w:themeFill="accent3" w:themeFillTint="66"/>
      </w:tcPr>
    </w:tblStylePr>
    <w:tblStylePr w:type="lastRow">
      <w:rPr>
        <w:b/>
        <w:bCs/>
      </w:rPr>
      <w:tblPr/>
      <w:tcPr>
        <w:tcBorders>
          <w:top w:val="single" w:sz="2" w:space="0" w:color="C9C9C9" w:themeColor="accent3" w:themeTint="99"/>
        </w:tcBorders>
      </w:tcPr>
    </w:tblStylePr>
    <w:tblStylePr w:type="firstCol">
      <w:rPr>
        <w:b/>
        <w:bCs/>
      </w:rPr>
    </w:tblStylePr>
    <w:tblStylePr w:type="lastCol">
      <w:rPr>
        <w:b/>
        <w:bCs/>
      </w:rPr>
    </w:tblStylePr>
  </w:style>
  <w:style w:type="numbering" w:customStyle="1" w:styleId="AVlist2">
    <w:name w:val="AV_list2"/>
    <w:uiPriority w:val="99"/>
  </w:style>
  <w:style w:type="numbering" w:customStyle="1" w:styleId="AVlistlev32">
    <w:name w:val="AV_list_lev32"/>
    <w:uiPriority w:val="99"/>
  </w:style>
  <w:style w:type="numbering" w:customStyle="1" w:styleId="AVlistlev22">
    <w:name w:val="AV_list_lev22"/>
    <w:uiPriority w:val="99"/>
  </w:style>
  <w:style w:type="table" w:customStyle="1" w:styleId="11a">
    <w:name w:val="Таблица Стандарт Светлая11"/>
    <w:basedOn w:val="-131"/>
    <w:uiPriority w:val="99"/>
    <w:tblPr/>
    <w:tblStylePr w:type="firstRow">
      <w:rPr>
        <w:b/>
        <w:bCs/>
      </w:rPr>
      <w:tblPr/>
      <w:tcPr>
        <w:tcBorders>
          <w:bottom w:val="single" w:sz="12" w:space="0" w:color="C9C9C9" w:themeColor="accent3" w:themeTint="99"/>
        </w:tcBorders>
        <w:shd w:val="clear" w:color="auto" w:fill="DBDBDB" w:themeFill="accent3" w:themeFillTint="66"/>
      </w:tcPr>
    </w:tblStylePr>
    <w:tblStylePr w:type="lastRow">
      <w:rPr>
        <w:b/>
        <w:bCs/>
      </w:rPr>
      <w:tblPr/>
      <w:tcPr>
        <w:tcBorders>
          <w:top w:val="single" w:sz="2" w:space="0" w:color="C9C9C9" w:themeColor="accent3" w:themeTint="99"/>
        </w:tcBorders>
      </w:tcPr>
    </w:tblStylePr>
    <w:tblStylePr w:type="firstCol">
      <w:rPr>
        <w:b/>
        <w:bCs/>
      </w:rPr>
    </w:tblStylePr>
    <w:tblStylePr w:type="lastCol">
      <w:rPr>
        <w:b/>
        <w:bCs/>
      </w:rPr>
    </w:tblStylePr>
  </w:style>
  <w:style w:type="paragraph" w:customStyle="1" w:styleId="mcntmsonormal1">
    <w:name w:val="mcntmsonormal1"/>
    <w:basedOn w:val="a3"/>
    <w:rPr>
      <w:rFonts w:ascii="Aptos" w:eastAsiaTheme="minorHAnsi" w:hAnsi="Aptos" w:cs="Aptos"/>
    </w:rPr>
  </w:style>
  <w:style w:type="paragraph" w:customStyle="1" w:styleId="mcnta11">
    <w:name w:val="mcnta11"/>
    <w:basedOn w:val="a3"/>
    <w:pPr>
      <w:ind w:firstLine="709"/>
      <w:jc w:val="both"/>
    </w:pPr>
    <w:rPr>
      <w:rFonts w:ascii="PT Astra Serif" w:eastAsiaTheme="minorHAnsi" w:hAnsi="PT Astra Serif"/>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port.tomsk.gov.ru/people/front/view/id/50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1%80%D0%B8%D1%80%D0%BE%D0%B4%D0%BD%D1%8B%D0%B9_%D0%B3%D0%B0%D0%B7"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5EC5-4E20-4900-9BB5-1C52436F2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290</Pages>
  <Words>106262</Words>
  <Characters>605694</Characters>
  <Application>Microsoft Office Word</Application>
  <DocSecurity>0</DocSecurity>
  <Lines>5047</Lines>
  <Paragraphs>1421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vlasova</dc:creator>
  <cp:lastModifiedBy>Масалова Юлия Викторовна</cp:lastModifiedBy>
  <cp:revision>2</cp:revision>
  <cp:lastPrinted>2026-09-07T02:25:00Z</cp:lastPrinted>
  <dcterms:created xsi:type="dcterms:W3CDTF">2026-09-07T02:48:00Z</dcterms:created>
  <dcterms:modified xsi:type="dcterms:W3CDTF">2026-09-07T02:48:00Z</dcterms:modified>
</cp:coreProperties>
</file>